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360" w:hanging="0"/>
        <w:jc w:val="right"/>
        <w:rPr>
          <w:b/>
          <w:szCs w:val="22"/>
        </w:rPr>
      </w:pPr>
      <w:r>
        <w:rPr/>
      </w:r>
    </w:p>
    <w:p>
      <w:pPr>
        <w:pStyle w:val="Normal"/>
        <w:ind w:left="360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360" w:hanging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 закупку</w:t>
      </w:r>
    </w:p>
    <w:p>
      <w:pPr>
        <w:pStyle w:val="Normal"/>
        <w:ind w:left="360" w:hanging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ОКПД2 95.11.10. Оказание услуг на обслуживание вычислительной техники  для управления  филиала, структурных подразделений "Восточные электрические сети", "Западные электрические сети" филиала "Амурские электрические сети"</w:t>
      </w:r>
    </w:p>
    <w:p>
      <w:pPr>
        <w:pStyle w:val="Normal"/>
        <w:ind w:left="360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jc w:val="both"/>
        <w:rPr>
          <w:sz w:val="24"/>
        </w:rPr>
      </w:pPr>
      <w:r>
        <w:rPr>
          <w:b/>
          <w:bCs/>
          <w:sz w:val="24"/>
        </w:rPr>
        <w:t>Сроки (периоды) проведения работ</w:t>
      </w:r>
      <w:r>
        <w:rPr>
          <w:sz w:val="24"/>
        </w:rPr>
        <w:t>: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Работы будут осуществляться по заявкам Заказчика:</w:t>
      </w:r>
    </w:p>
    <w:p>
      <w:pPr>
        <w:pStyle w:val="Normal"/>
        <w:ind w:left="720" w:hanging="0"/>
        <w:jc w:val="both"/>
        <w:rPr/>
      </w:pPr>
      <w:r>
        <w:rPr>
          <w:sz w:val="24"/>
        </w:rPr>
        <w:t>- с 01.01.2027 по 31.12.2027;</w:t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306"/>
          <w:tab w:val="left" w:pos="7125" w:leader="none"/>
        </w:tabs>
        <w:spacing w:lineRule="auto" w:line="240"/>
        <w:ind w:left="714" w:hanging="357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Срок исполнения работ по техническому обслуживанию средств вычислительной техники:</w:t>
      </w:r>
    </w:p>
    <w:tbl>
      <w:tblPr>
        <w:tblW w:w="9209" w:type="dxa"/>
        <w:jc w:val="left"/>
        <w:tblInd w:w="-25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0a0" w:noVBand="0" w:noHBand="0" w:lastColumn="0" w:firstColumn="1" w:lastRow="0" w:firstRow="1"/>
      </w:tblPr>
      <w:tblGrid>
        <w:gridCol w:w="558"/>
        <w:gridCol w:w="2480"/>
        <w:gridCol w:w="3050"/>
        <w:gridCol w:w="3120"/>
      </w:tblGrid>
      <w:tr>
        <w:trPr>
          <w:trHeight w:val="1114" w:hRule="atLeast"/>
        </w:trPr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Начало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обслуживания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Окончание обслуживания</w:t>
            </w:r>
          </w:p>
        </w:tc>
      </w:tr>
      <w:tr>
        <w:trPr/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1 уровня сложности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заявке заказчика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3-х рабочих дней при наличии з/ч</w:t>
            </w:r>
          </w:p>
        </w:tc>
      </w:tr>
      <w:tr>
        <w:trPr/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2 уровня сложности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заявке заказчика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3-х рабочих дней при наличии з/ч</w:t>
            </w:r>
          </w:p>
        </w:tc>
      </w:tr>
      <w:tr>
        <w:trPr/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3 уровня сложности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заявке заказчика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3-х рабочих дней при наличии з/ч</w:t>
            </w:r>
          </w:p>
        </w:tc>
      </w:tr>
      <w:tr>
        <w:trPr/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 специалиста по обслуживанию техники на месте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(для управления Филиала АЭС)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заявке заказчика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рабочих часов</w:t>
            </w:r>
          </w:p>
        </w:tc>
      </w:tr>
    </w:tbl>
    <w:p>
      <w:pPr>
        <w:pStyle w:val="Normal"/>
        <w:spacing w:before="0" w:after="0"/>
        <w:ind w:left="72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left="72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1-й уровень сложности работ – замена конструктивно простых и легкосъёмных элементов, не связанная с разборкой вычислительной техники, тестирование, настройка пользовательского меню.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2-й уровень сложности работ – замена узлов и блоков вычислительной техники, работы, связанные с разборкой вычислительной техники, регулировка, тестирование узлов, работа в сервисном меню, 2 и более видов работ 1-го уровня.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3-й уровень сложности работ – замена конструктивно сложных элементов вычислительной техники, работы, производимые на детальном уровне, связанные с разборкой узлов и блоков вычислительной техники, замена электронных плат, регулировка, 2 и более видов работ 2-го уровня. 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306"/>
          <w:tab w:val="left" w:pos="7125" w:leader="none"/>
        </w:tabs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Срок исполнения работ по техническому обслуживанию картриджей:</w:t>
      </w:r>
    </w:p>
    <w:tbl>
      <w:tblPr>
        <w:tblW w:w="8953" w:type="dxa"/>
        <w:jc w:val="center"/>
        <w:tblInd w:w="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0a0" w:noVBand="0" w:noHBand="0" w:lastColumn="0" w:firstColumn="1" w:lastRow="0" w:firstRow="1"/>
      </w:tblPr>
      <w:tblGrid>
        <w:gridCol w:w="562"/>
        <w:gridCol w:w="2836"/>
        <w:gridCol w:w="2553"/>
        <w:gridCol w:w="3001"/>
      </w:tblGrid>
      <w:tr>
        <w:trPr>
          <w:trHeight w:val="870" w:hRule="atLeast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Начало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обслуживания</w:t>
            </w:r>
          </w:p>
        </w:tc>
        <w:tc>
          <w:tcPr>
            <w:tcW w:w="3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Окончание обслуживания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Заправка типового картриджа лазерного принтера (удаление отработанного тонера, чистка, заправка тонером)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заявке заказчика</w:t>
            </w:r>
          </w:p>
        </w:tc>
        <w:tc>
          <w:tcPr>
            <w:tcW w:w="3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часа</w:t>
            </w:r>
          </w:p>
        </w:tc>
      </w:tr>
      <w:tr>
        <w:trPr/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Восстановление картриджа лазерного принтера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заявке заказчика</w:t>
            </w:r>
          </w:p>
        </w:tc>
        <w:tc>
          <w:tcPr>
            <w:tcW w:w="3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часа</w:t>
            </w:r>
          </w:p>
        </w:tc>
      </w:tr>
    </w:tbl>
    <w:p>
      <w:pPr>
        <w:pStyle w:val="Normal"/>
        <w:ind w:left="720" w:hanging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2"/>
        </w:numPr>
        <w:jc w:val="both"/>
        <w:rPr>
          <w:b/>
          <w:bCs/>
          <w:sz w:val="24"/>
        </w:rPr>
      </w:pPr>
      <w:r>
        <w:rPr>
          <w:b/>
          <w:bCs/>
          <w:sz w:val="24"/>
        </w:rPr>
        <w:t>Условия проведения работ</w:t>
      </w:r>
      <w:r>
        <w:rPr>
          <w:sz w:val="24"/>
        </w:rPr>
        <w:t>: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в стоимость работ по техническому обслуживанию средств вычислительной техники и картриджей не включает в себя стоимость запасных частей и расходных материалов.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в понятие «техническое обслуживание» не входит установка и сопровождение прикладного программного обеспечения.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объем работ определяется по согласованию с Заказчиком.</w:t>
      </w:r>
    </w:p>
    <w:p>
      <w:pPr>
        <w:pStyle w:val="Normal"/>
        <w:ind w:left="720" w:hanging="0"/>
        <w:jc w:val="both"/>
        <w:rPr>
          <w:color w:val="FF0000"/>
          <w:sz w:val="24"/>
        </w:rPr>
      </w:pPr>
      <w:r>
        <w:rPr>
          <w:color w:val="FF0000"/>
          <w:sz w:val="24"/>
        </w:rPr>
      </w:r>
    </w:p>
    <w:p>
      <w:pPr>
        <w:pStyle w:val="Normal"/>
        <w:numPr>
          <w:ilvl w:val="0"/>
          <w:numId w:val="2"/>
        </w:numPr>
        <w:jc w:val="both"/>
        <w:rPr>
          <w:b/>
          <w:bCs/>
          <w:sz w:val="24"/>
        </w:rPr>
      </w:pPr>
      <w:r>
        <w:rPr>
          <w:b/>
          <w:bCs/>
          <w:sz w:val="24"/>
        </w:rPr>
        <w:t>Общие (обязательные) требования к используемым материалам и запасным частям: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материалы и запасные части должны обеспечивать полную совместимость с оборудованием и при использовании не влиять на прекращение (сокращение) гарантийных обязательств на оборудование и сокращение ресурса их работы, заявленные производителем оборудования.</w:t>
      </w:r>
    </w:p>
    <w:p>
      <w:pPr>
        <w:pStyle w:val="Normal"/>
        <w:ind w:left="720" w:hanging="0"/>
        <w:jc w:val="both"/>
        <w:rPr>
          <w:b/>
          <w:bCs/>
          <w:sz w:val="24"/>
        </w:rPr>
      </w:pPr>
      <w:r>
        <w:rPr>
          <w:sz w:val="24"/>
        </w:rPr>
        <w:t>- материалы и запасные части должны соответствовать требованиям, установленным законодательством Российской Федерации.</w:t>
      </w:r>
    </w:p>
    <w:p>
      <w:pPr>
        <w:pStyle w:val="Normal"/>
        <w:ind w:left="720" w:hanging="0"/>
        <w:jc w:val="both"/>
        <w:rPr>
          <w:b/>
          <w:bCs/>
          <w:sz w:val="24"/>
        </w:rPr>
      </w:pPr>
      <w:r>
        <w:rPr>
          <w:sz w:val="24"/>
        </w:rPr>
        <w:t>- поставляемый расходный материал не должен иметь дефектов, связанных с конструкцией, материалами или работой по их изготовлению;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категорически запрещается поставлять расходные материалы с просроченным сроком годности.</w:t>
      </w:r>
    </w:p>
    <w:p>
      <w:pPr>
        <w:pStyle w:val="Normal"/>
        <w:ind w:left="720" w:hanging="0"/>
        <w:jc w:val="both"/>
        <w:rPr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Normal"/>
        <w:numPr>
          <w:ilvl w:val="0"/>
          <w:numId w:val="2"/>
        </w:numPr>
        <w:jc w:val="both"/>
        <w:rPr>
          <w:b/>
          <w:bCs/>
          <w:sz w:val="24"/>
        </w:rPr>
      </w:pPr>
      <w:r>
        <w:rPr>
          <w:b/>
          <w:bCs/>
          <w:sz w:val="24"/>
        </w:rPr>
        <w:t>Требования по сроку гарантий качества</w:t>
      </w:r>
      <w:r>
        <w:rPr>
          <w:sz w:val="24"/>
        </w:rPr>
        <w:t>: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срок гарантии на произведенные работы должен быть не менее 6 месяцев.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0"/>
          <w:numId w:val="2"/>
        </w:numPr>
        <w:jc w:val="both"/>
        <w:rPr>
          <w:b/>
          <w:bCs/>
          <w:sz w:val="24"/>
        </w:rPr>
      </w:pPr>
      <w:r>
        <w:rPr>
          <w:b/>
          <w:bCs/>
          <w:sz w:val="24"/>
        </w:rPr>
        <w:t>Требования к Участнику закупки</w:t>
      </w:r>
      <w:r>
        <w:rPr>
          <w:i/>
          <w:iCs/>
          <w:sz w:val="24"/>
        </w:rPr>
        <w:t>: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>- в случае выхода из строя оргтехники по причине оказания некачественных услуг, все расходы по ремонту (замене) оргтехники несет Исполнитель.</w:t>
      </w:r>
    </w:p>
    <w:p>
      <w:pPr>
        <w:pStyle w:val="Normal"/>
        <w:ind w:left="720" w:hanging="0"/>
        <w:jc w:val="both"/>
        <w:rPr>
          <w:sz w:val="24"/>
        </w:rPr>
      </w:pPr>
      <w:r>
        <w:rPr>
          <w:sz w:val="24"/>
        </w:rPr>
        <w:t xml:space="preserve">- в составе своей заявки Участник предоставляет расчет стоимости единичных расценок, согласно таблице: </w:t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center"/>
        <w:rPr/>
      </w:pPr>
      <w:r>
        <w:rPr>
          <w:b/>
        </w:rPr>
        <w:t>Стоимость единичных расценок:</w:t>
      </w:r>
    </w:p>
    <w:tbl>
      <w:tblPr>
        <w:tblW w:w="9346" w:type="dxa"/>
        <w:jc w:val="left"/>
        <w:tblInd w:w="-50" w:type="dxa"/>
        <w:tblLayout w:type="fixed"/>
        <w:tblCellMar>
          <w:top w:w="0" w:type="dxa"/>
          <w:left w:w="4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57"/>
        <w:gridCol w:w="5492"/>
        <w:gridCol w:w="710"/>
        <w:gridCol w:w="852"/>
        <w:gridCol w:w="1735"/>
      </w:tblGrid>
      <w:tr>
        <w:trPr>
          <w:trHeight w:val="1050" w:hRule="atLeast"/>
        </w:trPr>
        <w:tc>
          <w:tcPr>
            <w:tcW w:w="5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206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0"/>
              </w:rPr>
              <w:t xml:space="preserve">№ </w:t>
            </w:r>
            <w:r>
              <w:rPr>
                <w:rFonts w:cs="Calibri" w:ascii="Calibri" w:hAnsi="Calibri"/>
                <w:b/>
                <w:bCs/>
                <w:color w:val="000000"/>
                <w:sz w:val="20"/>
              </w:rPr>
              <w:t>п/п</w:t>
            </w:r>
          </w:p>
        </w:tc>
        <w:tc>
          <w:tcPr>
            <w:tcW w:w="5492" w:type="dxa"/>
            <w:tcBorders>
              <w:top w:val="single" w:sz="8" w:space="0" w:color="00000A"/>
              <w:left w:val="single" w:sz="4" w:space="0" w:color="002060"/>
              <w:bottom w:val="single" w:sz="8" w:space="0" w:color="00000A"/>
              <w:right w:val="single" w:sz="4" w:space="0" w:color="002060"/>
            </w:tcBorders>
            <w:shd w:color="000000" w:fill="DDEBF7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710" w:type="dxa"/>
            <w:tcBorders>
              <w:top w:val="single" w:sz="8" w:space="0" w:color="00000A"/>
              <w:left w:val="single" w:sz="4" w:space="0" w:color="002060"/>
              <w:bottom w:val="single" w:sz="8" w:space="0" w:color="00000A"/>
              <w:right w:val="single" w:sz="4" w:space="0" w:color="002060"/>
            </w:tcBorders>
            <w:shd w:color="000000" w:fill="DDEBF7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0"/>
              </w:rPr>
              <w:t xml:space="preserve">Ед. </w:t>
              <w:br/>
              <w:t>изм.</w:t>
            </w:r>
          </w:p>
        </w:tc>
        <w:tc>
          <w:tcPr>
            <w:tcW w:w="852" w:type="dxa"/>
            <w:tcBorders>
              <w:top w:val="single" w:sz="8" w:space="0" w:color="00000A"/>
              <w:left w:val="single" w:sz="4" w:space="0" w:color="002060"/>
              <w:bottom w:val="single" w:sz="8" w:space="0" w:color="00000A"/>
              <w:right w:val="single" w:sz="4" w:space="0" w:color="002060"/>
            </w:tcBorders>
            <w:shd w:color="000000" w:fill="DDEBF7" w:val="clear"/>
            <w:tcMar>
              <w:left w:w="8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0"/>
              </w:rPr>
              <w:t>Кол-во</w:t>
            </w:r>
          </w:p>
        </w:tc>
        <w:tc>
          <w:tcPr>
            <w:tcW w:w="17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color="000000" w:fill="DDEBF7" w:val="clear"/>
            <w:tcMar>
              <w:left w:w="57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0"/>
              </w:rPr>
              <w:t>Цена продукции (товары / работы / услуги</w:t>
              <w:br/>
              <w:t>руб. без НДС)</w:t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1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Техническое обслуживание 1 уровня сложности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2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Техническое обслуживание 2 уровня сложности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3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Техническое обслуживание 3 уровня сложности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4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Выезд специалиста по обслуживанию техники на месте(для управления Филиала АЭС)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5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Заправка типового картриджа лазерного принтера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6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Восстановление картриджа лазерного принтер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7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Brother TN-2375 стоимость тонера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8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Brother TN-3480 стоимость тонера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9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 xml:space="preserve">HP </w:t>
            </w:r>
            <w:r>
              <w:rPr>
                <w:rFonts w:cs="Arial" w:ascii="Arial" w:hAnsi="Arial"/>
                <w:sz w:val="20"/>
                <w:lang w:val="en-US"/>
              </w:rPr>
              <w:t>CB</w:t>
            </w:r>
            <w:r>
              <w:rPr>
                <w:rFonts w:cs="Arial" w:ascii="Arial" w:hAnsi="Arial"/>
                <w:sz w:val="20"/>
              </w:rPr>
              <w:t>435</w:t>
            </w:r>
            <w:r>
              <w:rPr>
                <w:rFonts w:cs="Arial" w:ascii="Arial" w:hAnsi="Arial"/>
                <w:sz w:val="20"/>
                <w:lang w:val="en-US"/>
              </w:rPr>
              <w:t>A</w:t>
            </w:r>
            <w:r>
              <w:rPr>
                <w:rFonts w:cs="Arial" w:ascii="Arial" w:hAnsi="Arial"/>
                <w:sz w:val="20"/>
              </w:rPr>
              <w:t>/ CB436A стоимость тонера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10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cs="Arial" w:ascii="Arial" w:hAnsi="Arial"/>
                <w:sz w:val="20"/>
                <w:lang w:val="en-US"/>
              </w:rPr>
              <w:t xml:space="preserve">HP Q2612A/ Q5949A/ Q7553A/ Canon FX10  </w:t>
            </w:r>
            <w:r>
              <w:rPr>
                <w:rFonts w:cs="Arial" w:ascii="Arial" w:hAnsi="Arial"/>
                <w:sz w:val="20"/>
              </w:rPr>
              <w:t>стоимость</w:t>
            </w:r>
            <w:r>
              <w:rPr>
                <w:rFonts w:cs="Arial" w:ascii="Arial" w:hAnsi="Arial"/>
                <w:sz w:val="20"/>
                <w:lang w:val="en-US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тонера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11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Kyocera TK-130/ TK-1140/ TK-1170  стоимость тонера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12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Kyocera TK-3130/ ТK-3160/ TK-3190/ TK-350  стоимость тонера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13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Kyocera TK-</w:t>
            </w:r>
            <w:r>
              <w:rPr>
                <w:rFonts w:cs="Arial" w:ascii="Arial" w:hAnsi="Arial"/>
                <w:sz w:val="20"/>
                <w:lang w:val="en-US"/>
              </w:rPr>
              <w:t>4105</w:t>
            </w:r>
            <w:r>
              <w:rPr>
                <w:rFonts w:cs="Arial" w:ascii="Arial" w:hAnsi="Arial"/>
                <w:sz w:val="20"/>
              </w:rPr>
              <w:t xml:space="preserve"> стоимость тонера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14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Kyocera TK-6325</w:t>
            </w:r>
            <w:r>
              <w:rPr>
                <w:rFonts w:cs="Arial" w:ascii="Arial" w:hAnsi="Arial"/>
                <w:sz w:val="20"/>
                <w:lang w:val="en-US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стоимость тонера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15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Brother TN-2375 стоимость картриджа 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16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Brother TN-3480 стоимость картриджа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17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 xml:space="preserve">HP </w:t>
            </w:r>
            <w:r>
              <w:rPr>
                <w:rFonts w:cs="Arial" w:ascii="Arial" w:hAnsi="Arial"/>
                <w:sz w:val="20"/>
                <w:lang w:val="en-US"/>
              </w:rPr>
              <w:t>CB</w:t>
            </w:r>
            <w:r>
              <w:rPr>
                <w:rFonts w:cs="Arial" w:ascii="Arial" w:hAnsi="Arial"/>
                <w:sz w:val="20"/>
              </w:rPr>
              <w:t>435</w:t>
            </w:r>
            <w:r>
              <w:rPr>
                <w:rFonts w:cs="Arial" w:ascii="Arial" w:hAnsi="Arial"/>
                <w:sz w:val="20"/>
                <w:lang w:val="en-US"/>
              </w:rPr>
              <w:t>A</w:t>
            </w:r>
            <w:r>
              <w:rPr>
                <w:rFonts w:cs="Arial" w:ascii="Arial" w:hAnsi="Arial"/>
                <w:sz w:val="20"/>
              </w:rPr>
              <w:t>/ CB436A стоимость картриджа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18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HP Q2612A\</w:t>
            </w:r>
            <w:r>
              <w:rPr>
                <w:rFonts w:cs="Arial" w:ascii="Arial" w:hAnsi="Arial"/>
                <w:sz w:val="20"/>
                <w:lang w:val="en-US"/>
              </w:rPr>
              <w:t>Canon</w:t>
            </w: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  <w:lang w:val="en-US"/>
              </w:rPr>
              <w:t>FX</w:t>
            </w:r>
            <w:r>
              <w:rPr>
                <w:rFonts w:cs="Arial" w:ascii="Arial" w:hAnsi="Arial"/>
                <w:sz w:val="20"/>
              </w:rPr>
              <w:t>10 стоимость картриджа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19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HP Q5949A/</w:t>
            </w:r>
            <w:r>
              <w:rPr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Q7553A стоимость картриджа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20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Kyocera TK-130 стоимость картриджа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21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Kyocera TK-1140 стоимость картриджа 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22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Kyocera TK-1170 стоимость картриджа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23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Kyocera TK-3130 стоимость картриджа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24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Kyocera TK-3190 стоимость картрид</w:t>
            </w:r>
            <w:bookmarkStart w:id="0" w:name="_GoBack"/>
            <w:bookmarkEnd w:id="0"/>
            <w:r>
              <w:rPr>
                <w:rFonts w:cs="Arial" w:ascii="Arial" w:hAnsi="Arial"/>
                <w:sz w:val="20"/>
              </w:rPr>
              <w:t>жа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25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Kyocera TK-350 стоимость картриджа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26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Kyocera TK-4105 стоимость картриджа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27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Kyocera TK-6325 стоимость картриджа (оригинал)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28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Kyocera ТK-3160 стоимость картриджа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284" w:hRule="atLeast"/>
        </w:trPr>
        <w:tc>
          <w:tcPr>
            <w:tcW w:w="557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  <w:t>29</w:t>
            </w:r>
          </w:p>
        </w:tc>
        <w:tc>
          <w:tcPr>
            <w:tcW w:w="5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rFonts w:cs="Arial" w:ascii="Arial" w:hAnsi="Arial"/>
                <w:sz w:val="20"/>
              </w:rPr>
              <w:t>Kyocera ТK-3430 стоимость картриджа (оригинал)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8" w:space="0" w:color="002060"/>
            </w:tcBorders>
            <w:shd w:color="000000" w:fill="D9D9D9" w:val="clear"/>
            <w:tcMar>
              <w:left w:w="78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</w:r>
          </w:p>
        </w:tc>
      </w:tr>
      <w:tr>
        <w:trPr>
          <w:trHeight w:val="315" w:hRule="atLeast"/>
        </w:trPr>
        <w:tc>
          <w:tcPr>
            <w:tcW w:w="7611" w:type="dxa"/>
            <w:gridSpan w:val="4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4" w:space="0" w:color="00206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2060"/>
                <w:sz w:val="20"/>
              </w:rPr>
              <w:t>ИТОГО без НДС, руб.</w:t>
            </w:r>
          </w:p>
        </w:tc>
        <w:tc>
          <w:tcPr>
            <w:tcW w:w="173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color="000000" w:fill="DDEBF7" w:val="clear"/>
            <w:tcMar>
              <w:left w:w="57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0"/>
              </w:rPr>
            </w:r>
          </w:p>
        </w:tc>
      </w:tr>
      <w:tr>
        <w:trPr>
          <w:trHeight w:val="300" w:hRule="atLeast"/>
        </w:trPr>
        <w:tc>
          <w:tcPr>
            <w:tcW w:w="7611" w:type="dxa"/>
            <w:gridSpan w:val="4"/>
            <w:tcBorders>
              <w:top w:val="single" w:sz="8" w:space="0" w:color="00206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shd w:color="000000" w:fill="DDEBF7" w:val="clea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  <w:t>Кроме того, НДС, руб. (20%)</w:t>
            </w:r>
          </w:p>
        </w:tc>
        <w:tc>
          <w:tcPr>
            <w:tcW w:w="1735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8" w:space="0" w:color="002060"/>
            </w:tcBorders>
            <w:shd w:color="000000" w:fill="DDEBF7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</w:r>
          </w:p>
        </w:tc>
      </w:tr>
      <w:tr>
        <w:trPr>
          <w:trHeight w:val="315" w:hRule="atLeast"/>
        </w:trPr>
        <w:tc>
          <w:tcPr>
            <w:tcW w:w="7611" w:type="dxa"/>
            <w:gridSpan w:val="4"/>
            <w:tcBorders>
              <w:top w:val="single" w:sz="4" w:space="0" w:color="002060"/>
              <w:left w:val="single" w:sz="8" w:space="0" w:color="002060"/>
              <w:bottom w:val="single" w:sz="8" w:space="0" w:color="002060"/>
              <w:right w:val="single" w:sz="4" w:space="0" w:color="002060"/>
            </w:tcBorders>
            <w:shd w:color="000000" w:fill="DDEBF7" w:val="clea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color w:val="002060"/>
                <w:sz w:val="20"/>
              </w:rPr>
            </w:pPr>
            <w:r>
              <w:rPr>
                <w:rFonts w:cs="Calibri" w:ascii="Calibri" w:hAnsi="Calibri"/>
                <w:color w:val="002060"/>
                <w:sz w:val="20"/>
              </w:rPr>
              <w:t>ИТОГО с НДС, руб.</w:t>
            </w:r>
          </w:p>
        </w:tc>
        <w:tc>
          <w:tcPr>
            <w:tcW w:w="173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color="000000" w:fill="DDEBF7" w:val="clear"/>
            <w:tcMar>
              <w:left w:w="57" w:type="dxa"/>
            </w:tcMar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cs="Calibri" w:ascii="Calibri" w:hAnsi="Calibri"/>
                <w:color w:val="000000"/>
                <w:sz w:val="20"/>
              </w:rPr>
            </w:r>
          </w:p>
        </w:tc>
      </w:tr>
    </w:tbl>
    <w:tbl>
      <w:tblPr>
        <w:tblStyle w:val="ac"/>
        <w:tblW w:w="9355" w:type="dxa"/>
        <w:jc w:val="left"/>
        <w:tblInd w:w="0" w:type="dxa"/>
        <w:tblLayout w:type="fixed"/>
        <w:tblCellMar>
          <w:top w:w="0" w:type="dxa"/>
          <w:left w:w="13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742"/>
        <w:gridCol w:w="2505"/>
        <w:gridCol w:w="3108"/>
      </w:tblGrid>
      <w:tr>
        <w:trPr/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/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6"/>
                <w:szCs w:val="24"/>
              </w:rPr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30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0120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basedOn w:val="DefaultParagraphFont"/>
    <w:qFormat/>
    <w:rsid w:val="00f0120e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0" w:customStyle="1">
    <w:name w:val="Абзац списка Знак"/>
    <w:uiPriority w:val="34"/>
    <w:qFormat/>
    <w:locked/>
    <w:rsid w:val="00b13833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b9525b"/>
    <w:rPr>
      <w:rFonts w:ascii="Segoe UI" w:hAnsi="Segoe UI" w:eastAsia="Times New Roman" w:cs="Segoe UI"/>
      <w:sz w:val="18"/>
      <w:szCs w:val="18"/>
      <w:lang w:eastAsia="ru-RU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rsid w:val="00f0120e"/>
    <w:pPr>
      <w:jc w:val="both"/>
    </w:pPr>
    <w:rPr>
      <w:sz w:val="24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b13833"/>
    <w:pPr>
      <w:spacing w:lineRule="auto" w:line="360"/>
      <w:ind w:left="708" w:firstLine="567"/>
      <w:jc w:val="both"/>
    </w:pPr>
    <w:rPr>
      <w:sz w:val="28"/>
    </w:rPr>
  </w:style>
  <w:style w:type="paragraph" w:styleId="BalloonText">
    <w:name w:val="Balloon Text"/>
    <w:basedOn w:val="Normal"/>
    <w:uiPriority w:val="99"/>
    <w:semiHidden/>
    <w:unhideWhenUsed/>
    <w:qFormat/>
    <w:rsid w:val="00b9525b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b13833"/>
    <w:rPr>
      <w:sz w:val="24"/>
      <w:szCs w:val="24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Application>AlterOffice/3.3.1.3$Linux_X86_64 LibreOffice_project/90d829a0d92d6015ad4fa014ce4f460a7fe6c0ba</Application>
  <AppVersion>15.0000</AppVersion>
  <Pages>3</Pages>
  <Words>722</Words>
  <Characters>4565</Characters>
  <CharactersWithSpaces>5107</CharactersWithSpaces>
  <Paragraphs>186</Paragraphs>
  <Company>ОА ДРСК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2020-08-31T00:57:00Z</dcterms:created>
  <dc:creator>Кривобоков Денис Алексеевич</dc:creator>
  <dc:description/>
  <dc:language>ru-RU</dc:language>
  <cp:lastModifiedBy>kenina_ne</cp:lastModifiedBy>
  <cp:lastPrinted>2020-08-31T00:11:00Z</cp:lastPrinted>
  <dcterms:modified xsi:type="dcterms:W3CDTF">2026-09-16T13:50:53Z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