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1.png" ContentType="image/png"/>
  <Override PartName="/word/media/image6.wmf" ContentType="image/x-wmf"/>
  <Override PartName="/word/media/image5.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left="0" w:right="0" w:hanging="0"/>
        <w:jc w:val="center"/>
        <w:rPr>
          <w:b/>
          <w:szCs w:val="28"/>
        </w:rPr>
      </w:pPr>
      <w:r>
        <w:rPr/>
        <w:drawing>
          <wp:inline distT="0" distB="0" distL="0" distR="0">
            <wp:extent cx="1536700" cy="5588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536700" cy="558800"/>
                    </a:xfrm>
                    <a:prstGeom prst="rect">
                      <a:avLst/>
                    </a:prstGeom>
                  </pic:spPr>
                </pic:pic>
              </a:graphicData>
            </a:graphic>
          </wp:inline>
        </w:drawing>
      </w:r>
    </w:p>
    <w:p>
      <w:pPr>
        <w:pStyle w:val="Normal"/>
        <w:spacing w:before="0" w:after="0"/>
        <w:jc w:val="center"/>
        <w:rPr>
          <w:b/>
          <w:sz w:val="28"/>
          <w:szCs w:val="28"/>
        </w:rPr>
      </w:pPr>
      <w:r>
        <w:rPr>
          <w:b/>
          <w:bCs/>
          <w:sz w:val="28"/>
          <w:szCs w:val="28"/>
        </w:rPr>
        <w:t>Акционерное Общество</w:t>
      </w:r>
    </w:p>
    <w:p>
      <w:pPr>
        <w:pStyle w:val="Normal"/>
        <w:spacing w:before="0" w:after="0"/>
        <w:jc w:val="center"/>
        <w:rPr>
          <w:b/>
          <w:sz w:val="28"/>
          <w:szCs w:val="28"/>
        </w:rPr>
      </w:pPr>
      <w:r>
        <w:rPr>
          <w:b/>
          <w:sz w:val="28"/>
          <w:szCs w:val="28"/>
        </w:rPr>
        <w:t xml:space="preserve">«Дальневосточная распределительная сетевая </w:t>
      </w:r>
      <w:r>
        <w:rPr>
          <w:sz w:val="28"/>
          <w:szCs w:val="28"/>
        </w:rPr>
        <w:t xml:space="preserve"> </w:t>
      </w:r>
      <w:r>
        <w:rPr>
          <w:b/>
          <w:sz w:val="28"/>
          <w:szCs w:val="28"/>
        </w:rPr>
        <w:t>компания</w:t>
      </w:r>
    </w:p>
    <w:p>
      <w:pPr>
        <w:pStyle w:val="Normal"/>
        <w:ind w:left="4395" w:firstLine="1134"/>
        <w:rPr>
          <w:szCs w:val="28"/>
        </w:rPr>
      </w:pPr>
      <w:r>
        <w:rPr>
          <w:szCs w:val="28"/>
        </w:rPr>
      </w:r>
    </w:p>
    <w:p>
      <w:pPr>
        <w:pStyle w:val="Normal"/>
        <w:ind w:left="5529" w:hanging="0"/>
        <w:rPr/>
      </w:pPr>
      <w:r>
        <w:rPr/>
        <w:t>«УТВЕРЖДАЮ»</w:t>
      </w:r>
    </w:p>
    <w:p>
      <w:pPr>
        <w:pStyle w:val="Normal"/>
        <w:ind w:left="5529" w:hanging="0"/>
        <w:rPr/>
      </w:pPr>
      <w:r>
        <w:rPr/>
        <w:t>Председатель закупочной комиссии</w:t>
      </w:r>
    </w:p>
    <w:p>
      <w:pPr>
        <w:pStyle w:val="Normal"/>
        <w:ind w:left="5529" w:hanging="0"/>
        <w:rPr/>
      </w:pPr>
      <w:r>
        <w:rPr/>
      </w:r>
    </w:p>
    <w:p>
      <w:pPr>
        <w:pStyle w:val="Normal"/>
        <w:ind w:left="5529" w:hanging="0"/>
        <w:rPr/>
      </w:pPr>
      <w:r>
        <w:rPr/>
        <w:t>_______________</w:t>
      </w:r>
    </w:p>
    <w:p>
      <w:pPr>
        <w:pStyle w:val="Normal"/>
        <w:ind w:left="5529" w:hanging="0"/>
        <w:rPr/>
      </w:pPr>
      <w:r>
        <w:rPr>
          <w:b/>
          <w:bCs/>
          <w:caps/>
        </w:rPr>
        <w:t>04.09.2026</w:t>
      </w:r>
    </w:p>
    <w:p>
      <w:pPr>
        <w:pStyle w:val="Style30"/>
        <w:keepNext w:val="true"/>
        <w:ind w:left="4536" w:hanging="0"/>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8"/>
        </w:rPr>
      </w:pPr>
      <w:r>
        <w:rPr/>
        <w:t>Запрос предложений в электронной форме,</w:t>
        <w:br/>
        <w:t>участниками которого могут быть только субъекты МСП,</w:t>
        <w:br/>
        <w:t>на право заключения договора на </w:t>
      </w:r>
      <w:r>
        <w:rPr>
          <w:rStyle w:val="Style8"/>
          <w:b/>
          <w:bCs/>
          <w:caps w:val="false"/>
          <w:smallCaps w:val="false"/>
          <w:strike w:val="false"/>
          <w:dstrike w:val="false"/>
          <w:color w:val="222222"/>
          <w:spacing w:val="0"/>
          <w:sz w:val="26"/>
          <w:szCs w:val="26"/>
          <w:u w:val="none"/>
          <w:effect w:val="none"/>
          <w:shd w:fill="auto" w:val="clear"/>
        </w:rPr>
        <w:t>лот 17101-ТПИР ОБСЛ-2026-ДРСК-АЭС</w:t>
        <w:tab/>
        <w:t>ОКПД2 43.21.10.290. Выполнение работ по оснащению ПС 35 и 110 кВ блок-контейнерами связи на территории обслуживания филиала "Амурские электрические сети"</w:t>
      </w:r>
    </w:p>
    <w:p>
      <w:pPr>
        <w:pStyle w:val="Style30"/>
        <w:spacing w:before="240" w:after="0"/>
        <w:jc w:val="center"/>
        <w:rPr>
          <w:rStyle w:val="Style8"/>
        </w:rPr>
      </w:pPr>
      <w:r>
        <w:rPr>
          <w:rStyle w:val="Style8"/>
          <w:b/>
          <w:bCs/>
          <w:caps w:val="false"/>
          <w:smallCaps w:val="false"/>
          <w:strike w:val="false"/>
          <w:dstrike w:val="false"/>
          <w:color w:val="222222"/>
          <w:spacing w:val="0"/>
          <w:sz w:val="26"/>
          <w:szCs w:val="26"/>
          <w:u w:val="none"/>
          <w:effect w:val="none"/>
          <w:shd w:fill="auto" w:val="clear"/>
        </w:rPr>
        <w:t>повторно</w:t>
      </w:r>
    </w:p>
    <w:p>
      <w:pPr>
        <w:pStyle w:val="Style30"/>
        <w:spacing w:before="240" w:after="0"/>
        <w:jc w:val="center"/>
        <w:rPr>
          <w:rStyle w:val="Style8"/>
        </w:rPr>
      </w:pPr>
      <w:r>
        <w:rPr/>
      </w:r>
    </w:p>
    <w:p>
      <w:pPr>
        <w:pStyle w:val="Style30"/>
        <w:spacing w:before="240" w:after="0"/>
        <w:jc w:val="center"/>
        <w:rPr>
          <w:rStyle w:val="Style8"/>
        </w:rPr>
      </w:pPr>
      <w:r>
        <w:rPr/>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rStyle w:val="Style8"/>
        </w:rPr>
      </w:pPr>
      <w:r>
        <w:rPr>
          <w:rStyle w:val="Style8"/>
          <w:b/>
          <w:bCs/>
          <w:caps w:val="false"/>
          <w:smallCaps w:val="false"/>
          <w:strike w:val="false"/>
          <w:dstrike w:val="false"/>
          <w:color w:val="222222"/>
          <w:spacing w:val="0"/>
          <w:sz w:val="26"/>
          <w:szCs w:val="26"/>
          <w:u w:val="none"/>
          <w:effect w:val="none"/>
        </w:rPr>
        <w:t>ред. 16.09.2026</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"[РусГидро] Пункт,3,УРОВЕНЬ_-,5,[РГ] Подпункт,4,[РГ] Подраздел,2,[РГ] Раздел,1,[РГ] Раздел,1,[РГ]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Подраздел,2,[РГ] Подраздел,2,[РусГидро] Пункт,3,[РусГидро] Пункт,3,[РусГидро] Пункт,3,[РусГидро]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Подпункт,4,[РГ] Подпункт,4,УРОВЕНЬ_-,5,УРОВЕНЬ_-,5,УРОВЕНЬ_-,5,УРОВЕНЬ_-,5,УРОВЕНЬ_-,5,УРОВЕНЬ_-,5,УРОВЕНЬ_-,5,УРОВЕНЬ_-,5,УРОВЕНЬ_-,5,УРОВЕНЬ_-,5"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8"/>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8"/>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8"/>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8"/>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left="0" w:hanging="0"/>
        <w:outlineLvl w:val="0"/>
        <w:rPr/>
      </w:pPr>
      <w:bookmarkStart w:id="0" w:name="_Toc228877668"/>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8877669"/>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Ref125359988"/>
      <w:bookmarkStart w:id="4" w:name="_Toc228877670"/>
      <w:r>
        <w:rPr/>
        <w:t>Основные сведения о закупке</w:t>
      </w:r>
      <w:bookmarkEnd w:id="3"/>
      <w:bookmarkEnd w:id="4"/>
    </w:p>
    <w:p>
      <w:pPr>
        <w:pStyle w:val="Style25"/>
        <w:rPr/>
      </w:pPr>
      <w:bookmarkStart w:id="5" w:name="_Toc228877671"/>
      <w:r>
        <w:rPr/>
        <w:t>Статус настоящего раздела</w:t>
      </w:r>
      <w:bookmarkEnd w:id="5"/>
    </w:p>
    <w:p>
      <w:pPr>
        <w:pStyle w:val="Style26"/>
        <w:numPr>
          <w:ilvl w:val="0"/>
          <w:numId w:val="0"/>
        </w:numPr>
        <w:ind w:left="0" w:hanging="0"/>
        <w:rPr/>
      </w:pPr>
      <w:r>
        <w:rPr/>
        <w:t>В настоящем разделе содержатся основные сведения о предмете, способе и иных ключевых условиях проводимой закупки.</w:t>
      </w:r>
    </w:p>
    <w:p>
      <w:pPr>
        <w:pStyle w:val="Style26"/>
        <w:numPr>
          <w:ilvl w:val="0"/>
          <w:numId w:val="0"/>
        </w:numPr>
        <w:ind w:left="0" w:hanging="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numPr>
          <w:ilvl w:val="0"/>
          <w:numId w:val="0"/>
        </w:numPr>
        <w:ind w:left="0" w:hanging="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Ref125359973"/>
      <w:bookmarkStart w:id="7" w:name="_Ref127270076"/>
      <w:bookmarkStart w:id="8" w:name="_Ref132876309"/>
      <w:bookmarkStart w:id="9" w:name="_Toc228877672"/>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6"/>
        <w:gridCol w:w="2891"/>
        <w:gridCol w:w="5895"/>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891"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Наименование пункта</w:t>
            </w:r>
          </w:p>
        </w:tc>
        <w:tc>
          <w:tcPr>
            <w:tcW w:w="589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Содержание пункта</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Способ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Предмет Договора</w:t>
              <w:br/>
              <w:t>(в том числе номер лота):</w:t>
            </w:r>
          </w:p>
        </w:tc>
        <w:tc>
          <w:tcPr>
            <w:tcW w:w="5895" w:type="dxa"/>
            <w:tcBorders/>
          </w:tcPr>
          <w:p>
            <w:pPr>
              <w:pStyle w:val="Normal"/>
              <w:keepNext w:val="true"/>
              <w:widowControl w:val="false"/>
              <w:suppressAutoHyphens w:val="true"/>
              <w:spacing w:before="240" w:after="0"/>
              <w:jc w:val="left"/>
              <w:rPr/>
            </w:pPr>
            <w:r>
              <w:rPr>
                <w:rStyle w:val="Style8"/>
                <w:rFonts w:eastAsia="Calibri" w:cs=""/>
                <w:b/>
                <w:bCs/>
                <w:caps w:val="false"/>
                <w:smallCaps w:val="false"/>
                <w:strike w:val="false"/>
                <w:dstrike w:val="false"/>
                <w:color w:val="222222"/>
                <w:spacing w:val="0"/>
                <w:kern w:val="0"/>
                <w:sz w:val="24"/>
                <w:szCs w:val="24"/>
                <w:u w:val="none"/>
                <w:effect w:val="none"/>
                <w:shd w:fill="auto" w:val="clear"/>
                <w:lang w:eastAsia="en-US" w:bidi="ar-SA"/>
              </w:rPr>
              <w:tab/>
              <w:t>ОКПД2 43.21.10.290. Выполнение работ по оснащению ПС 35 и 110 кВ блок-контейнерами связи на территории обслуживания филиала "Амурские электрические сети" лот 17101-ТПИР ОБСЛ-2026-ДРСК-АЭС</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Описание</w:t>
              <w:br/>
              <w:t>предмета закупки: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4"/>
                  <w:szCs w:val="24"/>
                  <w:lang w:val="ru-RU" w:eastAsia="en-US" w:bidi="ar-SA"/>
                </w:rPr>
                <w:t>Технических требованиях (Приложении № 1)</w:t>
              </w:r>
            </w:hyperlink>
            <w:r>
              <w:rPr>
                <w:rFonts w:eastAsia="Calibri" w:cs=""/>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Многолотовая закупка:</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Нет.</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Наименование и адрес ЭП, на которой проводится закупка:</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Электронная торговая площадка: Электронная (торговая) площадка: </w:t>
            </w:r>
            <w:hyperlink r:id="rId3">
              <w:r>
                <w:rPr>
                  <w:rStyle w:val="Hyperlink"/>
                  <w:rFonts w:eastAsia="Calibri" w:cs=""/>
                  <w:kern w:val="0"/>
                  <w:sz w:val="24"/>
                  <w:szCs w:val="24"/>
                  <w:lang w:val="ru-RU" w:eastAsia="en-US" w:bidi="ar-SA"/>
                </w:rPr>
                <w:t>https://tender.lot-online.ru</w:t>
              </w:r>
            </w:hyperlink>
          </w:p>
          <w:p>
            <w:pPr>
              <w:pStyle w:val="Normal"/>
              <w:widowControl w:val="false"/>
              <w:suppressAutoHyphens w:val="true"/>
              <w:spacing w:before="0" w:after="0"/>
              <w:jc w:val="left"/>
              <w:rPr>
                <w:bCs/>
                <w:sz w:val="24"/>
                <w:szCs w:val="24"/>
                <w:highlight w:val="none"/>
                <w:shd w:fill="auto" w:val="clear"/>
              </w:rPr>
            </w:pPr>
            <w:r>
              <w:rPr>
                <w:bCs/>
                <w:sz w:val="24"/>
                <w:szCs w:val="24"/>
                <w:shd w:fill="auto" w:val="clear"/>
              </w:rPr>
            </w:r>
          </w:p>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Регламент РАД, в соответствии с которым проводится закупка, размещен по адресу:</w:t>
            </w:r>
          </w:p>
          <w:p>
            <w:pPr>
              <w:pStyle w:val="Style30"/>
              <w:widowControl w:val="false"/>
              <w:suppressAutoHyphens w:val="true"/>
              <w:spacing w:before="60" w:after="60"/>
              <w:rPr/>
            </w:pPr>
            <w:hyperlink r:id="rId4" w:tgtFrame="https://tender.lot-online.ru/app/EtpDocList/page">
              <w:r>
                <w:rPr>
                  <w:rStyle w:val="Hyperlink"/>
                  <w:rFonts w:eastAsia="Calibri" w:cs=""/>
                  <w:kern w:val="0"/>
                  <w:sz w:val="24"/>
                  <w:szCs w:val="24"/>
                  <w:lang w:val="ru-RU" w:eastAsia="en-US" w:bidi="ar-SA"/>
                </w:rPr>
                <w:t>https://tender.lot-online.ru/app/EtpDocList/page</w:t>
              </w:r>
            </w:hyperlink>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Участники: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4"/>
                  <w:szCs w:val="24"/>
                  <w:lang w:val="ru-RU" w:eastAsia="en-US" w:bidi="ar-SA"/>
                </w:rPr>
                <w:t>Проекта Договора (Приложение № 2)</w:t>
              </w:r>
            </w:hyperlink>
            <w:r>
              <w:rPr>
                <w:rFonts w:eastAsia="Calibri" w:cs=""/>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Заказчик:</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i w:val="false"/>
                <w:sz w:val="24"/>
                <w:szCs w:val="24"/>
                <w:shd w:fill="auto" w:val="clear"/>
              </w:rPr>
              <w:t>Контактный телефон: (4162) 397-</w:t>
            </w:r>
            <w:r>
              <w:rPr>
                <w:rStyle w:val="Style18"/>
                <w:b/>
                <w:sz w:val="24"/>
                <w:szCs w:val="24"/>
                <w:shd w:fill="auto" w:val="clear"/>
              </w:rPr>
              <w:t>307</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sz w:val="24"/>
                <w:szCs w:val="24"/>
                <w:shd w:fill="auto" w:val="clear"/>
              </w:rPr>
              <w:t>Контактный телефон: (4162) 397-307</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Представитель Организатора:</w:t>
            </w:r>
          </w:p>
        </w:tc>
        <w:tc>
          <w:tcPr>
            <w:tcW w:w="5895" w:type="dxa"/>
            <w:tcBorders/>
          </w:tcPr>
          <w:p>
            <w:pPr>
              <w:pStyle w:val="Style30"/>
              <w:widowControl w:val="false"/>
              <w:suppressAutoHyphens w:val="true"/>
              <w:spacing w:before="60" w:after="60"/>
              <w:rPr/>
            </w:pPr>
            <w:r>
              <w:rPr>
                <w:rStyle w:val="Style8"/>
                <w:b w:val="false"/>
                <w:i w:val="false"/>
                <w:iCs w:val="false"/>
                <w:sz w:val="24"/>
                <w:szCs w:val="24"/>
                <w:shd w:fill="auto" w:val="clear"/>
                <w:lang w:val="ru-RU"/>
              </w:rPr>
              <w:t>Контактное лицо: Игнатова Татьяна Анатольевна Контактный телефон: 8 (4162) 397-307</w:t>
            </w:r>
          </w:p>
          <w:p>
            <w:pPr>
              <w:pStyle w:val="Style30"/>
              <w:widowControl w:val="false"/>
              <w:suppressAutoHyphens w:val="true"/>
              <w:spacing w:before="60" w:after="60"/>
              <w:rPr/>
            </w:pPr>
            <w:r>
              <w:rPr>
                <w:rStyle w:val="Style8"/>
                <w:i w:val="false"/>
                <w:iCs w:val="false"/>
                <w:sz w:val="24"/>
                <w:szCs w:val="24"/>
                <w:shd w:fill="auto" w:val="clear"/>
              </w:rPr>
              <w:t xml:space="preserve">Адрес электронной почты: </w:t>
            </w:r>
            <w:hyperlink r:id="rId5">
              <w:r>
                <w:rPr>
                  <w:rStyle w:val="Hyperlink"/>
                  <w:i w:val="false"/>
                  <w:iCs w:val="false"/>
                  <w:sz w:val="24"/>
                  <w:szCs w:val="24"/>
                  <w:shd w:fill="auto" w:val="clear"/>
                </w:rPr>
                <w:t>ignato</w:t>
              </w:r>
              <w:r>
                <w:rPr>
                  <w:rStyle w:val="Hyperlink"/>
                  <w:sz w:val="24"/>
                  <w:szCs w:val="24"/>
                </w:rPr>
                <w:t>va-ta@drsk.ru</w:t>
              </w:r>
            </w:hyperlink>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размещения Извещения о проведении закупки:</w:t>
            </w:r>
          </w:p>
        </w:tc>
        <w:tc>
          <w:tcPr>
            <w:tcW w:w="5895" w:type="dxa"/>
            <w:tcBorders/>
          </w:tcPr>
          <w:p>
            <w:pPr>
              <w:pStyle w:val="Style30"/>
              <w:widowControl w:val="false"/>
              <w:suppressAutoHyphens w:val="true"/>
              <w:spacing w:before="60" w:after="60"/>
              <w:rPr/>
            </w:pPr>
            <w:r>
              <w:rPr>
                <w:rStyle w:val="Style8"/>
                <w:rFonts w:eastAsia="Calibri" w:cs=""/>
                <w:b w:val="false"/>
                <w:bCs w:val="false"/>
                <w:i w:val="false"/>
                <w:iCs w:val="false"/>
                <w:kern w:val="0"/>
                <w:sz w:val="24"/>
                <w:szCs w:val="24"/>
                <w:shd w:fill="auto" w:val="clear"/>
                <w:lang w:val="ru-RU" w:eastAsia="en-US" w:bidi="ar-SA"/>
              </w:rPr>
              <w:t>04.09.26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Начальная (максимальная) цена договора (цена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НМЦ составляет 5 992 799,16 руб., без учета НДС.</w:t>
            </w:r>
          </w:p>
          <w:p>
            <w:pPr>
              <w:pStyle w:val="Style30"/>
              <w:widowControl w:val="false"/>
              <w:suppressAutoHyphens w:val="true"/>
              <w:spacing w:before="60" w:after="60"/>
              <w:rPr/>
            </w:pPr>
            <w:r>
              <w:rPr>
                <w:rFonts w:eastAsia="Calibri" w:cs=""/>
                <w:kern w:val="0"/>
                <w:sz w:val="24"/>
                <w:szCs w:val="24"/>
                <w:lang w:val="ru-RU" w:eastAsia="en-US" w:bidi="ar-SA"/>
              </w:rPr>
              <w:t xml:space="preserve">Обоснование НМЦ представлено в </w:t>
            </w:r>
            <w:hyperlink w:anchor="Прил09_ОбоснованиеНМЦ">
              <w:r>
                <w:rPr>
                  <w:rStyle w:val="Style11"/>
                  <w:rFonts w:eastAsia="Calibri" w:cs=""/>
                  <w:kern w:val="0"/>
                  <w:sz w:val="24"/>
                  <w:szCs w:val="24"/>
                  <w:lang w:val="ru-RU" w:eastAsia="en-US" w:bidi="ar-SA"/>
                </w:rPr>
                <w:t>Приложении № 9</w:t>
              </w:r>
            </w:hyperlink>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Обеспечение заявки на участие в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требуется.</w:t>
            </w:r>
          </w:p>
          <w:p>
            <w:pPr>
              <w:pStyle w:val="Style33"/>
              <w:widowControl w:val="false"/>
              <w:suppressAutoHyphens w:val="true"/>
              <w:spacing w:before="60" w:after="60"/>
              <w:rPr>
                <w:rStyle w:val="Style8"/>
                <w:rFonts w:ascii="Times New Roman" w:hAnsi="Times New Roman" w:eastAsia="Calibri" w:cs=""/>
                <w:i w:val="false"/>
                <w:i w:val="false"/>
                <w:iCs w:val="false"/>
                <w:kern w:val="0"/>
                <w:sz w:val="24"/>
                <w:szCs w:val="24"/>
                <w:shd w:fill="auto" w:val="clear"/>
                <w:lang w:val="ru-RU" w:eastAsia="en-US" w:bidi="ar-SA"/>
              </w:rPr>
            </w:pPr>
            <w:r>
              <w:rPr>
                <w:rFonts w:eastAsia="Calibri" w:cs=""/>
                <w:i w:val="false"/>
                <w:iCs w:val="false"/>
                <w:kern w:val="0"/>
                <w:sz w:val="24"/>
                <w:szCs w:val="24"/>
                <w:shd w:fill="auto" w:val="clear"/>
                <w:lang w:val="ru-RU" w:eastAsia="en-US" w:bidi="ar-SA"/>
              </w:rPr>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Требования</w:t>
              <w:br/>
              <w:t>к описанию продукции: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Применение законодательства о национальном режиме: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Национальный режим предоставляется.</w:t>
            </w:r>
          </w:p>
          <w:p>
            <w:pPr>
              <w:pStyle w:val="Style33"/>
              <w:keepNext w:val="true"/>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и порядок</w:t>
              <w:br/>
              <w:t>подачи заявок:</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Заявки подаются посредством функционала ЭП, по адресу ЭП, указанному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Заявка должна состоять из двух частей и ценового предложения.</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начала; дата и время окончания срока подачи заявок:</w:t>
            </w:r>
          </w:p>
        </w:tc>
        <w:tc>
          <w:tcPr>
            <w:tcW w:w="5895" w:type="dxa"/>
            <w:tcBorders/>
          </w:tcPr>
          <w:p>
            <w:pPr>
              <w:pStyle w:val="Style30"/>
              <w:widowControl w:val="false"/>
              <w:suppressAutoHyphens w:val="true"/>
              <w:spacing w:before="60" w:after="60"/>
              <w:rPr>
                <w:sz w:val="24"/>
                <w:szCs w:val="24"/>
              </w:rPr>
            </w:pPr>
            <w:r>
              <w:rPr>
                <w:sz w:val="24"/>
                <w:szCs w:val="24"/>
              </w:rPr>
              <w:t>Дата начала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04.09.2026</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Дата и время окончания срока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23</w:t>
            </w:r>
            <w:r>
              <w:rPr>
                <w:rFonts w:eastAsia="Calibri" w:cs=""/>
                <w:kern w:val="0"/>
                <w:sz w:val="24"/>
                <w:szCs w:val="24"/>
                <w:lang w:val="ru-RU" w:eastAsia="en-US" w:bidi="ar-SA"/>
              </w:rPr>
              <w:t>.09.2026 г. в 09 ч. 00 мин.</w:t>
            </w:r>
          </w:p>
          <w:p>
            <w:pPr>
              <w:pStyle w:val="Style30"/>
              <w:widowControl w:val="false"/>
              <w:suppressAutoHyphens w:val="true"/>
              <w:spacing w:before="60" w:after="60"/>
              <w:rPr>
                <w:sz w:val="24"/>
                <w:szCs w:val="24"/>
              </w:rPr>
            </w:pPr>
            <w:r>
              <w:rPr>
                <w:sz w:val="24"/>
                <w:szCs w:val="24"/>
              </w:rPr>
              <w:t>(по московскому времени).</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предоставления Участникам разъяснений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и время окончания срока предоставления разъяснений:</w:t>
            </w:r>
          </w:p>
          <w:p>
            <w:pPr>
              <w:pStyle w:val="Style30"/>
              <w:widowControl w:val="false"/>
              <w:suppressAutoHyphens w:val="true"/>
              <w:spacing w:before="60" w:after="60"/>
              <w:rPr>
                <w:sz w:val="24"/>
                <w:szCs w:val="24"/>
              </w:rPr>
            </w:pPr>
            <w:r>
              <w:rPr>
                <w:rFonts w:eastAsia="Calibri" w:cs=""/>
                <w:kern w:val="0"/>
                <w:sz w:val="24"/>
                <w:szCs w:val="24"/>
                <w:lang w:val="ru-RU" w:eastAsia="en-US" w:bidi="ar-SA"/>
              </w:rPr>
              <w:t>23</w:t>
            </w:r>
            <w:r>
              <w:rPr>
                <w:rFonts w:eastAsia="Calibri" w:cs=""/>
                <w:kern w:val="0"/>
                <w:sz w:val="24"/>
                <w:szCs w:val="24"/>
                <w:lang w:val="ru-RU" w:eastAsia="en-US" w:bidi="ar-SA"/>
              </w:rPr>
              <w:t>.09.2026 г. в 09 ч. 00 мин.</w:t>
            </w:r>
          </w:p>
          <w:p>
            <w:pPr>
              <w:pStyle w:val="Style30"/>
              <w:widowControl w:val="false"/>
              <w:suppressAutoHyphens w:val="true"/>
              <w:spacing w:before="60" w:after="60"/>
              <w:rPr>
                <w:sz w:val="24"/>
                <w:szCs w:val="24"/>
              </w:rPr>
            </w:pPr>
            <w:r>
              <w:rPr>
                <w:sz w:val="24"/>
                <w:szCs w:val="24"/>
              </w:rPr>
              <w:t>(по московскому времени).</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_Ref125360779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открытия</w:t>
              <w:br/>
              <w:t>доступа к заявкам:</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первых частей заявок:</w:t>
            </w:r>
          </w:p>
        </w:tc>
        <w:tc>
          <w:tcPr>
            <w:tcW w:w="5895" w:type="dxa"/>
            <w:tcBorders/>
          </w:tcPr>
          <w:p>
            <w:pPr>
              <w:pStyle w:val="Style30"/>
              <w:widowControl w:val="false"/>
              <w:suppressAutoHyphens w:val="true"/>
              <w:spacing w:before="60" w:after="60"/>
              <w:rPr>
                <w:sz w:val="24"/>
                <w:szCs w:val="24"/>
              </w:rPr>
            </w:pPr>
            <w:r>
              <w:rPr>
                <w:rStyle w:val="Style8"/>
                <w:rFonts w:eastAsia="Calibri" w:cs=""/>
                <w:i w:val="false"/>
                <w:iCs w:val="false"/>
                <w:kern w:val="0"/>
                <w:sz w:val="24"/>
                <w:szCs w:val="24"/>
                <w:shd w:fill="auto" w:val="clear"/>
                <w:lang w:val="ru-RU" w:eastAsia="en-US" w:bidi="ar-SA"/>
              </w:rPr>
              <w:t>2</w:t>
            </w:r>
            <w:r>
              <w:rPr>
                <w:rStyle w:val="Style8"/>
                <w:rFonts w:eastAsia="Calibri" w:cs=""/>
                <w:i w:val="false"/>
                <w:iCs w:val="false"/>
                <w:kern w:val="0"/>
                <w:sz w:val="24"/>
                <w:szCs w:val="24"/>
                <w:shd w:fill="auto" w:val="clear"/>
                <w:lang w:val="ru-RU" w:eastAsia="en-US" w:bidi="ar-SA"/>
              </w:rPr>
              <w:t>9</w:t>
            </w:r>
            <w:r>
              <w:rPr>
                <w:rStyle w:val="Style8"/>
                <w:rFonts w:eastAsia="Calibri" w:cs=""/>
                <w:i w:val="false"/>
                <w:iCs w:val="false"/>
                <w:kern w:val="0"/>
                <w:sz w:val="24"/>
                <w:szCs w:val="24"/>
                <w:shd w:fill="auto" w:val="clear"/>
                <w:lang w:val="ru-RU" w:eastAsia="en-US" w:bidi="ar-SA"/>
              </w:rPr>
              <w:t>.09.2026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направления Оператором ЭП вторых частей заявок и ценовых предложений в адрес Организатора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вторых частей заявок и ценовых предложений:</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09.10.2026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подведения</w:t>
              <w:br/>
              <w:t>итогов закупки:</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12.10.2026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Порядок подведения итогов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Количество победителей закупки (в рамках одного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Один победитель.</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подачи документов в отношении цепочки собственников, включая конечных бенефициаров:</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pPr>
            <w:r>
              <w:rPr>
                <w:rStyle w:val="Style8"/>
                <w:sz w:val="24"/>
                <w:szCs w:val="24"/>
                <w:shd w:fill="auto" w:val="clear"/>
                <w:lang w:val="ru-RU"/>
              </w:rPr>
              <w:t>Корпоративный сайт ПАО</w:t>
            </w:r>
            <w:r>
              <w:rPr>
                <w:rStyle w:val="Style8"/>
                <w:sz w:val="24"/>
                <w:szCs w:val="24"/>
                <w:shd w:fill="auto" w:val="clear"/>
                <w:lang w:val="en-US"/>
              </w:rPr>
              <w:t> </w:t>
            </w:r>
            <w:r>
              <w:rPr>
                <w:rStyle w:val="Style8"/>
                <w:sz w:val="24"/>
                <w:szCs w:val="24"/>
                <w:shd w:fill="auto" w:val="clear"/>
                <w:lang w:val="ru-RU"/>
              </w:rPr>
              <w:t>«РусГидро», через специально созданную учетную запись (подробный порядок содержится в разделе</w:t>
            </w:r>
            <w:r>
              <w:rPr>
                <w:rStyle w:val="Style8"/>
                <w:sz w:val="24"/>
                <w:szCs w:val="24"/>
                <w:shd w:fill="auto" w:val="clear"/>
                <w:lang w:val="en-US"/>
              </w:rPr>
              <w:t> </w:t>
            </w:r>
            <w:r>
              <w:rPr>
                <w:rStyle w:val="Style8"/>
                <w:sz w:val="24"/>
                <w:szCs w:val="24"/>
                <w:shd w:fill="auto" w:val="clear"/>
                <w:lang w:val="en-US"/>
              </w:rPr>
              <w:fldChar w:fldCharType="begin"/>
            </w:r>
            <w:r>
              <w:rPr>
                <w:rStyle w:val="Style8"/>
                <w:sz w:val="24"/>
                <w:shd w:fill="auto" w:val="clear"/>
                <w:szCs w:val="24"/>
                <w:lang w:val="en-US"/>
              </w:rPr>
              <w:instrText xml:space="preserve"> REF _Ref126142429 \r \h </w:instrText>
            </w:r>
            <w:r>
              <w:rPr>
                <w:rStyle w:val="Style8"/>
                <w:sz w:val="24"/>
                <w:shd w:fill="auto" w:val="clear"/>
                <w:szCs w:val="24"/>
                <w:lang w:val="en-US"/>
              </w:rPr>
              <w:fldChar w:fldCharType="separate"/>
            </w:r>
            <w:r>
              <w:rPr>
                <w:rStyle w:val="Style8"/>
                <w:sz w:val="24"/>
                <w:shd w:fill="auto" w:val="clear"/>
                <w:szCs w:val="24"/>
                <w:lang w:val="en-US"/>
              </w:rPr>
            </w:r>
            <w:r>
              <w:rPr>
                <w:rStyle w:val="Style8"/>
                <w:sz w:val="24"/>
                <w:shd w:fill="auto" w:val="clear"/>
                <w:szCs w:val="24"/>
                <w:lang w:val="en-US"/>
              </w:rPr>
              <w:fldChar w:fldCharType="end"/>
            </w:r>
            <w:r>
              <w:rPr>
                <w:rStyle w:val="Style8"/>
                <w:sz w:val="24"/>
                <w:szCs w:val="24"/>
                <w:shd w:fill="auto" w:val="clear"/>
                <w:lang w:val="ru-RU"/>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Некритичные пункты Проекта договора:</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sz w:val="24"/>
                <w:szCs w:val="24"/>
              </w:rPr>
            </w:pPr>
            <w:r>
              <w:rPr>
                <w:sz w:val="24"/>
                <w:szCs w:val="24"/>
              </w:rPr>
              <w:t>Корпоративный сайт ПАО</w:t>
            </w:r>
            <w:r>
              <w:rPr>
                <w:sz w:val="24"/>
                <w:szCs w:val="24"/>
                <w:lang w:val="en-US"/>
              </w:rPr>
              <w:t> </w:t>
            </w:r>
            <w:r>
              <w:rPr>
                <w:sz w:val="24"/>
                <w:szCs w:val="24"/>
              </w:rPr>
              <w:t>«РусГидро», через специально созданную учетную запись (подробный порядок содержится в разделе</w:t>
            </w:r>
            <w:r>
              <w:rPr>
                <w:sz w:val="24"/>
                <w:szCs w:val="24"/>
                <w:lang w:val="en-US"/>
              </w:rPr>
              <w:t> </w:t>
            </w:r>
            <w:r>
              <w:rPr>
                <w:sz w:val="24"/>
                <w:szCs w:val="24"/>
                <w:lang w:val="en-US"/>
              </w:rPr>
              <w:fldChar w:fldCharType="begin"/>
            </w:r>
            <w:r>
              <w:rPr>
                <w:sz w:val="24"/>
                <w:szCs w:val="24"/>
                <w:lang w:val="en-US"/>
              </w:rPr>
              <w:instrText xml:space="preserve"> REF _Ref126142429 \r \h </w:instrText>
            </w:r>
            <w:r>
              <w:rPr>
                <w:sz w:val="24"/>
                <w:szCs w:val="24"/>
                <w:lang w:val="en-US"/>
              </w:rPr>
              <w:fldChar w:fldCharType="separate"/>
            </w:r>
            <w:r>
              <w:rPr>
                <w:sz w:val="24"/>
                <w:szCs w:val="24"/>
                <w:lang w:val="en-US"/>
              </w:rPr>
            </w:r>
            <w:r>
              <w:rPr>
                <w:sz w:val="24"/>
                <w:szCs w:val="24"/>
                <w:lang w:val="en-US"/>
              </w:rPr>
              <w:fldChar w:fldCharType="end"/>
            </w:r>
            <w:r>
              <w:rPr>
                <w:sz w:val="24"/>
                <w:szCs w:val="24"/>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highlight w:val="none"/>
                <w:shd w:fill="auto" w:val="clear"/>
                <w:lang w:val="ru-RU" w:eastAsia="en-US" w:bidi="ar-SA"/>
              </w:rPr>
            </w:pPr>
            <w:r>
              <w:rPr>
                <w:rFonts w:eastAsia="Calibri" w:cs=""/>
                <w:kern w:val="0"/>
                <w:sz w:val="24"/>
                <w:szCs w:val="24"/>
                <w:shd w:fill="auto" w:val="clear"/>
                <w:lang w:val="ru-RU" w:eastAsia="en-US" w:bidi="ar-SA"/>
              </w:rPr>
              <w:t>Обеспечение</w:t>
              <w:br/>
              <w:t>исполнения Договора:</w:t>
            </w:r>
          </w:p>
        </w:tc>
        <w:tc>
          <w:tcPr>
            <w:tcW w:w="5895" w:type="dxa"/>
            <w:tcBorders/>
          </w:tcPr>
          <w:p>
            <w:pPr>
              <w:pStyle w:val="Style33"/>
              <w:widowControl w:val="false"/>
              <w:suppressAutoHyphens w:val="true"/>
              <w:spacing w:before="60" w:after="60"/>
              <w:rPr>
                <w:rFonts w:ascii="Times New Roman" w:hAnsi="Times New Roman" w:eastAsia="Calibri" w:cs=""/>
                <w:color w:val="auto"/>
                <w:kern w:val="0"/>
                <w:sz w:val="24"/>
                <w:szCs w:val="24"/>
                <w:highlight w:val="none"/>
                <w:shd w:fill="auto" w:val="clear"/>
                <w:lang w:val="ru-RU" w:eastAsia="en-US" w:bidi="ar-SA"/>
              </w:rPr>
            </w:pPr>
            <w:r>
              <w:rPr>
                <w:rFonts w:eastAsia="Calibri" w:cs=""/>
                <w:color w:val="000000"/>
                <w:kern w:val="0"/>
                <w:sz w:val="24"/>
                <w:szCs w:val="24"/>
                <w:shd w:fill="auto" w:val="clear"/>
                <w:lang w:val="ru-RU" w:eastAsia="en-US" w:bidi="ar-SA"/>
              </w:rPr>
              <w:t>Не требуется.</w:t>
            </w:r>
          </w:p>
        </w:tc>
      </w:tr>
    </w:tbl>
    <w:p>
      <w:pPr>
        <w:pStyle w:val="Style24"/>
        <w:rPr/>
      </w:pPr>
      <w:bookmarkStart w:id="58" w:name="_Ref125360073"/>
      <w:bookmarkStart w:id="59" w:name="_Ref125360337"/>
      <w:bookmarkStart w:id="60" w:name="_Toc228877673"/>
      <w:r>
        <w:rPr/>
        <w:t>Общие положения</w:t>
      </w:r>
      <w:bookmarkEnd w:id="58"/>
      <w:bookmarkEnd w:id="59"/>
      <w:bookmarkEnd w:id="60"/>
    </w:p>
    <w:p>
      <w:pPr>
        <w:pStyle w:val="Style25"/>
        <w:rPr/>
      </w:pPr>
      <w:bookmarkStart w:id="61" w:name="_Toc228877674"/>
      <w:r>
        <w:rPr/>
        <w:t>Общие сведения о закупке</w:t>
      </w:r>
      <w:bookmarkEnd w:id="61"/>
    </w:p>
    <w:p>
      <w:pPr>
        <w:pStyle w:val="Style26"/>
        <w:numPr>
          <w:ilvl w:val="0"/>
          <w:numId w:val="0"/>
        </w:numPr>
        <w:ind w:left="0" w:hanging="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2</w:t>
      </w:r>
      <w:r>
        <w:rPr/>
        <w:fldChar w:fldCharType="end"/>
      </w:r>
      <w:r>
        <w:rPr/>
        <w:t>, к участию в закупке на право заключения договора, предмет которого указан в том же подразделе.</w:t>
      </w:r>
    </w:p>
    <w:p>
      <w:pPr>
        <w:pStyle w:val="Style26"/>
        <w:numPr>
          <w:ilvl w:val="0"/>
          <w:numId w:val="0"/>
        </w:numPr>
        <w:ind w:left="0" w:hanging="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r>
      <w:r>
        <w:rPr/>
        <w:fldChar w:fldCharType="end"/>
      </w:r>
      <w:r>
        <w:rPr/>
        <w:t xml:space="preserve"> Документации о закупке.</w:t>
      </w:r>
    </w:p>
    <w:p>
      <w:pPr>
        <w:pStyle w:val="Style26"/>
        <w:numPr>
          <w:ilvl w:val="0"/>
          <w:numId w:val="0"/>
        </w:numPr>
        <w:ind w:left="0" w:hanging="0"/>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numPr>
          <w:ilvl w:val="0"/>
          <w:numId w:val="0"/>
        </w:numPr>
        <w:ind w:left="0" w:hanging="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r>
      <w:r>
        <w:rPr/>
        <w:fldChar w:fldCharType="end"/>
      </w:r>
      <w:r>
        <w:rPr/>
        <w:t xml:space="preserve">, </w:t>
      </w:r>
      <w:r>
        <w:rPr/>
        <w:fldChar w:fldCharType="begin"/>
      </w:r>
      <w:r>
        <w:rPr/>
        <w:instrText xml:space="preserve"> REF _Ref126142429 \r \h </w:instrText>
      </w:r>
      <w:r>
        <w:rPr/>
        <w:fldChar w:fldCharType="separate"/>
      </w:r>
      <w:r>
        <w:rPr/>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2" w:name="_Toc228877675"/>
      <w:r>
        <w:rPr/>
        <w:t>Правовой статус документов</w:t>
      </w:r>
      <w:bookmarkEnd w:id="62"/>
    </w:p>
    <w:p>
      <w:pPr>
        <w:pStyle w:val="Style26"/>
        <w:numPr>
          <w:ilvl w:val="0"/>
          <w:numId w:val="0"/>
        </w:numPr>
        <w:ind w:left="0" w:hanging="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numPr>
          <w:ilvl w:val="0"/>
          <w:numId w:val="0"/>
        </w:numPr>
        <w:ind w:left="0" w:hanging="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numPr>
          <w:ilvl w:val="0"/>
          <w:numId w:val="0"/>
        </w:numPr>
        <w:ind w:left="0" w:hanging="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r>
      <w:r>
        <w:rPr/>
        <w:fldChar w:fldCharType="end"/>
      </w:r>
      <w:bookmarkEnd w:id="63"/>
      <w:r>
        <w:rPr/>
        <w:t>.</w:t>
      </w:r>
    </w:p>
    <w:p>
      <w:pPr>
        <w:pStyle w:val="Style26"/>
        <w:numPr>
          <w:ilvl w:val="0"/>
          <w:numId w:val="0"/>
        </w:numPr>
        <w:ind w:left="0" w:hanging="0"/>
        <w:rPr/>
      </w:pPr>
      <w:r>
        <w:rPr/>
        <w:t>Заключенный по результатам закупки Договор, в том числе, фиксирует все достигнутые сторонами договоренности.</w:t>
      </w:r>
    </w:p>
    <w:p>
      <w:pPr>
        <w:pStyle w:val="Style26"/>
        <w:numPr>
          <w:ilvl w:val="0"/>
          <w:numId w:val="0"/>
        </w:numPr>
        <w:ind w:left="0" w:hanging="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numPr>
          <w:ilvl w:val="0"/>
          <w:numId w:val="0"/>
        </w:numPr>
        <w:ind w:left="0" w:hanging="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numPr>
          <w:ilvl w:val="0"/>
          <w:numId w:val="0"/>
        </w:numPr>
        <w:ind w:left="0" w:hanging="0"/>
        <w:rPr/>
      </w:pPr>
      <w:r>
        <w:rPr/>
        <w:t>Иные документы Организатора и Участников не определяют права и обязанности сторон в связи с данной закупкой.</w:t>
      </w:r>
    </w:p>
    <w:p>
      <w:pPr>
        <w:pStyle w:val="Style26"/>
        <w:numPr>
          <w:ilvl w:val="0"/>
          <w:numId w:val="0"/>
        </w:numPr>
        <w:ind w:left="0" w:hanging="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4" w:name="_Ref125363536"/>
      <w:bookmarkStart w:id="65" w:name="_Toc228877676"/>
      <w:r>
        <w:rPr/>
        <w:t>Обжалование</w:t>
      </w:r>
      <w:bookmarkEnd w:id="64"/>
      <w:bookmarkEnd w:id="65"/>
    </w:p>
    <w:p>
      <w:pPr>
        <w:pStyle w:val="Style26"/>
        <w:numPr>
          <w:ilvl w:val="0"/>
          <w:numId w:val="0"/>
        </w:numPr>
        <w:ind w:left="0" w:hanging="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numPr>
          <w:ilvl w:val="0"/>
          <w:numId w:val="0"/>
        </w:numPr>
        <w:ind w:left="0" w:hanging="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numPr>
          <w:ilvl w:val="0"/>
          <w:numId w:val="0"/>
        </w:numPr>
        <w:ind w:left="0" w:hanging="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numPr>
          <w:ilvl w:val="0"/>
          <w:numId w:val="0"/>
        </w:numPr>
        <w:ind w:left="0" w:hanging="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numPr>
          <w:ilvl w:val="0"/>
          <w:numId w:val="0"/>
        </w:numPr>
        <w:ind w:left="0" w:hanging="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68" w:name="_Toc228877677"/>
      <w:r>
        <w:rPr/>
        <w:t>Особые положения при проведении закупки с использованием ЭП</w:t>
      </w:r>
      <w:bookmarkEnd w:id="68"/>
    </w:p>
    <w:p>
      <w:pPr>
        <w:pStyle w:val="Style26"/>
        <w:numPr>
          <w:ilvl w:val="0"/>
          <w:numId w:val="0"/>
        </w:numPr>
        <w:ind w:left="0" w:hanging="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numPr>
          <w:ilvl w:val="0"/>
          <w:numId w:val="0"/>
        </w:numPr>
        <w:ind w:left="0" w:hanging="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numPr>
          <w:ilvl w:val="0"/>
          <w:numId w:val="0"/>
        </w:numPr>
        <w:ind w:left="0" w:hanging="0"/>
        <w:rPr/>
      </w:pPr>
      <w:r>
        <w:rPr/>
        <w:t>Правила проведения закупки в том числе определяются Регламентом ЭП.</w:t>
      </w:r>
    </w:p>
    <w:p>
      <w:pPr>
        <w:pStyle w:val="Style26"/>
        <w:numPr>
          <w:ilvl w:val="0"/>
          <w:numId w:val="0"/>
        </w:numPr>
        <w:ind w:left="0" w:hanging="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numPr>
          <w:ilvl w:val="0"/>
          <w:numId w:val="0"/>
        </w:numPr>
        <w:ind w:left="0" w:hanging="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69" w:name="_Toc228877678"/>
      <w:r>
        <w:rPr/>
        <w:t>Прочие положения</w:t>
      </w:r>
      <w:bookmarkEnd w:id="69"/>
    </w:p>
    <w:p>
      <w:pPr>
        <w:pStyle w:val="Style26"/>
        <w:numPr>
          <w:ilvl w:val="0"/>
          <w:numId w:val="0"/>
        </w:numPr>
        <w:ind w:left="0" w:hanging="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numPr>
          <w:ilvl w:val="0"/>
          <w:numId w:val="0"/>
        </w:numPr>
        <w:ind w:left="0" w:hanging="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numPr>
          <w:ilvl w:val="0"/>
          <w:numId w:val="0"/>
        </w:numPr>
        <w:ind w:left="0" w:hanging="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0" w:name="_Ref125361210"/>
      <w:bookmarkStart w:id="71" w:name="_Toc228877679"/>
      <w:r>
        <w:rPr/>
        <w:t>Требования к Участникам</w:t>
      </w:r>
      <w:bookmarkEnd w:id="70"/>
      <w:bookmarkEnd w:id="71"/>
    </w:p>
    <w:p>
      <w:pPr>
        <w:pStyle w:val="Style25"/>
        <w:rPr/>
      </w:pPr>
      <w:bookmarkStart w:id="72" w:name="_Ref127524530"/>
      <w:bookmarkStart w:id="73" w:name="_Toc228877680"/>
      <w:r>
        <w:rPr/>
        <w:t>Общие требования к Участникам</w:t>
      </w:r>
      <w:bookmarkEnd w:id="72"/>
      <w:bookmarkEnd w:id="73"/>
    </w:p>
    <w:p>
      <w:pPr>
        <w:pStyle w:val="Style26"/>
        <w:numPr>
          <w:ilvl w:val="0"/>
          <w:numId w:val="0"/>
        </w:numPr>
        <w:ind w:left="0" w:hanging="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6"/>
        <w:numPr>
          <w:ilvl w:val="0"/>
          <w:numId w:val="0"/>
        </w:numPr>
        <w:ind w:left="0" w:hanging="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numPr>
          <w:ilvl w:val="0"/>
          <w:numId w:val="0"/>
        </w:numPr>
        <w:ind w:left="0" w:hanging="0"/>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numPr>
          <w:ilvl w:val="0"/>
          <w:numId w:val="0"/>
        </w:numPr>
        <w:ind w:left="0" w:hanging="0"/>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3</w:t>
      </w:r>
      <w:r>
        <w:rPr/>
        <w:fldChar w:fldCharType="end"/>
      </w:r>
      <w:r>
        <w:rPr/>
        <w:t>).</w:t>
      </w:r>
    </w:p>
    <w:p>
      <w:pPr>
        <w:pStyle w:val="Style26"/>
        <w:keepNext w:val="true"/>
        <w:numPr>
          <w:ilvl w:val="0"/>
          <w:numId w:val="0"/>
        </w:numPr>
        <w:ind w:left="0" w:hanging="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2</w:t>
      </w:r>
      <w:r>
        <w:rPr/>
        <w:fldChar w:fldCharType="end"/>
      </w:r>
      <w:r>
        <w:rPr/>
        <w:t>).</w:t>
      </w:r>
    </w:p>
    <w:p>
      <w:pPr>
        <w:pStyle w:val="Style26"/>
        <w:numPr>
          <w:ilvl w:val="0"/>
          <w:numId w:val="0"/>
        </w:numPr>
        <w:ind w:left="0" w:hanging="0"/>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5"/>
        <w:rPr/>
      </w:pPr>
      <w:bookmarkStart w:id="78" w:name="_Ref125361702"/>
      <w:bookmarkStart w:id="79" w:name="_Toc228877681"/>
      <w:bookmarkStart w:id="80" w:name="_Toc224743781"/>
      <w:bookmarkStart w:id="81" w:name="_Toc224743782"/>
      <w:bookmarkStart w:id="82" w:name="_Toc224743783"/>
      <w:bookmarkStart w:id="83" w:name="_Toc224743784"/>
      <w:bookmarkStart w:id="84" w:name="_Toc224743785"/>
      <w:bookmarkStart w:id="85" w:name="_Toc224743786"/>
      <w:bookmarkStart w:id="86" w:name="_Toc224743787"/>
      <w:bookmarkStart w:id="87" w:name="_Toc224743788"/>
      <w:bookmarkStart w:id="88" w:name="_Toc224743789"/>
      <w:bookmarkStart w:id="89" w:name="_Toc224743790"/>
      <w:bookmarkStart w:id="90" w:name="_Toc224743791"/>
      <w:bookmarkStart w:id="91" w:name="_Toc224743792"/>
      <w:bookmarkStart w:id="92" w:name="_Toc224743793"/>
      <w:bookmarkStart w:id="93" w:name="_Toc224743794"/>
      <w:bookmarkStart w:id="94" w:name="_Toc224743795"/>
      <w:bookmarkStart w:id="95" w:name="_Toc224743796"/>
      <w:bookmarkStart w:id="96" w:name="_Toc224743797"/>
      <w:bookmarkStart w:id="97" w:name="_Toc224743798"/>
      <w:bookmarkStart w:id="98" w:name="_Toc224743799"/>
      <w:bookmarkStart w:id="99" w:name="_Toc224743800"/>
      <w:bookmarkStart w:id="100" w:name="_Toc224743801"/>
      <w:bookmarkStart w:id="101" w:name="_Ref125361969_Копия_1"/>
      <w:bookmarkStart w:id="102" w:name="_Ref125361976_Копия_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6"/>
        <w:numPr>
          <w:ilvl w:val="0"/>
          <w:numId w:val="0"/>
        </w:numPr>
        <w:ind w:left="0" w:hanging="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numPr>
          <w:ilvl w:val="0"/>
          <w:numId w:val="0"/>
        </w:numPr>
        <w:ind w:left="0" w:hanging="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numPr>
          <w:ilvl w:val="0"/>
          <w:numId w:val="0"/>
        </w:numPr>
        <w:ind w:left="0" w:hanging="0"/>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numPr>
          <w:ilvl w:val="0"/>
          <w:numId w:val="0"/>
        </w:numPr>
        <w:ind w:left="0" w:hanging="0"/>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numPr>
          <w:ilvl w:val="0"/>
          <w:numId w:val="0"/>
        </w:numPr>
        <w:ind w:left="0" w:hanging="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numPr>
          <w:ilvl w:val="0"/>
          <w:numId w:val="0"/>
        </w:numPr>
        <w:ind w:left="0" w:hanging="0"/>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numPr>
          <w:ilvl w:val="0"/>
          <w:numId w:val="0"/>
        </w:numPr>
        <w:ind w:left="0" w:hanging="0"/>
        <w:rPr/>
      </w:pPr>
      <w:r>
        <w:rPr/>
        <w:t>Если подразделом </w:t>
      </w:r>
      <w:r>
        <w:rPr/>
        <w:fldChar w:fldCharType="begin"/>
      </w:r>
      <w:r>
        <w:rPr/>
        <w:instrText xml:space="preserve"> REF _Ref125359973 \r \h </w:instrText>
      </w:r>
      <w:r>
        <w:rPr/>
        <w:fldChar w:fldCharType="separate"/>
      </w:r>
      <w:r>
        <w:rPr/>
        <w:t>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5" w:name="_Ref125361211"/>
      <w:bookmarkStart w:id="106" w:name="_Ref125367098"/>
      <w:bookmarkStart w:id="107" w:name="_Ref125367107"/>
      <w:bookmarkStart w:id="108" w:name="_Ref125367974"/>
      <w:bookmarkStart w:id="109" w:name="_Toc228877682"/>
      <w:r>
        <w:rPr/>
        <w:t>Порядок проведения закупки</w:t>
      </w:r>
      <w:bookmarkEnd w:id="105"/>
      <w:bookmarkEnd w:id="106"/>
      <w:bookmarkEnd w:id="107"/>
      <w:bookmarkEnd w:id="108"/>
      <w:bookmarkEnd w:id="109"/>
    </w:p>
    <w:p>
      <w:pPr>
        <w:pStyle w:val="Style25"/>
        <w:rPr/>
      </w:pPr>
      <w:bookmarkStart w:id="110" w:name="_Ref126141932"/>
      <w:bookmarkStart w:id="111" w:name="_Toc228877683"/>
      <w:r>
        <w:rPr/>
        <w:t>Общий порядок проведения закупки</w:t>
      </w:r>
      <w:bookmarkEnd w:id="110"/>
      <w:bookmarkEnd w:id="111"/>
    </w:p>
    <w:p>
      <w:pPr>
        <w:pStyle w:val="Style26"/>
        <w:keepNext w:val="true"/>
        <w:numPr>
          <w:ilvl w:val="0"/>
          <w:numId w:val="0"/>
        </w:numPr>
        <w:spacing w:before="120" w:after="120"/>
        <w:ind w:left="0" w:hanging="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2" w:name="_Ref130286532"/>
      <w:bookmarkStart w:id="113" w:name="_Toc228877684"/>
      <w:r>
        <w:rPr/>
        <w:t>Официальное размещение Извещения и Документации о закупке</w:t>
      </w:r>
      <w:bookmarkEnd w:id="112"/>
      <w:bookmarkEnd w:id="113"/>
    </w:p>
    <w:p>
      <w:pPr>
        <w:pStyle w:val="Style26"/>
        <w:numPr>
          <w:ilvl w:val="0"/>
          <w:numId w:val="0"/>
        </w:numPr>
        <w:ind w:left="0" w:hanging="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numPr>
          <w:ilvl w:val="0"/>
          <w:numId w:val="0"/>
        </w:numPr>
        <w:ind w:left="0" w:hanging="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numPr>
          <w:ilvl w:val="0"/>
          <w:numId w:val="0"/>
        </w:numPr>
        <w:ind w:left="0" w:hanging="0"/>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6"/>
        <w:numPr>
          <w:ilvl w:val="0"/>
          <w:numId w:val="0"/>
        </w:numPr>
        <w:ind w:left="0" w:hanging="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5" w:name="_Ref130281199"/>
      <w:bookmarkStart w:id="116" w:name="_Ref130394681"/>
      <w:bookmarkStart w:id="117" w:name="_Toc228877685"/>
      <w:r>
        <w:rPr/>
        <w:t>Подготовка заявки</w:t>
      </w:r>
      <w:bookmarkEnd w:id="115"/>
      <w:bookmarkEnd w:id="116"/>
      <w:bookmarkEnd w:id="117"/>
    </w:p>
    <w:p>
      <w:pPr>
        <w:pStyle w:val="Style26"/>
        <w:numPr>
          <w:ilvl w:val="0"/>
          <w:numId w:val="0"/>
        </w:numPr>
        <w:ind w:left="0" w:hanging="0"/>
        <w:rPr/>
      </w:pPr>
      <w:r>
        <w:rPr/>
        <w:t>Участник должен подготовить заявку с учетом требований Документации о закупке.</w:t>
      </w:r>
    </w:p>
    <w:p>
      <w:pPr>
        <w:pStyle w:val="Style26"/>
        <w:numPr>
          <w:ilvl w:val="0"/>
          <w:numId w:val="0"/>
        </w:numPr>
        <w:ind w:left="0" w:hanging="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numPr>
          <w:ilvl w:val="0"/>
          <w:numId w:val="0"/>
        </w:numPr>
        <w:ind w:left="0" w:hanging="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numPr>
          <w:ilvl w:val="0"/>
          <w:numId w:val="0"/>
        </w:numPr>
        <w:ind w:left="0" w:hanging="0"/>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numPr>
          <w:ilvl w:val="0"/>
          <w:numId w:val="0"/>
        </w:numPr>
        <w:ind w:left="0" w:hanging="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numPr>
          <w:ilvl w:val="0"/>
          <w:numId w:val="0"/>
        </w:numPr>
        <w:ind w:left="0" w:hanging="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numPr>
          <w:ilvl w:val="0"/>
          <w:numId w:val="0"/>
        </w:numPr>
        <w:ind w:left="0" w:hanging="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numPr>
          <w:ilvl w:val="0"/>
          <w:numId w:val="0"/>
        </w:numPr>
        <w:ind w:left="0" w:hanging="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numPr>
          <w:ilvl w:val="0"/>
          <w:numId w:val="0"/>
        </w:numPr>
        <w:ind w:left="0" w:hanging="0"/>
        <w:rPr/>
      </w:pPr>
      <w:bookmarkStart w:id="119" w:name="_Ref130394854"/>
      <w:bookmarkStart w:id="120"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numPr>
          <w:ilvl w:val="0"/>
          <w:numId w:val="0"/>
        </w:numPr>
        <w:ind w:left="0" w:hanging="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numPr>
          <w:ilvl w:val="0"/>
          <w:numId w:val="0"/>
        </w:numPr>
        <w:ind w:left="0" w:hanging="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numPr>
          <w:ilvl w:val="0"/>
          <w:numId w:val="0"/>
        </w:numPr>
        <w:ind w:left="0" w:hanging="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numPr>
          <w:ilvl w:val="0"/>
          <w:numId w:val="0"/>
        </w:numPr>
        <w:ind w:left="0" w:hanging="0"/>
        <w:rPr/>
      </w:pPr>
      <w:bookmarkStart w:id="121" w:name="_Ref125370700"/>
      <w:bookmarkStart w:id="122"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2</w:t>
      </w:r>
      <w:r>
        <w:rPr/>
        <w:fldChar w:fldCharType="end"/>
      </w:r>
      <w:r>
        <w:rPr/>
        <w:t>), в противном случае заявка будет отклонена.</w:t>
      </w:r>
    </w:p>
    <w:p>
      <w:pPr>
        <w:pStyle w:val="Style26"/>
        <w:numPr>
          <w:ilvl w:val="0"/>
          <w:numId w:val="0"/>
        </w:numPr>
        <w:ind w:left="0" w:hanging="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numPr>
          <w:ilvl w:val="0"/>
          <w:numId w:val="0"/>
        </w:numPr>
        <w:ind w:left="0" w:hanging="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numPr>
          <w:ilvl w:val="0"/>
          <w:numId w:val="0"/>
        </w:numPr>
        <w:ind w:left="0" w:hanging="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numPr>
          <w:ilvl w:val="0"/>
          <w:numId w:val="0"/>
        </w:numPr>
        <w:ind w:left="0" w:hanging="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3" w:name="_Ref125370398"/>
      <w:bookmarkStart w:id="124" w:name="_Ref125714384"/>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numPr>
          <w:ilvl w:val="0"/>
          <w:numId w:val="0"/>
        </w:numPr>
        <w:ind w:left="0" w:hanging="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numPr>
          <w:ilvl w:val="0"/>
          <w:numId w:val="0"/>
        </w:numPr>
        <w:ind w:left="0" w:hanging="0"/>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numPr>
          <w:ilvl w:val="0"/>
          <w:numId w:val="0"/>
        </w:numPr>
        <w:ind w:left="0" w:hanging="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5" w:name="_Ref130394205"/>
      <w:bookmarkStart w:id="126" w:name="_Ref130394785"/>
      <w:bookmarkStart w:id="127" w:name="_Ref130394802"/>
      <w:bookmarkStart w:id="128" w:name="_Toc228877686"/>
      <w:bookmarkStart w:id="129" w:name="_Ref125361260"/>
      <w:bookmarkStart w:id="130" w:name="_Ref125362071"/>
      <w:bookmarkStart w:id="131" w:name="_Ref125366672"/>
      <w:r>
        <w:rPr/>
        <w:t>Разъяснение Документации о закупке</w:t>
      </w:r>
      <w:bookmarkEnd w:id="125"/>
      <w:bookmarkEnd w:id="126"/>
      <w:bookmarkEnd w:id="127"/>
      <w:bookmarkEnd w:id="128"/>
      <w:bookmarkEnd w:id="129"/>
      <w:bookmarkEnd w:id="130"/>
      <w:bookmarkEnd w:id="131"/>
    </w:p>
    <w:p>
      <w:pPr>
        <w:pStyle w:val="Style26"/>
        <w:numPr>
          <w:ilvl w:val="0"/>
          <w:numId w:val="0"/>
        </w:numPr>
        <w:ind w:left="0" w:hanging="0"/>
        <w:rPr/>
      </w:pPr>
      <w:r>
        <w:rPr/>
        <w:t>Участники вправе обратиться к Организатору за разъяснениями Документации о закупке.</w:t>
      </w:r>
    </w:p>
    <w:p>
      <w:pPr>
        <w:pStyle w:val="Style26"/>
        <w:numPr>
          <w:ilvl w:val="0"/>
          <w:numId w:val="0"/>
        </w:numPr>
        <w:ind w:left="0" w:hanging="0"/>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numPr>
          <w:ilvl w:val="0"/>
          <w:numId w:val="0"/>
        </w:numPr>
        <w:ind w:left="0" w:hanging="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numPr>
          <w:ilvl w:val="0"/>
          <w:numId w:val="0"/>
        </w:numPr>
        <w:ind w:left="0" w:hanging="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numPr>
          <w:ilvl w:val="0"/>
          <w:numId w:val="0"/>
        </w:numPr>
        <w:ind w:left="0" w:hanging="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numPr>
          <w:ilvl w:val="0"/>
          <w:numId w:val="0"/>
        </w:numPr>
        <w:ind w:left="0" w:hanging="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numPr>
          <w:ilvl w:val="0"/>
          <w:numId w:val="0"/>
        </w:numPr>
        <w:ind w:left="0" w:hanging="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2" w:name="_Ref125362076"/>
      <w:bookmarkStart w:id="133" w:name="_Ref125363891"/>
      <w:bookmarkStart w:id="134" w:name="_Ref125364404"/>
      <w:bookmarkStart w:id="135" w:name="_Toc228877687"/>
      <w:r>
        <w:rPr/>
        <w:t>Изменения Извещения и (или) Документации о закупке</w:t>
      </w:r>
      <w:bookmarkEnd w:id="132"/>
      <w:bookmarkEnd w:id="133"/>
      <w:bookmarkEnd w:id="134"/>
      <w:bookmarkEnd w:id="135"/>
    </w:p>
    <w:p>
      <w:pPr>
        <w:pStyle w:val="Style26"/>
        <w:numPr>
          <w:ilvl w:val="0"/>
          <w:numId w:val="0"/>
        </w:numPr>
        <w:ind w:left="0" w:hanging="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numPr>
          <w:ilvl w:val="0"/>
          <w:numId w:val="0"/>
        </w:numPr>
        <w:ind w:left="0" w:hanging="0"/>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w:t>
      </w:r>
    </w:p>
    <w:p>
      <w:pPr>
        <w:pStyle w:val="Style27"/>
        <w:rPr/>
      </w:pPr>
      <w:r>
        <w:rPr/>
        <w:t>рассмотрения вторых частей заявок и ценовых предложений;</w:t>
      </w:r>
    </w:p>
    <w:p>
      <w:pPr>
        <w:pStyle w:val="Style27"/>
        <w:rPr/>
      </w:pPr>
      <w:r>
        <w:rPr/>
        <w:t>подведения итогов закупки;</w:t>
      </w:r>
    </w:p>
    <w:p>
      <w:pPr>
        <w:pStyle w:val="Style30"/>
        <w:ind w:left="1134" w:hanging="0"/>
        <w:rPr/>
      </w:pPr>
      <w:bookmarkStart w:id="136" w:name="_Ref125550844"/>
      <w:r>
        <w:rPr/>
        <w:t>в пределах срока действия заявок и с уведомлением Участников, подавших заявки.</w:t>
      </w:r>
      <w:bookmarkEnd w:id="136"/>
    </w:p>
    <w:p>
      <w:pPr>
        <w:pStyle w:val="Style26"/>
        <w:numPr>
          <w:ilvl w:val="0"/>
          <w:numId w:val="0"/>
        </w:numPr>
        <w:ind w:left="0" w:hanging="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numPr>
          <w:ilvl w:val="0"/>
          <w:numId w:val="0"/>
        </w:numPr>
        <w:ind w:left="0" w:hanging="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numPr>
          <w:ilvl w:val="0"/>
          <w:numId w:val="0"/>
        </w:numPr>
        <w:ind w:left="0" w:hanging="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37" w:name="_Ref125362119"/>
      <w:bookmarkStart w:id="138" w:name="_Toc228877688"/>
      <w:r>
        <w:rPr/>
        <w:t>Подача заявок и их прием</w:t>
      </w:r>
      <w:bookmarkEnd w:id="137"/>
      <w:bookmarkEnd w:id="138"/>
    </w:p>
    <w:p>
      <w:pPr>
        <w:pStyle w:val="Style26"/>
        <w:numPr>
          <w:ilvl w:val="0"/>
          <w:numId w:val="0"/>
        </w:numPr>
        <w:ind w:left="0" w:hanging="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numPr>
          <w:ilvl w:val="0"/>
          <w:numId w:val="0"/>
        </w:numPr>
        <w:ind w:left="0" w:hanging="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numPr>
          <w:ilvl w:val="0"/>
          <w:numId w:val="0"/>
        </w:numPr>
        <w:ind w:left="0" w:hanging="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numPr>
          <w:ilvl w:val="0"/>
          <w:numId w:val="0"/>
        </w:numPr>
        <w:ind w:left="0" w:hanging="0"/>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6"/>
        <w:numPr>
          <w:ilvl w:val="0"/>
          <w:numId w:val="0"/>
        </w:numPr>
        <w:ind w:left="0" w:hanging="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numPr>
          <w:ilvl w:val="0"/>
          <w:numId w:val="0"/>
        </w:numPr>
        <w:ind w:left="0" w:hanging="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numPr>
          <w:ilvl w:val="0"/>
          <w:numId w:val="0"/>
        </w:numPr>
        <w:ind w:left="0" w:hanging="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0" w:name="_Ref125362130"/>
      <w:bookmarkStart w:id="141" w:name="_Ref125362192"/>
      <w:bookmarkStart w:id="142" w:name="_Ref125363819"/>
      <w:bookmarkStart w:id="143" w:name="_Ref125365136"/>
      <w:bookmarkStart w:id="144" w:name="_Toc228877689"/>
      <w:r>
        <w:rPr/>
        <w:t>Изменение и отзыв заявок</w:t>
      </w:r>
      <w:bookmarkEnd w:id="140"/>
      <w:bookmarkEnd w:id="141"/>
      <w:bookmarkEnd w:id="142"/>
      <w:bookmarkEnd w:id="143"/>
      <w:bookmarkEnd w:id="144"/>
    </w:p>
    <w:p>
      <w:pPr>
        <w:pStyle w:val="Style26"/>
        <w:numPr>
          <w:ilvl w:val="0"/>
          <w:numId w:val="0"/>
        </w:numPr>
        <w:ind w:left="0" w:hanging="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numPr>
          <w:ilvl w:val="0"/>
          <w:numId w:val="0"/>
        </w:numPr>
        <w:ind w:left="0" w:hanging="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numPr>
          <w:ilvl w:val="0"/>
          <w:numId w:val="0"/>
        </w:numPr>
        <w:ind w:left="0" w:hanging="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6</w:t>
      </w:r>
      <w:r>
        <w:rPr/>
        <w:fldChar w:fldCharType="end"/>
      </w:r>
      <w:r>
        <w:rPr/>
        <w:t>.</w:t>
      </w:r>
    </w:p>
    <w:p>
      <w:pPr>
        <w:pStyle w:val="Style26"/>
        <w:numPr>
          <w:ilvl w:val="0"/>
          <w:numId w:val="0"/>
        </w:numPr>
        <w:ind w:left="0" w:hanging="0"/>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5" w:name="_Ref132816188"/>
      <w:bookmarkStart w:id="146" w:name="_Toc228877690"/>
      <w:r>
        <w:rPr/>
        <w:t>Открытие доступа к первым частям заявок</w:t>
      </w:r>
      <w:bookmarkEnd w:id="145"/>
      <w:bookmarkEnd w:id="146"/>
    </w:p>
    <w:p>
      <w:pPr>
        <w:pStyle w:val="Style26"/>
        <w:numPr>
          <w:ilvl w:val="0"/>
          <w:numId w:val="0"/>
        </w:numPr>
        <w:ind w:left="0" w:hanging="0"/>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bookmarkEnd w:id="147"/>
    </w:p>
    <w:p>
      <w:pPr>
        <w:pStyle w:val="Style26"/>
        <w:numPr>
          <w:ilvl w:val="0"/>
          <w:numId w:val="0"/>
        </w:numPr>
        <w:ind w:left="0" w:hanging="0"/>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5"/>
        <w:rPr/>
      </w:pPr>
      <w:bookmarkStart w:id="149" w:name="_Ref125362364"/>
      <w:bookmarkStart w:id="150" w:name="_Ref125366689"/>
      <w:bookmarkStart w:id="151" w:name="_Toc228877691"/>
      <w:r>
        <w:rPr/>
        <w:t>Рассмотрение первых частей заявок (отборочная стадия)</w:t>
      </w:r>
      <w:bookmarkEnd w:id="149"/>
      <w:bookmarkEnd w:id="150"/>
      <w:bookmarkEnd w:id="151"/>
    </w:p>
    <w:p>
      <w:pPr>
        <w:pStyle w:val="Style26"/>
        <w:numPr>
          <w:ilvl w:val="0"/>
          <w:numId w:val="0"/>
        </w:numPr>
        <w:ind w:left="0" w:hanging="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numPr>
          <w:ilvl w:val="0"/>
          <w:numId w:val="0"/>
        </w:numPr>
        <w:ind w:left="0" w:hanging="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numPr>
          <w:ilvl w:val="0"/>
          <w:numId w:val="0"/>
        </w:numPr>
        <w:ind w:left="0" w:hanging="0"/>
        <w:rPr/>
      </w:pPr>
      <w:r>
        <w:rPr/>
        <w:t>Рассмотрение первых частей заявок проводится на основании представленных в составе заявки документов и сведений.</w:t>
      </w:r>
    </w:p>
    <w:p>
      <w:pPr>
        <w:pStyle w:val="Style26"/>
        <w:keepNext w:val="true"/>
        <w:numPr>
          <w:ilvl w:val="0"/>
          <w:numId w:val="0"/>
        </w:numPr>
        <w:ind w:left="0" w:hanging="0"/>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7"/>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сведений об Участники и (или) о его ценовом предложении.</w:t>
      </w:r>
    </w:p>
    <w:p>
      <w:pPr>
        <w:pStyle w:val="Style26"/>
        <w:keepNext w:val="true"/>
        <w:numPr>
          <w:ilvl w:val="0"/>
          <w:numId w:val="0"/>
        </w:numPr>
        <w:ind w:left="0" w:hanging="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первых частей заявок;</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numPr>
          <w:ilvl w:val="0"/>
          <w:numId w:val="0"/>
        </w:numPr>
        <w:ind w:left="0" w:hanging="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3" w:name="_Ref132801184"/>
      <w:bookmarkStart w:id="154" w:name="_Toc228877692"/>
      <w:r>
        <w:rPr/>
        <w:t>Открытие доступа ко вторым частям заявок и ценовым предложениям</w:t>
      </w:r>
      <w:bookmarkEnd w:id="153"/>
      <w:bookmarkEnd w:id="154"/>
    </w:p>
    <w:p>
      <w:pPr>
        <w:pStyle w:val="Style26"/>
        <w:numPr>
          <w:ilvl w:val="0"/>
          <w:numId w:val="0"/>
        </w:numPr>
        <w:ind w:left="0" w:hanging="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numPr>
          <w:ilvl w:val="0"/>
          <w:numId w:val="0"/>
        </w:numPr>
        <w:ind w:left="0" w:hanging="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55" w:name="_Ref132797154"/>
      <w:bookmarkStart w:id="156" w:name="_Toc228877693"/>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6"/>
        <w:numPr>
          <w:ilvl w:val="0"/>
          <w:numId w:val="0"/>
        </w:numPr>
        <w:ind w:left="0" w:hanging="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numPr>
          <w:ilvl w:val="0"/>
          <w:numId w:val="0"/>
        </w:numPr>
        <w:ind w:left="0" w:hanging="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numPr>
          <w:ilvl w:val="0"/>
          <w:numId w:val="0"/>
        </w:numPr>
        <w:ind w:left="0" w:hanging="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numPr>
          <w:ilvl w:val="0"/>
          <w:numId w:val="0"/>
        </w:numPr>
        <w:ind w:left="0" w:hanging="0"/>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numPr>
          <w:ilvl w:val="0"/>
          <w:numId w:val="0"/>
        </w:numPr>
        <w:ind w:left="0" w:hanging="0"/>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7"/>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numPr>
          <w:ilvl w:val="0"/>
          <w:numId w:val="0"/>
        </w:numPr>
        <w:ind w:left="0" w:hanging="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numPr>
          <w:ilvl w:val="0"/>
          <w:numId w:val="0"/>
        </w:numPr>
        <w:ind w:left="0" w:hanging="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9" w:name="_Ref125362381"/>
      <w:bookmarkStart w:id="160" w:name="_Ref125362425"/>
      <w:bookmarkStart w:id="161" w:name="_Ref125362464"/>
      <w:bookmarkStart w:id="162" w:name="_Ref125362610"/>
      <w:bookmarkStart w:id="163" w:name="_Toc228877694"/>
      <w:r>
        <w:rPr/>
        <w:t>Дополнительные запросы разъяснений заявок</w:t>
      </w:r>
      <w:bookmarkEnd w:id="159"/>
      <w:bookmarkEnd w:id="160"/>
      <w:bookmarkEnd w:id="161"/>
      <w:bookmarkEnd w:id="162"/>
      <w:bookmarkEnd w:id="163"/>
    </w:p>
    <w:p>
      <w:pPr>
        <w:pStyle w:val="Style26"/>
        <w:numPr>
          <w:ilvl w:val="0"/>
          <w:numId w:val="0"/>
        </w:numPr>
        <w:ind w:left="0" w:hanging="0"/>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numPr>
          <w:ilvl w:val="0"/>
          <w:numId w:val="0"/>
        </w:numPr>
        <w:ind w:left="0" w:hanging="0"/>
        <w:rPr/>
      </w:pPr>
      <w:r>
        <w:rPr/>
        <w:t>соответствия Участника требованиям Документации о закупке;</w:t>
      </w:r>
    </w:p>
    <w:p>
      <w:pPr>
        <w:pStyle w:val="Style28"/>
        <w:numPr>
          <w:ilvl w:val="0"/>
          <w:numId w:val="0"/>
        </w:numPr>
        <w:ind w:left="0" w:hanging="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8"/>
        <w:numPr>
          <w:ilvl w:val="0"/>
          <w:numId w:val="0"/>
        </w:numPr>
        <w:ind w:left="0" w:hanging="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14</w:t>
      </w:r>
      <w:r>
        <w:rPr/>
        <w:fldChar w:fldCharType="end"/>
      </w:r>
      <w:r>
        <w:rPr/>
        <w:t>), договорных условий и расчета цены Договора;</w:t>
      </w:r>
    </w:p>
    <w:p>
      <w:pPr>
        <w:pStyle w:val="Style27"/>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6"/>
        <w:numPr>
          <w:ilvl w:val="0"/>
          <w:numId w:val="0"/>
        </w:numPr>
        <w:ind w:left="0" w:hanging="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б)</w:t>
      </w:r>
      <w:r>
        <w:rPr/>
        <w:fldChar w:fldCharType="end"/>
      </w:r>
      <w:r>
        <w:rPr/>
        <w:t>).</w:t>
      </w:r>
    </w:p>
    <w:p>
      <w:pPr>
        <w:pStyle w:val="Style26"/>
        <w:numPr>
          <w:ilvl w:val="0"/>
          <w:numId w:val="0"/>
        </w:numPr>
        <w:ind w:left="0" w:hanging="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numPr>
          <w:ilvl w:val="0"/>
          <w:numId w:val="0"/>
        </w:numPr>
        <w:ind w:left="0" w:hanging="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numPr>
          <w:ilvl w:val="0"/>
          <w:numId w:val="0"/>
        </w:numPr>
        <w:ind w:left="0" w:hanging="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r>
      <w:r>
        <w:rPr/>
        <w:fldChar w:fldCharType="end"/>
      </w:r>
      <w:r>
        <w:rPr/>
        <w:t xml:space="preserve">, </w:t>
      </w:r>
      <w:r>
        <w:rPr/>
        <w:fldChar w:fldCharType="begin"/>
      </w:r>
      <w:r>
        <w:rPr/>
        <w:instrText xml:space="preserve"> REF _Ref132793926 \r \h </w:instrText>
      </w:r>
      <w:r>
        <w:rPr/>
        <w:fldChar w:fldCharType="separate"/>
      </w:r>
      <w:r>
        <w:rPr/>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r>
      <w:r>
        <w:rPr/>
        <w:fldChar w:fldCharType="end"/>
      </w:r>
      <w:r>
        <w:rPr/>
        <w:t>.</w:t>
      </w:r>
    </w:p>
    <w:p>
      <w:pPr>
        <w:pStyle w:val="Style26"/>
        <w:numPr>
          <w:ilvl w:val="0"/>
          <w:numId w:val="0"/>
        </w:numPr>
        <w:ind w:left="0" w:hanging="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numPr>
          <w:ilvl w:val="0"/>
          <w:numId w:val="0"/>
        </w:numPr>
        <w:ind w:left="0" w:hanging="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numPr>
          <w:ilvl w:val="0"/>
          <w:numId w:val="0"/>
        </w:numPr>
        <w:ind w:left="0" w:hanging="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r>
      <w:r>
        <w:rPr/>
        <w:fldChar w:fldCharType="end"/>
      </w:r>
      <w:r>
        <w:rPr/>
        <w:t xml:space="preserve">, </w:t>
      </w:r>
      <w:r>
        <w:rPr/>
        <w:fldChar w:fldCharType="begin"/>
      </w:r>
      <w:r>
        <w:rPr/>
        <w:instrText xml:space="preserve"> REF _Ref132793926 \r \h </w:instrText>
      </w:r>
      <w:r>
        <w:rPr/>
        <w:fldChar w:fldCharType="separate"/>
      </w:r>
      <w:r>
        <w:rPr/>
      </w:r>
      <w:r>
        <w:rPr/>
        <w:fldChar w:fldCharType="end"/>
      </w:r>
      <w:r>
        <w:rPr/>
        <w:t>.</w:t>
      </w:r>
    </w:p>
    <w:p>
      <w:pPr>
        <w:pStyle w:val="Style25"/>
        <w:rPr/>
      </w:pPr>
      <w:bookmarkStart w:id="167" w:name="_Ref125362626"/>
      <w:bookmarkStart w:id="168" w:name="_Ref125365335"/>
      <w:bookmarkStart w:id="169" w:name="_Ref125365519"/>
      <w:bookmarkStart w:id="170" w:name="_Ref125366534"/>
      <w:bookmarkStart w:id="171" w:name="_Ref125369041"/>
      <w:bookmarkStart w:id="172" w:name="_Ref125369308"/>
      <w:bookmarkStart w:id="173" w:name="_Toc228877695"/>
      <w:r>
        <w:rPr/>
        <w:t>Оценка и сопоставление заявок</w:t>
      </w:r>
      <w:bookmarkEnd w:id="167"/>
      <w:bookmarkEnd w:id="168"/>
      <w:bookmarkEnd w:id="169"/>
      <w:bookmarkEnd w:id="170"/>
      <w:bookmarkEnd w:id="171"/>
      <w:bookmarkEnd w:id="172"/>
      <w:bookmarkEnd w:id="173"/>
    </w:p>
    <w:p>
      <w:pPr>
        <w:pStyle w:val="Style26"/>
        <w:numPr>
          <w:ilvl w:val="0"/>
          <w:numId w:val="0"/>
        </w:numPr>
        <w:ind w:left="0" w:hanging="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numPr>
          <w:ilvl w:val="0"/>
          <w:numId w:val="0"/>
        </w:numPr>
        <w:ind w:left="0" w:hanging="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6"/>
        <w:numPr>
          <w:ilvl w:val="0"/>
          <w:numId w:val="0"/>
        </w:numPr>
        <w:ind w:left="0" w:hanging="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numPr>
          <w:ilvl w:val="0"/>
          <w:numId w:val="0"/>
        </w:numPr>
        <w:ind w:left="0" w:hanging="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14</w:t>
      </w:r>
      <w:r>
        <w:rPr/>
        <w:fldChar w:fldCharType="end"/>
      </w:r>
      <w:r>
        <w:rPr/>
        <w:t>).</w:t>
      </w:r>
    </w:p>
    <w:p>
      <w:pPr>
        <w:pStyle w:val="Style26"/>
        <w:numPr>
          <w:ilvl w:val="0"/>
          <w:numId w:val="0"/>
        </w:numPr>
        <w:ind w:left="0" w:hanging="0"/>
        <w:rPr/>
      </w:pPr>
      <w:r>
        <w:rPr/>
        <w:t>Результаты оценки и сопоставления заявок указываются в итоговом протоколе по результатам закупки.</w:t>
      </w:r>
    </w:p>
    <w:p>
      <w:pPr>
        <w:pStyle w:val="Style25"/>
        <w:rPr/>
      </w:pPr>
      <w:bookmarkStart w:id="174" w:name="_Ref186219943"/>
      <w:bookmarkStart w:id="175" w:name="_Ref132816300"/>
      <w:bookmarkStart w:id="176" w:name="_Toc228877696"/>
      <w:bookmarkStart w:id="177" w:name="_Ref130985951"/>
      <w:bookmarkStart w:id="178" w:name="_Ref125366064"/>
      <w:bookmarkStart w:id="179" w:name="_Ref125369991"/>
      <w:bookmarkStart w:id="180" w:name="_Ref125370507"/>
      <w:bookmarkStart w:id="181" w:name="_Ref130458671"/>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6"/>
        <w:numPr>
          <w:ilvl w:val="0"/>
          <w:numId w:val="0"/>
        </w:numPr>
        <w:ind w:left="0" w:hanging="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numPr>
          <w:ilvl w:val="0"/>
          <w:numId w:val="0"/>
        </w:numPr>
        <w:ind w:left="0" w:hanging="0"/>
        <w:rPr/>
      </w:pPr>
      <w:bookmarkStart w:id="182" w:name="_Ref207817837"/>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bookmarkEnd w:id="182"/>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numPr>
          <w:ilvl w:val="0"/>
          <w:numId w:val="0"/>
        </w:numPr>
        <w:ind w:left="0" w:hanging="0"/>
        <w:rPr/>
      </w:pPr>
      <w:bookmarkStart w:id="183" w:name="_Ref195007400"/>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11</w:t>
      </w:r>
      <w:r>
        <w:rPr/>
        <w:fldChar w:fldCharType="end"/>
      </w:r>
      <w:r>
        <w:rPr/>
        <w:t>).</w:t>
      </w:r>
      <w:bookmarkEnd w:id="183"/>
    </w:p>
    <w:p>
      <w:pPr>
        <w:pStyle w:val="Style26"/>
        <w:numPr>
          <w:ilvl w:val="0"/>
          <w:numId w:val="0"/>
        </w:numPr>
        <w:ind w:left="0" w:hanging="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r>
      <w:r>
        <w:rPr/>
        <w:fldChar w:fldCharType="end"/>
      </w:r>
      <w:r>
        <w:rPr/>
        <w:t> – </w:t>
      </w:r>
      <w:r>
        <w:rPr/>
        <w:fldChar w:fldCharType="begin"/>
      </w:r>
      <w:r>
        <w:rPr/>
        <w:instrText xml:space="preserve"> REF _Ref195007400 \r \h </w:instrText>
      </w:r>
      <w:r>
        <w:rPr/>
        <w:fldChar w:fldCharType="separate"/>
      </w:r>
      <w:r>
        <w:rPr/>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numPr>
          <w:ilvl w:val="0"/>
          <w:numId w:val="0"/>
        </w:numPr>
        <w:ind w:left="0" w:hanging="0"/>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numPr>
          <w:ilvl w:val="0"/>
          <w:numId w:val="0"/>
        </w:numPr>
        <w:ind w:left="0" w:hanging="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numPr>
          <w:ilvl w:val="0"/>
          <w:numId w:val="0"/>
        </w:numPr>
        <w:ind w:left="0" w:hanging="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numPr>
          <w:ilvl w:val="0"/>
          <w:numId w:val="0"/>
        </w:numPr>
        <w:ind w:left="0" w:hanging="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4" w:name="_Ref125362658"/>
      <w:bookmarkStart w:id="185" w:name="_Ref125366091"/>
      <w:bookmarkStart w:id="186" w:name="_Ref125367242"/>
      <w:bookmarkStart w:id="187" w:name="_Toc228877698"/>
      <w:r>
        <w:rPr/>
        <w:t>Подведение итогов закупки (определение Победителя)</w:t>
      </w:r>
      <w:bookmarkEnd w:id="184"/>
      <w:bookmarkEnd w:id="185"/>
      <w:bookmarkEnd w:id="186"/>
      <w:bookmarkEnd w:id="187"/>
    </w:p>
    <w:p>
      <w:pPr>
        <w:pStyle w:val="Style26"/>
        <w:numPr>
          <w:ilvl w:val="0"/>
          <w:numId w:val="0"/>
        </w:numPr>
        <w:ind w:left="0" w:hanging="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numPr>
          <w:ilvl w:val="0"/>
          <w:numId w:val="0"/>
        </w:numPr>
        <w:ind w:left="0" w:hanging="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numPr>
          <w:ilvl w:val="0"/>
          <w:numId w:val="0"/>
        </w:numPr>
        <w:ind w:left="0" w:hanging="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numPr>
          <w:ilvl w:val="0"/>
          <w:numId w:val="0"/>
        </w:numPr>
        <w:ind w:left="0" w:hanging="0"/>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w:t>
      </w:r>
    </w:p>
    <w:p>
      <w:pPr>
        <w:pStyle w:val="Style28"/>
        <w:numPr>
          <w:ilvl w:val="0"/>
          <w:numId w:val="0"/>
        </w:numPr>
        <w:ind w:left="0" w:hanging="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numPr>
          <w:ilvl w:val="0"/>
          <w:numId w:val="0"/>
        </w:numPr>
        <w:ind w:left="0" w:hanging="0"/>
        <w:rPr/>
      </w:pPr>
      <w:r>
        <w:rPr/>
        <w:t>количества заявок, которые были отклонены;</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numPr>
          <w:ilvl w:val="0"/>
          <w:numId w:val="0"/>
        </w:numPr>
        <w:ind w:left="0" w:hanging="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numPr>
          <w:ilvl w:val="0"/>
          <w:numId w:val="0"/>
        </w:numPr>
        <w:ind w:left="0" w:hanging="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numPr>
          <w:ilvl w:val="0"/>
          <w:numId w:val="0"/>
        </w:numPr>
        <w:ind w:left="0" w:hanging="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89" w:name="_Ref125364149"/>
      <w:bookmarkStart w:id="190" w:name="_Ref125364187"/>
      <w:bookmarkStart w:id="191" w:name="_Ref125365305"/>
      <w:bookmarkStart w:id="192" w:name="_Ref125365570"/>
      <w:bookmarkStart w:id="193" w:name="_Ref125366631"/>
      <w:bookmarkStart w:id="194" w:name="_Ref125366796"/>
      <w:bookmarkStart w:id="195" w:name="_Toc228877699"/>
      <w:r>
        <w:rPr/>
        <w:t>Признание закупки несостоявшейся</w:t>
      </w:r>
      <w:bookmarkEnd w:id="189"/>
      <w:bookmarkEnd w:id="190"/>
      <w:bookmarkEnd w:id="191"/>
      <w:bookmarkEnd w:id="192"/>
      <w:bookmarkEnd w:id="193"/>
      <w:bookmarkEnd w:id="194"/>
      <w:bookmarkEnd w:id="195"/>
    </w:p>
    <w:p>
      <w:pPr>
        <w:pStyle w:val="Style26"/>
        <w:keepNext w:val="true"/>
        <w:numPr>
          <w:ilvl w:val="0"/>
          <w:numId w:val="0"/>
        </w:numPr>
        <w:ind w:left="0" w:hanging="0"/>
        <w:rPr/>
      </w:pPr>
      <w:bookmarkStart w:id="196" w:name="_Ref214290552"/>
      <w:r>
        <w:rPr/>
        <w:t>Закупка признается несостоявшейся в следующих случаях:</w:t>
      </w:r>
      <w:bookmarkEnd w:id="196"/>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3</w:t>
      </w:r>
      <w:r>
        <w:rPr/>
        <w:fldChar w:fldCharType="end"/>
      </w:r>
      <w:r>
        <w:rPr/>
        <w:t>).</w:t>
      </w:r>
    </w:p>
    <w:p>
      <w:pPr>
        <w:pStyle w:val="Style26"/>
        <w:numPr>
          <w:ilvl w:val="0"/>
          <w:numId w:val="0"/>
        </w:numPr>
        <w:ind w:left="0" w:hanging="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numPr>
          <w:ilvl w:val="0"/>
          <w:numId w:val="0"/>
        </w:numPr>
        <w:ind w:left="0" w:hanging="0"/>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0" w:name="_Ref132816134"/>
      <w:bookmarkStart w:id="201" w:name="_Ref132816141"/>
      <w:bookmarkStart w:id="202" w:name="_Toc228877700"/>
      <w:bookmarkStart w:id="203" w:name="_Ref126141962"/>
      <w:bookmarkStart w:id="204" w:name="_Toc224743821"/>
      <w:bookmarkStart w:id="205" w:name="_Toc224743822"/>
      <w:bookmarkStart w:id="206" w:name="_Toc224743823"/>
      <w:bookmarkStart w:id="207" w:name="_Toc224743824"/>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6"/>
        <w:numPr>
          <w:ilvl w:val="0"/>
          <w:numId w:val="0"/>
        </w:numPr>
        <w:ind w:left="0" w:hanging="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numPr>
          <w:ilvl w:val="0"/>
          <w:numId w:val="0"/>
        </w:numPr>
        <w:ind w:left="0" w:hanging="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numPr>
          <w:ilvl w:val="0"/>
          <w:numId w:val="0"/>
        </w:numPr>
        <w:ind w:left="0" w:hanging="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8" w:name="_Ref130455226"/>
      <w:bookmarkStart w:id="209" w:name="_Toc228877701"/>
      <w:r>
        <w:rPr/>
        <w:t>Особенности проведения закупки с необходимостью обеспечения заявки</w:t>
      </w:r>
      <w:bookmarkEnd w:id="208"/>
      <w:bookmarkEnd w:id="209"/>
    </w:p>
    <w:p>
      <w:pPr>
        <w:pStyle w:val="Style26"/>
        <w:numPr>
          <w:ilvl w:val="0"/>
          <w:numId w:val="0"/>
        </w:numPr>
        <w:ind w:left="0" w:hanging="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предусмотрена обязанность Участников предоставить обеспечение заявки на участие в закупке.</w:t>
      </w:r>
    </w:p>
    <w:p>
      <w:pPr>
        <w:pStyle w:val="Style26"/>
        <w:numPr>
          <w:ilvl w:val="0"/>
          <w:numId w:val="0"/>
        </w:numPr>
        <w:ind w:left="0" w:hanging="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numPr>
          <w:ilvl w:val="0"/>
          <w:numId w:val="0"/>
        </w:numPr>
        <w:ind w:left="0" w:hanging="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2</w:t>
      </w:r>
      <w:r>
        <w:rPr/>
        <w:fldChar w:fldCharType="end"/>
      </w:r>
      <w:r>
        <w:rPr/>
        <w:t>. Выбор формы (способа) обеспечения из числа предусмотренных осуществляется Участниками самостоятельно.</w:t>
      </w:r>
    </w:p>
    <w:p>
      <w:pPr>
        <w:pStyle w:val="Style26"/>
        <w:numPr>
          <w:ilvl w:val="0"/>
          <w:numId w:val="0"/>
        </w:numPr>
        <w:ind w:left="0" w:hanging="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numPr>
          <w:ilvl w:val="0"/>
          <w:numId w:val="0"/>
        </w:numPr>
        <w:ind w:left="0" w:hanging="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numPr>
          <w:ilvl w:val="0"/>
          <w:numId w:val="0"/>
        </w:numPr>
        <w:ind w:left="0" w:hanging="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numPr>
          <w:ilvl w:val="0"/>
          <w:numId w:val="0"/>
        </w:numPr>
        <w:ind w:left="0" w:hanging="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numPr>
          <w:ilvl w:val="0"/>
          <w:numId w:val="0"/>
        </w:numPr>
        <w:ind w:left="0" w:hanging="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18.1л)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numPr>
          <w:ilvl w:val="0"/>
          <w:numId w:val="0"/>
        </w:numPr>
        <w:ind w:left="0" w:hanging="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numPr>
          <w:ilvl w:val="0"/>
          <w:numId w:val="0"/>
        </w:numPr>
        <w:ind w:left="0" w:hanging="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numPr>
          <w:ilvl w:val="0"/>
          <w:numId w:val="0"/>
        </w:numPr>
        <w:ind w:left="0" w:hanging="0"/>
        <w:rPr/>
      </w:pPr>
      <w:r>
        <w:rPr/>
        <w:t>При многолотовой закупке (подраздел </w:t>
      </w:r>
      <w:r>
        <w:rPr/>
        <w:fldChar w:fldCharType="begin"/>
      </w:r>
      <w:r>
        <w:rPr/>
        <w:instrText xml:space="preserve"> REF _Ref149317181 \n \h </w:instrText>
      </w:r>
      <w:r>
        <w:rPr/>
        <w:fldChar w:fldCharType="separate"/>
      </w:r>
      <w:r>
        <w:rPr/>
        <w:t>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numPr>
          <w:ilvl w:val="0"/>
          <w:numId w:val="0"/>
        </w:numPr>
        <w:ind w:left="0" w:hanging="0"/>
        <w:rPr/>
      </w:pPr>
      <w:r>
        <w:rPr/>
        <w:t>Подать заявку (принять участие в закупке) могут только Участники, предоставившие надлежащее обеспечение их заявок.</w:t>
      </w:r>
    </w:p>
    <w:p>
      <w:pPr>
        <w:pStyle w:val="Style26"/>
        <w:numPr>
          <w:ilvl w:val="0"/>
          <w:numId w:val="0"/>
        </w:numPr>
        <w:ind w:left="0" w:hanging="0"/>
        <w:rPr/>
      </w:pPr>
      <w:r>
        <w:rPr/>
        <w:t>Требование об обеспечении заявки в равной мере распространяется на всех Участников.</w:t>
      </w:r>
    </w:p>
    <w:p>
      <w:pPr>
        <w:pStyle w:val="Style26"/>
        <w:keepNext w:val="true"/>
        <w:numPr>
          <w:ilvl w:val="0"/>
          <w:numId w:val="0"/>
        </w:numPr>
        <w:ind w:left="0" w:hanging="0"/>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numPr>
          <w:ilvl w:val="0"/>
          <w:numId w:val="0"/>
        </w:numPr>
        <w:ind w:left="0" w:hanging="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numPr>
          <w:ilvl w:val="0"/>
          <w:numId w:val="0"/>
        </w:numPr>
        <w:ind w:left="0" w:hanging="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numPr>
          <w:ilvl w:val="0"/>
          <w:numId w:val="0"/>
        </w:numPr>
        <w:ind w:left="0" w:hanging="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3</w:t>
      </w:r>
      <w:r>
        <w:rPr/>
        <w:fldChar w:fldCharType="end"/>
      </w:r>
      <w:r>
        <w:rPr/>
        <w:t>) – на время рассмотрения жалобы.</w:t>
      </w:r>
    </w:p>
    <w:p>
      <w:pPr>
        <w:pStyle w:val="Style25"/>
        <w:rPr/>
      </w:pPr>
      <w:bookmarkStart w:id="212" w:name="_Ref149317181"/>
      <w:bookmarkStart w:id="213" w:name="_Toc228877702"/>
      <w:bookmarkStart w:id="214" w:name="_Ref130225422"/>
      <w:r>
        <w:rPr/>
        <w:t>Особенности проведения многолотовой закупки</w:t>
      </w:r>
      <w:bookmarkEnd w:id="212"/>
      <w:bookmarkEnd w:id="213"/>
      <w:bookmarkEnd w:id="214"/>
    </w:p>
    <w:p>
      <w:pPr>
        <w:pStyle w:val="Style26"/>
        <w:numPr>
          <w:ilvl w:val="0"/>
          <w:numId w:val="0"/>
        </w:numPr>
        <w:ind w:left="0" w:hanging="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предусмотрено проведение многолотовой закупки.</w:t>
      </w:r>
    </w:p>
    <w:p>
      <w:pPr>
        <w:pStyle w:val="Style26"/>
        <w:numPr>
          <w:ilvl w:val="0"/>
          <w:numId w:val="0"/>
        </w:numPr>
        <w:ind w:left="0" w:hanging="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numPr>
          <w:ilvl w:val="0"/>
          <w:numId w:val="0"/>
        </w:numPr>
        <w:ind w:left="0" w:hanging="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numPr>
          <w:ilvl w:val="0"/>
          <w:numId w:val="0"/>
        </w:numPr>
        <w:ind w:left="0" w:hanging="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numPr>
          <w:ilvl w:val="0"/>
          <w:numId w:val="0"/>
        </w:numPr>
        <w:ind w:left="0" w:hanging="0"/>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numPr>
          <w:ilvl w:val="0"/>
          <w:numId w:val="0"/>
        </w:numPr>
        <w:ind w:left="0" w:hanging="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3"/>
        <w:keepNext w:val="true"/>
        <w:rPr/>
      </w:pPr>
      <w:r>
        <w:rPr/>
      </w:r>
    </w:p>
    <w:p>
      <w:pPr>
        <w:pStyle w:val="Style24"/>
        <w:rPr/>
      </w:pPr>
      <w:bookmarkStart w:id="215" w:name="_Ref126142429"/>
      <w:bookmarkStart w:id="216" w:name="_Ref130224037"/>
      <w:bookmarkStart w:id="217" w:name="_Toc228877704"/>
      <w:bookmarkStart w:id="218" w:name="_Ref125361212"/>
      <w:bookmarkStart w:id="219" w:name="_Ref125362671"/>
      <w:bookmarkStart w:id="220" w:name="_Ref125363439"/>
      <w:bookmarkStart w:id="221" w:name="_Ref125366769"/>
      <w:bookmarkStart w:id="222" w:name="_Ref125367083"/>
      <w:bookmarkStart w:id="223" w:name="_Ref125367087"/>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Toc228877705"/>
      <w:r>
        <w:rPr/>
        <w:t>Общие положения</w:t>
      </w:r>
      <w:bookmarkEnd w:id="224"/>
    </w:p>
    <w:p>
      <w:pPr>
        <w:pStyle w:val="Style26"/>
        <w:numPr>
          <w:ilvl w:val="0"/>
          <w:numId w:val="0"/>
        </w:numPr>
        <w:ind w:left="0" w:hanging="0"/>
        <w:rPr/>
      </w:pPr>
      <w:r>
        <w:rPr/>
        <w:t>Нормы настоящего раздела </w:t>
      </w:r>
      <w:r>
        <w:rPr/>
        <w:fldChar w:fldCharType="begin"/>
      </w:r>
      <w:r>
        <w:rPr/>
        <w:instrText xml:space="preserve"> REF _Ref126142429 \r \h </w:instrText>
      </w:r>
      <w:r>
        <w:rPr/>
        <w:fldChar w:fldCharType="separate"/>
      </w:r>
      <w:r>
        <w:rPr/>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5" w:name="_Ref138341423"/>
      <w:bookmarkStart w:id="226" w:name="_Toc228877706"/>
      <w:bookmarkStart w:id="227" w:name="_Ref125366947"/>
      <w:bookmarkStart w:id="228" w:name="_Ref125368755"/>
      <w:r>
        <w:rPr/>
        <w:t>Заключение Договора</w:t>
      </w:r>
      <w:bookmarkEnd w:id="225"/>
      <w:bookmarkEnd w:id="226"/>
      <w:bookmarkEnd w:id="227"/>
      <w:bookmarkEnd w:id="228"/>
    </w:p>
    <w:p>
      <w:pPr>
        <w:pStyle w:val="Style26"/>
        <w:numPr>
          <w:ilvl w:val="0"/>
          <w:numId w:val="0"/>
        </w:numPr>
        <w:ind w:left="0" w:hanging="0"/>
        <w:rPr/>
      </w:pPr>
      <w:bookmarkStart w:id="229" w:name="_Ref125362935"/>
      <w:bookmarkStart w:id="23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6"/>
        <w:numPr>
          <w:ilvl w:val="0"/>
          <w:numId w:val="0"/>
        </w:numPr>
        <w:ind w:left="0" w:hanging="0"/>
        <w:rPr/>
      </w:pPr>
      <w:r>
        <w:rPr/>
        <w:t>Договор не может быть заключен, если это запрещено законодательством о национальном режиме.</w:t>
      </w:r>
    </w:p>
    <w:p>
      <w:pPr>
        <w:pStyle w:val="Style26"/>
        <w:numPr>
          <w:ilvl w:val="0"/>
          <w:numId w:val="0"/>
        </w:numPr>
        <w:ind w:left="0" w:hanging="0"/>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numPr>
          <w:ilvl w:val="0"/>
          <w:numId w:val="0"/>
        </w:numPr>
        <w:ind w:left="0" w:hanging="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6"/>
        <w:numPr>
          <w:ilvl w:val="0"/>
          <w:numId w:val="0"/>
        </w:numPr>
        <w:ind w:left="0" w:hanging="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numPr>
          <w:ilvl w:val="0"/>
          <w:numId w:val="0"/>
        </w:numPr>
        <w:ind w:left="0" w:hanging="0"/>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7"/>
        <w:keepNext w:val="true"/>
        <w:rPr/>
      </w:pPr>
      <w:r>
        <w:rPr/>
        <w:t>для юридического лица:</w:t>
      </w:r>
    </w:p>
    <w:p>
      <w:pPr>
        <w:pStyle w:val="Style28"/>
        <w:numPr>
          <w:ilvl w:val="0"/>
          <w:numId w:val="0"/>
        </w:numPr>
        <w:ind w:left="0" w:hanging="0"/>
        <w:rPr/>
      </w:pPr>
      <w:r>
        <w:rPr/>
        <w:t>копия устава в действующей редакции с отметкой ИФНС либо копия нотариально заверенного устава (с отметкой нотариуса);</w:t>
      </w:r>
    </w:p>
    <w:p>
      <w:pPr>
        <w:pStyle w:val="Style28"/>
        <w:numPr>
          <w:ilvl w:val="0"/>
          <w:numId w:val="0"/>
        </w:numPr>
        <w:ind w:left="0" w:hanging="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8"/>
        <w:numPr>
          <w:ilvl w:val="0"/>
          <w:numId w:val="0"/>
        </w:numPr>
        <w:ind w:left="0" w:hanging="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numPr>
          <w:ilvl w:val="0"/>
          <w:numId w:val="0"/>
        </w:numPr>
        <w:ind w:left="0" w:hanging="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numPr>
          <w:ilvl w:val="0"/>
          <w:numId w:val="0"/>
        </w:numPr>
        <w:ind w:left="0" w:hanging="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numPr>
          <w:ilvl w:val="0"/>
          <w:numId w:val="0"/>
        </w:numPr>
        <w:ind w:left="0" w:hanging="0"/>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numPr>
          <w:ilvl w:val="0"/>
          <w:numId w:val="0"/>
        </w:numPr>
        <w:ind w:left="0" w:hanging="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numPr>
          <w:ilvl w:val="0"/>
          <w:numId w:val="0"/>
        </w:numPr>
        <w:ind w:left="0" w:hanging="0"/>
        <w:rPr/>
      </w:pPr>
      <w:r>
        <w:rPr/>
        <w:t>В течение установленного в пункте </w:t>
      </w:r>
      <w:r>
        <w:rPr/>
        <w:fldChar w:fldCharType="begin"/>
      </w:r>
      <w:r>
        <w:rPr/>
        <w:instrText xml:space="preserve"> REF _Ref130293821 \r \h </w:instrText>
      </w:r>
      <w:r>
        <w:rPr/>
        <w:fldChar w:fldCharType="separate"/>
      </w:r>
      <w:r>
        <w:rPr/>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numPr>
          <w:ilvl w:val="0"/>
          <w:numId w:val="0"/>
        </w:numPr>
        <w:ind w:left="0" w:hanging="0"/>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6"/>
        <w:numPr>
          <w:ilvl w:val="0"/>
          <w:numId w:val="0"/>
        </w:numPr>
        <w:ind w:left="0" w:hanging="0"/>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6"/>
        <w:numPr>
          <w:ilvl w:val="0"/>
          <w:numId w:val="0"/>
        </w:numPr>
        <w:ind w:left="0" w:hanging="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8" w:name="_Ref125367068"/>
      <w:bookmarkStart w:id="239" w:name="_Toc228877707"/>
      <w:r>
        <w:rPr/>
        <w:t>Уклонение Победителя от заключения Договора</w:t>
      </w:r>
      <w:bookmarkEnd w:id="238"/>
      <w:bookmarkEnd w:id="239"/>
    </w:p>
    <w:p>
      <w:pPr>
        <w:pStyle w:val="Style26"/>
        <w:keepNext w:val="true"/>
        <w:numPr>
          <w:ilvl w:val="0"/>
          <w:numId w:val="0"/>
        </w:numPr>
        <w:ind w:left="0" w:hanging="0"/>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0" w:name="_Ref125363016"/>
      <w:bookmarkStart w:id="241" w:name="_Ref125363023"/>
      <w:bookmarkStart w:id="242" w:name="_Ref125363034"/>
      <w:bookmarkStart w:id="243" w:name="_Ref125363600"/>
      <w:bookmarkStart w:id="244" w:name="_Ref125363752"/>
      <w:bookmarkStart w:id="245" w:name="_Ref125364088"/>
      <w:bookmarkStart w:id="246" w:name="_Ref125364201"/>
      <w:bookmarkStart w:id="247" w:name="_Ref125370732"/>
      <w:bookmarkStart w:id="248" w:name="_Ref125370741"/>
      <w:bookmarkStart w:id="249" w:name="_Ref125370746"/>
      <w:bookmarkStart w:id="250" w:name="_Ref125370750"/>
      <w:bookmarkStart w:id="251" w:name="_Ref125370843"/>
      <w:bookmarkStart w:id="252" w:name="Прил01_ТехТребования"/>
      <w:bookmarkStart w:id="253" w:name="_Toc228877708"/>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5"/>
        <w:rPr/>
      </w:pPr>
      <w:bookmarkStart w:id="254" w:name="_Toc228877709"/>
      <w:r>
        <w:rPr/>
        <w:t>Пояснения к Техническим требованиям</w:t>
      </w:r>
      <w:bookmarkEnd w:id="254"/>
    </w:p>
    <w:p>
      <w:pPr>
        <w:pStyle w:val="Style26"/>
        <w:numPr>
          <w:ilvl w:val="0"/>
          <w:numId w:val="0"/>
        </w:numPr>
        <w:ind w:left="0" w:hanging="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5" w:name="_Ref125361746"/>
      <w:bookmarkStart w:id="256" w:name="_Ref125363040"/>
      <w:bookmarkStart w:id="257" w:name="_Ref125363605"/>
      <w:bookmarkStart w:id="258" w:name="_Ref125363759"/>
      <w:bookmarkStart w:id="259" w:name="_Ref125364081"/>
      <w:bookmarkStart w:id="260" w:name="_Ref125364206"/>
      <w:bookmarkStart w:id="261" w:name="_Ref125370754"/>
      <w:bookmarkStart w:id="262" w:name="Прил02_ПроектДоговора"/>
      <w:bookmarkStart w:id="263" w:name="_Toc228877710"/>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5"/>
        <w:rPr/>
      </w:pPr>
      <w:bookmarkStart w:id="264" w:name="_Toc228877711"/>
      <w:r>
        <w:rPr/>
        <w:t>Пояснения к Проекту договора</w:t>
      </w:r>
      <w:bookmarkEnd w:id="264"/>
    </w:p>
    <w:p>
      <w:pPr>
        <w:pStyle w:val="Style26"/>
        <w:numPr>
          <w:ilvl w:val="0"/>
          <w:numId w:val="0"/>
        </w:numPr>
        <w:ind w:left="0" w:hanging="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numPr>
          <w:ilvl w:val="0"/>
          <w:numId w:val="0"/>
        </w:numPr>
        <w:ind w:left="0" w:hanging="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2</w:t>
      </w:r>
      <w:r>
        <w:rPr/>
        <w:fldChar w:fldCharType="end"/>
      </w:r>
      <w:r>
        <w:rPr/>
        <w:t xml:space="preserve"> как «Некритичные пункты Проекта договора».</w:t>
      </w:r>
    </w:p>
    <w:p>
      <w:pPr>
        <w:pStyle w:val="Style26"/>
        <w:numPr>
          <w:ilvl w:val="0"/>
          <w:numId w:val="0"/>
        </w:numPr>
        <w:ind w:left="0" w:hanging="0"/>
        <w:rPr/>
      </w:pPr>
      <w:r>
        <w:rPr/>
        <w:t>В соответствии с пунктом </w:t>
      </w:r>
      <w:r>
        <w:rPr/>
        <w:fldChar w:fldCharType="begin"/>
      </w:r>
      <w:r>
        <w:rPr/>
        <w:instrText xml:space="preserve"> REF _Ref49437111 \r \h </w:instrText>
      </w:r>
      <w:r>
        <w:rPr/>
        <w:fldChar w:fldCharType="separate"/>
      </w:r>
      <w:r>
        <w:rPr/>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numPr>
          <w:ilvl w:val="0"/>
          <w:numId w:val="0"/>
        </w:numPr>
        <w:ind w:left="0" w:hanging="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50.8pt;mso-wrap-distance-right:0pt" filled="f" o:ole="">
            <v:imagedata r:id="rId13" o:title=""/>
          </v:shape>
          <o:OLEObject Type="Embed" ProgID="Word.Document.12" ShapeID="ole_rId12" DrawAspect="Icon" ObjectID="_1726935568" r:id="rId12"/>
        </w:object>
      </w:r>
    </w:p>
    <w:p>
      <w:pPr>
        <w:pStyle w:val="Style24"/>
        <w:rPr/>
      </w:pPr>
      <w:bookmarkStart w:id="266" w:name="_Ref125361494"/>
      <w:bookmarkStart w:id="267" w:name="_Ref125361908"/>
      <w:bookmarkStart w:id="268" w:name="_Ref125365476"/>
      <w:bookmarkStart w:id="269" w:name="_Ref125370013"/>
      <w:bookmarkStart w:id="270" w:name="Прил03_ТребованияУчастникам"/>
      <w:bookmarkStart w:id="271" w:name="_Toc228877712"/>
      <w:r>
        <w:rPr/>
        <w:t>Приложение № 3 – Требования к Участникам</w:t>
      </w:r>
      <w:bookmarkEnd w:id="266"/>
      <w:bookmarkEnd w:id="267"/>
      <w:bookmarkEnd w:id="268"/>
      <w:bookmarkEnd w:id="269"/>
      <w:bookmarkEnd w:id="270"/>
      <w:bookmarkEnd w:id="271"/>
    </w:p>
    <w:p>
      <w:pPr>
        <w:pStyle w:val="Style25"/>
        <w:rPr/>
      </w:pPr>
      <w:bookmarkStart w:id="272" w:name="_Toc228877713"/>
      <w:r>
        <w:rPr/>
        <w:t>Пояснения к требованиям к Участникам</w:t>
      </w:r>
      <w:bookmarkEnd w:id="272"/>
    </w:p>
    <w:p>
      <w:pPr>
        <w:pStyle w:val="Style26"/>
        <w:numPr>
          <w:ilvl w:val="0"/>
          <w:numId w:val="0"/>
        </w:numPr>
        <w:ind w:left="0" w:hanging="0"/>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pPr>
      <w:bookmarkStart w:id="274" w:name="_Ref125361435"/>
      <w:bookmarkStart w:id="275" w:name="_Ref125361590"/>
      <w:bookmarkStart w:id="276" w:name="_Ref125361617"/>
      <w:bookmarkStart w:id="277" w:name="_Ref125361832"/>
      <w:bookmarkStart w:id="278" w:name="_Ref125361846"/>
      <w:bookmarkStart w:id="279" w:name="_Ref125361926"/>
      <w:bookmarkStart w:id="280" w:name="_Ref125366879"/>
      <w:bookmarkStart w:id="281" w:name="_Ref125368812"/>
      <w:bookmarkStart w:id="282" w:name="_Ref125368895"/>
      <w:bookmarkStart w:id="283" w:name="_Ref125369088"/>
      <w:bookmarkStart w:id="284" w:name="_Ref125370058"/>
      <w:bookmarkStart w:id="285" w:name="_Ref125370064"/>
      <w:bookmarkStart w:id="286" w:name="_Ref125370071"/>
      <w:bookmarkStart w:id="287" w:name="_Toc228877714"/>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4"/>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8" w:name="_Ref125361442"/>
      <w:bookmarkStart w:id="299" w:name="_Ref125361633"/>
      <w:bookmarkStart w:id="300" w:name="_Ref125361671"/>
      <w:bookmarkStart w:id="301" w:name="_Ref125361869"/>
      <w:bookmarkStart w:id="302" w:name="_Ref125361937"/>
      <w:bookmarkStart w:id="303" w:name="_Ref125365459"/>
      <w:bookmarkStart w:id="304" w:name="_Ref125367521"/>
      <w:bookmarkStart w:id="305" w:name="_Ref125367539"/>
      <w:bookmarkStart w:id="306" w:name="_Ref125368818"/>
      <w:bookmarkStart w:id="307" w:name="_Ref125368901"/>
      <w:bookmarkStart w:id="308" w:name="_Ref125368916"/>
      <w:bookmarkStart w:id="309" w:name="_Ref125369099"/>
      <w:bookmarkStart w:id="310" w:name="_Ref125370079"/>
      <w:bookmarkStart w:id="311" w:name="_Ref125709153"/>
      <w:bookmarkStart w:id="312" w:name="_Ref125709250"/>
      <w:bookmarkStart w:id="313" w:name="_Ref125709401"/>
      <w:bookmarkStart w:id="314" w:name="_Ref125709888"/>
      <w:bookmarkStart w:id="315" w:name="_Toc228877715"/>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tabs>
                <w:tab w:val="clear" w:pos="708"/>
                <w:tab w:val="left" w:pos="426" w:leader="none"/>
              </w:tabs>
              <w:spacing w:before="120" w:after="0"/>
              <w:ind w:left="74" w:hanging="0"/>
              <w:jc w:val="both"/>
              <w:rPr>
                <w:rStyle w:val="Style18"/>
                <w:b w:val="false"/>
                <w:sz w:val="22"/>
                <w:szCs w:val="22"/>
              </w:rPr>
            </w:pPr>
            <w:r>
              <w:rPr>
                <w:rFonts w:eastAsia="Calibri"/>
                <w:i/>
                <w:sz w:val="22"/>
                <w:szCs w:val="22"/>
              </w:rPr>
              <w:t>В соответствии со ст. 55.8 Градостроительного кодекса РФ от 29.12.2004 № 190-ФЗ: Участник закупки должен быть (в течение срока действия заявки на участие в закупке) членом саморегулируемой организации, основанной на членст</w:t>
            </w:r>
            <w:r>
              <w:rPr>
                <w:rFonts w:eastAsia="Calibri"/>
                <w:i/>
                <w:sz w:val="22"/>
                <w:szCs w:val="22"/>
                <w:shd w:fill="auto" w:val="clear"/>
              </w:rPr>
              <w:t>ве лиц:</w:t>
            </w:r>
          </w:p>
          <w:p>
            <w:pPr>
              <w:pStyle w:val="Normal"/>
              <w:widowControl w:val="false"/>
              <w:tabs>
                <w:tab w:val="clear" w:pos="708"/>
                <w:tab w:val="left" w:pos="426" w:leader="none"/>
              </w:tabs>
              <w:spacing w:before="120" w:after="0"/>
              <w:ind w:left="74" w:hanging="0"/>
              <w:jc w:val="both"/>
              <w:rPr/>
            </w:pPr>
            <w:r>
              <w:rPr>
                <w:rStyle w:val="Style18"/>
                <w:rFonts w:eastAsia="Calibri"/>
                <w:b w:val="false"/>
                <w:sz w:val="22"/>
                <w:szCs w:val="22"/>
                <w:shd w:fill="auto" w:val="clear"/>
              </w:rPr>
              <w:t xml:space="preserve">- </w:t>
            </w:r>
            <w:r>
              <w:rPr>
                <w:rStyle w:val="Style18"/>
                <w:rFonts w:eastAsia="Calibri"/>
                <w:b w:val="false"/>
                <w:i/>
                <w:sz w:val="22"/>
                <w:szCs w:val="22"/>
                <w:shd w:fill="auto" w:val="clear"/>
              </w:rPr>
              <w:t>выполняющих инженерные изыскания</w:t>
            </w:r>
            <w:r>
              <w:rPr>
                <w:rStyle w:val="FootnoteReference"/>
                <w:rFonts w:eastAsia="Calibri"/>
                <w:b w:val="false"/>
                <w:sz w:val="22"/>
                <w:szCs w:val="22"/>
                <w:shd w:fill="auto" w:val="clear"/>
                <w:vertAlign w:val="superscript"/>
              </w:rPr>
              <w:footnoteReference w:id="13"/>
            </w:r>
            <w:r>
              <w:rPr>
                <w:rStyle w:val="Style18"/>
                <w:rFonts w:eastAsia="Calibri"/>
                <w:b w:val="false"/>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shd w:fill="auto" w:val="clear"/>
              </w:rPr>
              <w:t>осуществляющих п</w:t>
            </w:r>
            <w:r>
              <w:rPr>
                <w:i/>
                <w:sz w:val="22"/>
                <w:szCs w:val="22"/>
              </w:rPr>
              <w:t>одготовку проектной документации</w:t>
            </w:r>
            <w:r>
              <w:rPr>
                <w:rStyle w:val="FootnoteReference"/>
                <w:i/>
                <w:sz w:val="22"/>
                <w:szCs w:val="22"/>
                <w:vertAlign w:val="superscript"/>
              </w:rPr>
              <w:footnoteReference w:id="14"/>
            </w:r>
            <w:r>
              <w:rPr>
                <w:i/>
                <w:sz w:val="22"/>
                <w:szCs w:val="22"/>
              </w:rPr>
              <w:t>,</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rFonts w:eastAsia="Calibri"/>
                <w:i/>
                <w:sz w:val="22"/>
                <w:szCs w:val="22"/>
              </w:rPr>
              <w:t xml:space="preserve">и иметь право выполнять работы в отношении объектов капитального строительства </w:t>
            </w:r>
            <w:r>
              <w:rPr>
                <w:i/>
                <w:sz w:val="22"/>
                <w:szCs w:val="22"/>
              </w:rPr>
              <w:t>(кроме особо опасных, технически сложных и уникальных объектов, объектов использования атомной энергии).</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i/>
                <w:sz w:val="22"/>
                <w:szCs w:val="22"/>
              </w:rPr>
              <w:t>При этом:</w:t>
            </w:r>
          </w:p>
          <w:p>
            <w:pPr>
              <w:pStyle w:val="Normal"/>
              <w:widowControl w:val="false"/>
              <w:tabs>
                <w:tab w:val="clear" w:pos="708"/>
                <w:tab w:val="left" w:pos="358" w:leader="none"/>
                <w:tab w:val="left" w:pos="426" w:leader="none"/>
              </w:tabs>
              <w:spacing w:before="60" w:after="60"/>
              <w:ind w:left="74" w:hanging="0"/>
              <w:jc w:val="both"/>
              <w:rPr>
                <w:u w:val="single"/>
              </w:rPr>
            </w:pPr>
            <w:r>
              <w:rPr>
                <w:i/>
                <w:sz w:val="22"/>
                <w:szCs w:val="22"/>
                <w:u w:val="single"/>
              </w:rPr>
              <w:t>в отношении выполнения инженерных изысканий:</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w:t>
            </w:r>
            <w:r>
              <w:rPr>
                <w:rStyle w:val="Style18"/>
                <w:rFonts w:eastAsia="Calibri"/>
                <w:b w:val="false"/>
                <w:iCs/>
                <w:sz w:val="20"/>
                <w:szCs w:val="20"/>
                <w:shd w:fill="auto" w:val="clear"/>
              </w:rPr>
              <w:t>инженерных изысканий</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i/>
                <w:sz w:val="22"/>
                <w:szCs w:val="22"/>
                <w:shd w:fill="auto" w:val="clear"/>
              </w:rPr>
              <w:t>уровень</w:t>
            </w:r>
            <w:r>
              <w:rPr>
                <w:rFonts w:eastAsia="Times New Roman"/>
                <w:i/>
                <w:sz w:val="22"/>
                <w:szCs w:val="22"/>
                <w:shd w:fill="auto" w:val="clear"/>
              </w:rPr>
              <w:t xml:space="preserve">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w:t>
            </w:r>
            <w:r>
              <w:rPr>
                <w:i/>
                <w:sz w:val="22"/>
                <w:szCs w:val="22"/>
                <w:shd w:fill="auto" w:val="clear"/>
              </w:rPr>
              <w:t>выполнения инженерных изысканий</w:t>
            </w:r>
            <w:r>
              <w:rPr>
                <w:rStyle w:val="Style18"/>
                <w:rFonts w:eastAsia="Times New Roman"/>
                <w:b w:val="false"/>
                <w:i/>
                <w:iCs/>
                <w:sz w:val="22"/>
                <w:szCs w:val="22"/>
                <w:shd w:fill="auto" w:val="clear"/>
              </w:rPr>
              <w:t>.</w:t>
            </w:r>
          </w:p>
          <w:p>
            <w:pPr>
              <w:pStyle w:val="Normal"/>
              <w:widowControl w:val="false"/>
              <w:numPr>
                <w:ilvl w:val="0"/>
                <w:numId w:val="0"/>
              </w:numPr>
              <w:tabs>
                <w:tab w:val="clear" w:pos="708"/>
                <w:tab w:val="left" w:pos="358" w:leader="none"/>
                <w:tab w:val="left" w:pos="426" w:leader="none"/>
              </w:tabs>
              <w:spacing w:before="60" w:after="60"/>
              <w:ind w:left="74" w:hanging="0"/>
              <w:jc w:val="both"/>
              <w:rPr>
                <w:u w:val="single"/>
              </w:rPr>
            </w:pPr>
            <w:r>
              <w:rPr>
                <w:i/>
                <w:sz w:val="22"/>
                <w:szCs w:val="22"/>
                <w:u w:val="single"/>
              </w:rPr>
              <w:t>в отношении подготовки проектной документации:</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работ </w:t>
            </w:r>
            <w:r>
              <w:rPr>
                <w:rStyle w:val="Style18"/>
                <w:rFonts w:eastAsia="Calibri"/>
                <w:b w:val="false"/>
                <w:iCs/>
                <w:sz w:val="20"/>
                <w:szCs w:val="20"/>
                <w:shd w:fill="auto" w:val="clear"/>
              </w:rPr>
              <w:t xml:space="preserve"> по подготовке проектной документации</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rStyle w:val="Style18"/>
                <w:rFonts w:eastAsia="Times New Roman"/>
                <w:b w:val="false"/>
                <w:i/>
                <w:iCs/>
                <w:sz w:val="22"/>
                <w:szCs w:val="22"/>
                <w:shd w:fill="auto" w:val="clear"/>
              </w:rPr>
              <w:t xml:space="preserve">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w:t>
            </w:r>
            <w:r>
              <w:rPr>
                <w:rStyle w:val="Style18"/>
                <w:rFonts w:eastAsia="Calibri"/>
                <w:b w:val="false"/>
                <w:iCs/>
                <w:sz w:val="20"/>
                <w:szCs w:val="20"/>
                <w:shd w:fill="auto" w:val="clear"/>
              </w:rPr>
              <w:t xml:space="preserve"> по </w:t>
            </w:r>
            <w:r>
              <w:rPr>
                <w:rStyle w:val="Style18"/>
                <w:rFonts w:eastAsia="Times New Roman"/>
                <w:b w:val="false"/>
                <w:i/>
                <w:iCs/>
                <w:sz w:val="22"/>
                <w:szCs w:val="22"/>
                <w:shd w:fill="auto" w:val="clear"/>
              </w:rPr>
              <w:t>подготовке проектной документации.</w:t>
            </w:r>
          </w:p>
        </w:tc>
        <w:tc>
          <w:tcPr>
            <w:tcW w:w="8327" w:type="dxa"/>
            <w:tcBorders/>
          </w:tcPr>
          <w:p>
            <w:pPr>
              <w:pStyle w:val="Normal"/>
              <w:widowControl w:val="false"/>
              <w:tabs>
                <w:tab w:val="clear" w:pos="708"/>
                <w:tab w:val="left" w:pos="426" w:leader="none"/>
              </w:tabs>
              <w:spacing w:before="60" w:after="0"/>
              <w:jc w:val="both"/>
              <w:rPr>
                <w:rFonts w:eastAsia="Calibri"/>
                <w:i/>
                <w:i/>
                <w:sz w:val="22"/>
                <w:szCs w:val="22"/>
              </w:rPr>
            </w:pPr>
            <w:r>
              <w:rPr>
                <w:rFonts w:eastAsia="Calibri"/>
                <w:i/>
                <w:sz w:val="22"/>
                <w:szCs w:val="22"/>
              </w:rPr>
              <w:t>Предоставление документов не требуется.</w:t>
            </w:r>
          </w:p>
          <w:p>
            <w:pPr>
              <w:pStyle w:val="Normal"/>
              <w:widowControl w:val="false"/>
              <w:tabs>
                <w:tab w:val="clear" w:pos="708"/>
                <w:tab w:val="left" w:pos="426" w:leader="none"/>
              </w:tabs>
              <w:spacing w:before="60" w:after="0"/>
              <w:jc w:val="both"/>
              <w:rPr>
                <w:rFonts w:eastAsia="Calibri"/>
                <w:i/>
                <w:i/>
                <w:iCs/>
                <w:sz w:val="22"/>
                <w:szCs w:val="22"/>
              </w:rPr>
            </w:pPr>
            <w:r>
              <w:rPr>
                <w:rFonts w:eastAsia="Calibri"/>
                <w:i/>
                <w:iCs/>
                <w:sz w:val="22"/>
                <w:szCs w:val="22"/>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w:t>
            </w:r>
            <w:r>
              <w:rPr>
                <w:rFonts w:eastAsia="Calibri"/>
              </w:rPr>
              <w:t>:</w:t>
            </w:r>
          </w:p>
          <w:p>
            <w:pPr>
              <w:pStyle w:val="Normal"/>
              <w:widowControl w:val="false"/>
              <w:numPr>
                <w:ilvl w:val="0"/>
                <w:numId w:val="6"/>
              </w:numPr>
              <w:tabs>
                <w:tab w:val="clear" w:pos="708"/>
                <w:tab w:val="left" w:pos="320" w:leader="none"/>
              </w:tabs>
              <w:suppressAutoHyphens w:val="true"/>
              <w:bidi w:val="0"/>
              <w:spacing w:before="60" w:after="0"/>
              <w:ind w:left="227" w:right="340" w:hanging="113"/>
              <w:jc w:val="both"/>
              <w:rPr/>
            </w:pPr>
            <w:r>
              <w:rPr>
                <w:rFonts w:eastAsia="Calibri"/>
                <w:i/>
                <w:iCs/>
                <w:sz w:val="22"/>
                <w:szCs w:val="22"/>
              </w:rPr>
              <w:t>Национальное объединение изыскателей и проектировщиков НОПРИЗ - сервис «Единый реестр членов СРО» (</w:t>
            </w:r>
            <w:hyperlink r:id="rId18">
              <w:r>
                <w:rPr>
                  <w:rStyle w:val="Hyperlink"/>
                  <w:rFonts w:eastAsia="Calibri"/>
                  <w:i/>
                  <w:iCs/>
                  <w:sz w:val="22"/>
                  <w:szCs w:val="22"/>
                </w:rPr>
                <w:t>http://nopriz.ru/nreesters/elektronnyy-reestr/</w:t>
              </w:r>
            </w:hyperlink>
            <w:r>
              <w:rPr>
                <w:rFonts w:eastAsia="Calibri"/>
                <w:i/>
                <w:iCs/>
                <w:sz w:val="22"/>
                <w:szCs w:val="22"/>
              </w:rPr>
              <w:t>).</w:t>
            </w:r>
          </w:p>
          <w:p>
            <w:pPr>
              <w:pStyle w:val="ListParagraph"/>
              <w:widowControl w:val="false"/>
              <w:numPr>
                <w:ilvl w:val="0"/>
                <w:numId w:val="0"/>
              </w:numPr>
              <w:tabs>
                <w:tab w:val="clear" w:pos="708"/>
                <w:tab w:val="left" w:pos="282" w:leader="none"/>
              </w:tabs>
              <w:spacing w:before="60" w:after="0"/>
              <w:ind w:left="282" w:hanging="0"/>
              <w:contextualSpacing w:val="false"/>
              <w:jc w:val="both"/>
              <w:rPr>
                <w:rFonts w:eastAsia="Calibri"/>
                <w:b w:val="false"/>
                <w:iCs/>
                <w:sz w:val="22"/>
                <w:szCs w:val="22"/>
              </w:rPr>
            </w:pPr>
            <w:r>
              <w:rPr>
                <w:rFonts w:eastAsia="Calibri"/>
                <w:b w:val="false"/>
                <w:iCs/>
                <w:sz w:val="22"/>
                <w:szCs w:val="22"/>
              </w:rPr>
            </w:r>
          </w:p>
          <w:p>
            <w:pPr>
              <w:pStyle w:val="ListParagraph"/>
              <w:widowControl w:val="false"/>
              <w:numPr>
                <w:ilvl w:val="0"/>
                <w:numId w:val="0"/>
              </w:numPr>
              <w:tabs>
                <w:tab w:val="clear" w:pos="708"/>
                <w:tab w:val="left" w:pos="282" w:leader="none"/>
              </w:tabs>
              <w:spacing w:before="60" w:after="0"/>
              <w:ind w:left="282" w:hanging="0"/>
              <w:contextualSpacing w:val="false"/>
              <w:jc w:val="both"/>
              <w:rPr>
                <w:b w:val="false"/>
                <w:iCs/>
                <w:sz w:val="22"/>
                <w:szCs w:val="22"/>
              </w:rPr>
            </w:pPr>
            <w:r>
              <w:rPr>
                <w:b w:val="false"/>
                <w:iCs/>
                <w:sz w:val="22"/>
                <w:szCs w:val="22"/>
              </w:rPr>
            </w:r>
          </w:p>
        </w:tc>
      </w:tr>
    </w:tbl>
    <w:p>
      <w:pPr>
        <w:pStyle w:val="Style25"/>
        <w:spacing w:before="360" w:after="120"/>
        <w:rPr/>
      </w:pPr>
      <w:bookmarkStart w:id="316" w:name="_Ref125361823"/>
      <w:bookmarkStart w:id="317" w:name="_Ref125362031"/>
      <w:bookmarkStart w:id="318" w:name="_Ref125369117"/>
      <w:bookmarkStart w:id="319" w:name="_Ref125370173"/>
      <w:bookmarkStart w:id="320" w:name="_Ref125370180"/>
      <w:bookmarkStart w:id="321" w:name="_Ref125370209"/>
      <w:bookmarkStart w:id="322" w:name="_Ref125709777"/>
      <w:bookmarkStart w:id="323" w:name="_Ref125709973"/>
      <w:bookmarkStart w:id="324" w:name="_Toc228877716"/>
      <w:bookmarkStart w:id="325" w:name="_Toc224743841"/>
      <w:bookmarkStart w:id="326" w:name="_Toc224743846"/>
      <w:bookmarkStart w:id="327" w:name="_Toc224743850"/>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5"/>
        <w:rPr/>
      </w:pPr>
      <w:bookmarkStart w:id="336" w:name="_Toc228877718"/>
      <w:r>
        <w:rPr/>
        <w:t>Пояснения к Образцам форм документов, включаемых в состав заявки</w:t>
      </w:r>
      <w:bookmarkEnd w:id="336"/>
    </w:p>
    <w:p>
      <w:pPr>
        <w:pStyle w:val="Style26"/>
        <w:numPr>
          <w:ilvl w:val="0"/>
          <w:numId w:val="0"/>
        </w:numPr>
        <w:ind w:left="0" w:hanging="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5"/>
        <w:rPr/>
      </w:pPr>
      <w:bookmarkStart w:id="339" w:name="_Toc228877720"/>
      <w:r>
        <w:rPr/>
        <w:t>Пояснения к Образцам форм документов, предоставляемых Победителем</w:t>
      </w:r>
      <w:bookmarkEnd w:id="339"/>
    </w:p>
    <w:p>
      <w:pPr>
        <w:pStyle w:val="Style26"/>
        <w:numPr>
          <w:ilvl w:val="0"/>
          <w:numId w:val="0"/>
        </w:numPr>
        <w:ind w:left="0" w:hanging="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2</w:t>
      </w:r>
      <w:r>
        <w:rPr/>
        <w:fldChar w:fldCharType="end"/>
      </w:r>
      <w:r>
        <w:rPr/>
        <w:t xml:space="preserve">, </w:t>
      </w:r>
      <w:r>
        <w:rPr/>
        <w:fldChar w:fldCharType="begin"/>
      </w:r>
      <w:r>
        <w:rPr/>
        <w:instrText xml:space="preserve"> REF _Ref130395475 \r \h </w:instrText>
      </w:r>
      <w:r>
        <w:rPr/>
        <w:fldChar w:fldCharType="separate"/>
      </w:r>
      <w:r>
        <w:rPr/>
        <w:t>3</w:t>
      </w:r>
      <w:r>
        <w:rPr/>
        <w:fldChar w:fldCharType="end"/>
      </w:r>
      <w:r>
        <w:rPr/>
        <w:t>.</w:t>
      </w:r>
    </w:p>
    <w:p>
      <w:pPr>
        <w:pStyle w:val="Style25"/>
        <w:rPr/>
      </w:pPr>
      <w:bookmarkStart w:id="340" w:name="_Ref130395470"/>
      <w:bookmarkStart w:id="341" w:name="_Toc228877721"/>
      <w:r>
        <w:rPr/>
        <w:t>Форма справки «Сведения о цепочке собственников, включая бенефициаров (в том числе конечных)»</w:t>
      </w:r>
      <w:bookmarkEnd w:id="340"/>
      <w:bookmarkEnd w:id="341"/>
    </w:p>
    <w:p>
      <w:pPr>
        <w:pStyle w:val="Style26"/>
        <w:numPr>
          <w:ilvl w:val="0"/>
          <w:numId w:val="0"/>
        </w:numPr>
        <w:ind w:left="0" w:hanging="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numPr>
          <w:ilvl w:val="0"/>
          <w:numId w:val="0"/>
        </w:numPr>
        <w:ind w:left="0" w:hanging="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30"/>
        <w:jc w:val="center"/>
        <w:rPr/>
      </w:pPr>
      <w:bookmarkEnd w:id="34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1488282938" r:id="rId23"/>
        </w:object>
      </w:r>
    </w:p>
    <w:p>
      <w:pPr>
        <w:pStyle w:val="Style25"/>
        <w:rPr/>
      </w:pPr>
      <w:bookmarkStart w:id="343" w:name="_Ref130395475"/>
      <w:bookmarkStart w:id="344" w:name="_Toc228877722"/>
      <w:r>
        <w:rPr/>
        <w:t>Форма «Заверение об обстоятельствах»</w:t>
      </w:r>
      <w:bookmarkEnd w:id="343"/>
      <w:bookmarkEnd w:id="344"/>
    </w:p>
    <w:p>
      <w:pPr>
        <w:pStyle w:val="Style26"/>
        <w:numPr>
          <w:ilvl w:val="0"/>
          <w:numId w:val="0"/>
        </w:numPr>
        <w:ind w:left="0" w:hanging="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numPr>
          <w:ilvl w:val="0"/>
          <w:numId w:val="0"/>
        </w:numPr>
        <w:ind w:left="0" w:hanging="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numPr>
          <w:ilvl w:val="0"/>
          <w:numId w:val="0"/>
        </w:numPr>
        <w:ind w:left="0" w:hanging="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numPr>
          <w:ilvl w:val="0"/>
          <w:numId w:val="0"/>
        </w:numPr>
        <w:ind w:left="0" w:hanging="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30"/>
        <w:spacing w:before="120" w:after="120"/>
        <w:jc w:val="center"/>
        <w:rPr/>
      </w:pPr>
      <w:bookmarkEnd w:id="345"/>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1582360266" r:id="rId25"/>
        </w:object>
      </w:r>
    </w:p>
    <w:p>
      <w:pPr>
        <w:pStyle w:val="Style24"/>
        <w:rPr/>
      </w:pPr>
      <w:bookmarkStart w:id="346" w:name="_Toc228877723"/>
      <w:bookmarkStart w:id="347" w:name="_Ref125362865"/>
      <w:bookmarkStart w:id="348" w:name="_Ref125362900"/>
      <w:bookmarkStart w:id="349" w:name="Прил06_СоставЗаявки"/>
      <w:bookmarkEnd w:id="349"/>
      <w:r>
        <w:rPr/>
        <w:t>Приложение № 6 – Состав заявки</w:t>
      </w:r>
      <w:bookmarkEnd w:id="346"/>
      <w:bookmarkEnd w:id="347"/>
      <w:bookmarkEnd w:id="348"/>
    </w:p>
    <w:p>
      <w:pPr>
        <w:pStyle w:val="Style25"/>
        <w:rPr/>
      </w:pPr>
      <w:bookmarkStart w:id="350" w:name="_Toc228877724"/>
      <w:r>
        <w:rPr/>
        <w:t>Состав заявки</w:t>
      </w:r>
      <w:bookmarkEnd w:id="350"/>
    </w:p>
    <w:p>
      <w:pPr>
        <w:pStyle w:val="Style26"/>
        <w:numPr>
          <w:ilvl w:val="0"/>
          <w:numId w:val="0"/>
        </w:numPr>
        <w:spacing w:before="120" w:after="120"/>
        <w:ind w:left="0" w:hanging="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numPr>
          <w:ilvl w:val="0"/>
          <w:numId w:val="0"/>
        </w:numPr>
        <w:ind w:left="0" w:hanging="0"/>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59" w:name="_Ref125365264"/>
      <w:bookmarkStart w:id="360" w:name="_Toc228877725"/>
      <w:bookmarkStart w:id="361" w:name="Прил07_ОтборочныеКритерии"/>
      <w:bookmarkEnd w:id="361"/>
      <w:r>
        <w:rPr/>
        <w:t>Приложение № 7 – Отборочные критерии рассмотрения заявок</w:t>
      </w:r>
      <w:bookmarkEnd w:id="359"/>
      <w:bookmarkEnd w:id="360"/>
    </w:p>
    <w:p>
      <w:pPr>
        <w:pStyle w:val="Style25"/>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3" w:name="_Toc228877728"/>
      <w:bookmarkStart w:id="364" w:name="_Hlk132891087"/>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18</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8"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8"/>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69" w:name="_Ref125361648"/>
      <w:bookmarkStart w:id="370" w:name="_Ref125361951"/>
      <w:bookmarkStart w:id="371" w:name="_Ref125366013"/>
      <w:bookmarkStart w:id="372" w:name="_Ref125366280"/>
      <w:bookmarkStart w:id="373" w:name="_Ref125366285"/>
      <w:bookmarkStart w:id="374" w:name="_Ref125368140"/>
      <w:bookmarkStart w:id="375" w:name="_Ref125368150"/>
      <w:bookmarkStart w:id="376" w:name="_Ref125368165"/>
      <w:bookmarkStart w:id="377" w:name="_Ref125368172"/>
      <w:bookmarkStart w:id="378" w:name="_Ref125368184"/>
      <w:bookmarkStart w:id="379" w:name="_Ref125368283"/>
      <w:bookmarkStart w:id="380" w:name="_Ref125368291"/>
      <w:bookmarkStart w:id="381" w:name="_Ref125368302"/>
      <w:bookmarkStart w:id="382" w:name="_Ref125368313"/>
      <w:bookmarkStart w:id="383" w:name="_Ref125368331"/>
      <w:bookmarkStart w:id="384" w:name="_Ref125369021"/>
      <w:bookmarkStart w:id="385" w:name="_Ref125369438"/>
      <w:bookmarkStart w:id="386" w:name="_Toc228877731"/>
      <w:bookmarkStart w:id="387" w:name="Прил08_ПорядокОценки"/>
      <w:bookmarkEnd w:id="387"/>
      <w:r>
        <w:rPr/>
        <w:t>Приложение № 8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Style25"/>
        <w:rPr/>
      </w:pPr>
      <w:bookmarkStart w:id="388" w:name="_Toc228877732"/>
      <w:r>
        <w:rPr/>
        <w:t>Порядок и критерии оценки и сопоставления заявок</w:t>
      </w:r>
      <w:bookmarkEnd w:id="388"/>
    </w:p>
    <w:p>
      <w:pPr>
        <w:pStyle w:val="Style26"/>
        <w:numPr>
          <w:ilvl w:val="0"/>
          <w:numId w:val="0"/>
        </w:numPr>
        <w:ind w:left="0" w:hanging="0"/>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30"/>
        <w:spacing w:before="120" w:after="120"/>
        <w:ind w:left="1134" w:hanging="0"/>
        <w:rPr>
          <w:rStyle w:val="Style8"/>
        </w:rPr>
      </w:pPr>
      <w:r>
        <w:rPr/>
      </w:r>
    </w:p>
    <w:tbl>
      <w:tblPr>
        <w:tblW w:w="5000" w:type="pct"/>
        <w:jc w:val="left"/>
        <w:tblInd w:w="79" w:type="dxa"/>
        <w:tblLayout w:type="fixed"/>
        <w:tblCellMar>
          <w:top w:w="55" w:type="dxa"/>
          <w:left w:w="37" w:type="dxa"/>
          <w:bottom w:w="55" w:type="dxa"/>
          <w:right w:w="57" w:type="dxa"/>
        </w:tblCellMar>
        <w:tblLook w:val="04a0" w:noVBand="1" w:noHBand="0" w:lastColumn="0" w:firstColumn="1" w:lastRow="0" w:firstRow="1"/>
      </w:tblPr>
      <w:tblGrid>
        <w:gridCol w:w="1153"/>
        <w:gridCol w:w="1368"/>
        <w:gridCol w:w="2116"/>
        <w:gridCol w:w="1184"/>
        <w:gridCol w:w="1453"/>
        <w:gridCol w:w="1936"/>
        <w:gridCol w:w="5925"/>
      </w:tblGrid>
      <w:tr>
        <w:trPr/>
        <w:tc>
          <w:tcPr>
            <w:tcW w:w="11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Номер критерия оценки в</w:t>
            </w:r>
            <w:r>
              <w:rPr>
                <w:rFonts w:eastAsia="Calibri"/>
                <w:b/>
                <w:sz w:val="22"/>
                <w:szCs w:val="22"/>
                <w:lang w:val="en-US" w:eastAsia="en-US"/>
              </w:rPr>
              <w:t> </w:t>
            </w:r>
            <w:r>
              <w:rPr>
                <w:rFonts w:eastAsia="Calibri"/>
                <w:b/>
                <w:sz w:val="22"/>
                <w:szCs w:val="22"/>
                <w:lang w:eastAsia="en-US"/>
              </w:rPr>
              <w:t>структуре</w:t>
            </w:r>
          </w:p>
        </w:tc>
        <w:tc>
          <w:tcPr>
            <w:tcW w:w="1368"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Вид критерия оценки / направление оценки заявок</w:t>
            </w:r>
          </w:p>
        </w:tc>
        <w:tc>
          <w:tcPr>
            <w:tcW w:w="3300" w:type="dxa"/>
            <w:gridSpan w:val="2"/>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Наименование критерия оценки</w:t>
            </w:r>
          </w:p>
        </w:tc>
        <w:tc>
          <w:tcPr>
            <w:tcW w:w="14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Значимость</w:t>
              <w:br/>
              <w:t>критерия оценки</w:t>
            </w:r>
          </w:p>
        </w:tc>
        <w:tc>
          <w:tcPr>
            <w:tcW w:w="1936"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Содержание частного критерия оценки</w:t>
            </w:r>
          </w:p>
        </w:tc>
        <w:tc>
          <w:tcPr>
            <w:tcW w:w="5925"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Расчет оценки предпочтительности заявки</w:t>
            </w:r>
          </w:p>
        </w:tc>
      </w:tr>
      <w:tr>
        <w:trPr/>
        <w:tc>
          <w:tcPr>
            <w:tcW w:w="11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368"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первого уровня</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второго уровня</w:t>
            </w:r>
          </w:p>
        </w:tc>
        <w:tc>
          <w:tcPr>
            <w:tcW w:w="14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936"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5925"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sz w:val="22"/>
                <w:szCs w:val="22"/>
              </w:rPr>
            </w:r>
          </w:p>
        </w:tc>
      </w:tr>
      <w:tr>
        <w:trPr/>
        <w:tc>
          <w:tcPr>
            <w:tcW w:w="1153"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1.</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«Ценовой критерий оценки первого уровня»/Цена</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Цена договора (стоимость заявки)</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90%</w:t>
              <w:br/>
              <w:t>(В</w:t>
            </w:r>
            <w:r>
              <w:rPr>
                <w:sz w:val="22"/>
                <w:szCs w:val="22"/>
                <w:vertAlign w:val="subscript"/>
                <w:lang w:eastAsia="ru-RU"/>
              </w:rPr>
              <w:t>1</w:t>
            </w:r>
            <w:r>
              <w:rPr>
                <w:sz w:val="22"/>
                <w:szCs w:val="22"/>
                <w:lang w:eastAsia="ru-RU"/>
              </w:rPr>
              <w:t xml:space="preserve"> = 0,90)</w:t>
            </w:r>
          </w:p>
        </w:tc>
        <w:tc>
          <w:tcPr>
            <w:tcW w:w="193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left"/>
              <w:rPr/>
            </w:pPr>
            <w:r>
              <w:rPr>
                <w:rStyle w:val="Style8"/>
                <w:rFonts w:eastAsia="Calibri"/>
                <w:i w:val="false"/>
                <w:iCs w:val="false"/>
                <w:sz w:val="22"/>
                <w:szCs w:val="22"/>
                <w:shd w:fill="FFFFFF" w:val="clear"/>
                <w:lang w:eastAsia="en-US"/>
              </w:rPr>
              <w:t>Чем меньше стоимость заявки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40" w:after="40"/>
              <w:jc w:val="left"/>
              <w:rPr>
                <w:sz w:val="22"/>
                <w:szCs w:val="22"/>
              </w:rPr>
            </w:pPr>
            <w:r>
              <w:rPr>
                <w:rStyle w:val="Style8"/>
                <w:rFonts w:eastAsia="Calibri"/>
                <w:i w:val="false"/>
                <w:iCs w:val="false"/>
                <w:sz w:val="22"/>
                <w:szCs w:val="22"/>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pacing w:before="40" w:after="4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pacing w:before="40" w:after="40"/>
              <w:jc w:val="left"/>
              <w:rPr/>
            </w:pPr>
            <w:r>
              <w:rPr>
                <w:rStyle w:val="Style8"/>
                <w:rFonts w:eastAsia="Calibri"/>
                <w:i w:val="false"/>
                <w:iCs w:val="false"/>
                <w:sz w:val="22"/>
                <w:szCs w:val="22"/>
                <w:shd w:fill="FFFFFF" w:val="clear"/>
                <w:lang w:eastAsia="en-US"/>
              </w:rPr>
              <w:t>где:</w:t>
            </w:r>
          </w:p>
          <w:p>
            <w:pPr>
              <w:pStyle w:val="Style30"/>
              <w:widowControl w:val="false"/>
              <w:spacing w:before="40" w:after="40"/>
              <w:jc w:val="left"/>
              <w:rPr>
                <w:rFonts w:ascii="Times New Roman" w:hAnsi="Times New Roman"/>
                <w:sz w:val="22"/>
                <w:szCs w:val="22"/>
              </w:rPr>
            </w:pPr>
            <w:r>
              <w:rPr>
                <w:sz w:val="22"/>
                <w:szCs w:val="22"/>
                <w:lang w:eastAsia="ru-RU"/>
              </w:rPr>
              <w:t>Б</w:t>
            </w:r>
            <w:r>
              <w:rPr>
                <w:sz w:val="22"/>
                <w:szCs w:val="22"/>
                <w:vertAlign w:val="subscript"/>
                <w:lang w:eastAsia="ru-RU"/>
              </w:rPr>
              <w:t>1</w:t>
            </w:r>
            <w:r>
              <w:rPr>
                <w:sz w:val="22"/>
                <w:szCs w:val="22"/>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52"/>
              <w:rPr>
                <w:rFonts w:ascii="Times New Roman" w:hAnsi="Times New Roman"/>
                <w:sz w:val="22"/>
                <w:szCs w:val="22"/>
              </w:rPr>
            </w:pPr>
            <w:r>
              <w:rPr>
                <w:sz w:val="22"/>
                <w:szCs w:val="22"/>
              </w:rPr>
              <w:t>ЦЕНА</w:t>
            </w:r>
            <w:r>
              <w:rPr>
                <w:i/>
                <w:iCs/>
                <w:sz w:val="22"/>
                <w:szCs w:val="22"/>
                <w:vertAlign w:val="subscript"/>
                <w:lang w:val="en-US"/>
              </w:rPr>
              <w:t>i</w:t>
            </w:r>
            <w:r>
              <w:rPr>
                <w:sz w:val="22"/>
                <w:szCs w:val="22"/>
              </w:rPr>
              <w:t xml:space="preserve">  – </w:t>
            </w:r>
            <w:r>
              <w:rPr>
                <w:rFonts w:eastAsia="Calibri"/>
                <w:sz w:val="22"/>
                <w:szCs w:val="22"/>
              </w:rPr>
              <w:t xml:space="preserve">цена договора (стоимость заявки), указанная в </w:t>
            </w:r>
            <w:r>
              <w:rPr>
                <w:rFonts w:eastAsia="Calibri"/>
                <w:sz w:val="22"/>
                <w:szCs w:val="22"/>
                <w:lang w:val="en-US"/>
              </w:rPr>
              <w:t>i</w:t>
            </w:r>
            <w:r>
              <w:rPr>
                <w:rFonts w:eastAsia="Calibri"/>
                <w:sz w:val="22"/>
                <w:szCs w:val="22"/>
              </w:rPr>
              <w:t xml:space="preserve">-той заявке (в Коммерческом предложении по установленной в Документации о закупке форме) допущенного Участника, </w:t>
            </w:r>
            <w:r>
              <w:rPr>
                <w:sz w:val="22"/>
                <w:szCs w:val="22"/>
              </w:rPr>
              <w:t>руб. без учета НДС;</w:t>
            </w:r>
          </w:p>
          <w:p>
            <w:pPr>
              <w:pStyle w:val="Normal"/>
              <w:widowControl w:val="false"/>
              <w:spacing w:lineRule="auto" w:line="252"/>
              <w:rPr>
                <w:rFonts w:ascii="Times New Roman" w:hAnsi="Times New Roman"/>
                <w:sz w:val="22"/>
                <w:szCs w:val="22"/>
              </w:rPr>
            </w:pPr>
            <w:r>
              <w:rPr>
                <w:sz w:val="22"/>
                <w:szCs w:val="22"/>
              </w:rPr>
              <w:t>ЦЕНА</w:t>
            </w:r>
            <w:r>
              <w:rPr>
                <w:sz w:val="22"/>
                <w:szCs w:val="22"/>
                <w:vertAlign w:val="subscript"/>
                <w:lang w:val="en-US"/>
              </w:rPr>
              <w:t>min</w:t>
            </w:r>
            <w:r>
              <w:rPr>
                <w:sz w:val="22"/>
                <w:szCs w:val="22"/>
                <w:vertAlign w:val="subscript"/>
              </w:rPr>
              <w:t xml:space="preserve"> </w:t>
            </w:r>
            <w:r>
              <w:rPr>
                <w:sz w:val="22"/>
                <w:szCs w:val="22"/>
              </w:rPr>
              <w:t>– минимальная цена договора (стоимость заявки) среди всех допущенных заявок Участников, руб. без учета НДС;</w:t>
            </w:r>
          </w:p>
          <w:p>
            <w:pPr>
              <w:pStyle w:val="22"/>
              <w:widowControl w:val="false"/>
              <w:numPr>
                <w:ilvl w:val="6"/>
                <w:numId w:val="3"/>
              </w:numPr>
              <w:tabs>
                <w:tab w:val="left" w:pos="742" w:leader="none"/>
                <w:tab w:val="left" w:pos="1167" w:leader="none"/>
              </w:tabs>
              <w:spacing w:lineRule="auto" w:line="240" w:before="0" w:after="0"/>
              <w:ind w:left="0" w:right="0" w:hanging="0"/>
              <w:jc w:val="left"/>
              <w:rPr>
                <w:rFonts w:ascii="Times New Roman" w:hAnsi="Times New Roman"/>
                <w:sz w:val="22"/>
                <w:szCs w:val="22"/>
              </w:rPr>
            </w:pPr>
            <w:r>
              <w:rPr>
                <w:rFonts w:ascii="Times New Roman" w:hAnsi="Times New Roman"/>
                <w:sz w:val="22"/>
                <w:szCs w:val="22"/>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7"/>
                <w:numId w:val="3"/>
              </w:numPr>
              <w:spacing w:lineRule="auto" w:line="240" w:before="96" w:after="96"/>
              <w:ind w:left="0" w:hanging="0"/>
              <w:contextualSpacing/>
              <w:jc w:val="left"/>
              <w:rPr>
                <w:rFonts w:ascii="Times New Roman" w:hAnsi="Times New Roman"/>
                <w:sz w:val="22"/>
                <w:szCs w:val="22"/>
              </w:rPr>
            </w:pPr>
            <w:r>
              <w:rPr>
                <w:sz w:val="22"/>
                <w:szCs w:val="22"/>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22"/>
                <w:szCs w:val="22"/>
              </w:rPr>
              <w:t>.</w:t>
            </w:r>
          </w:p>
          <w:p>
            <w:pPr>
              <w:pStyle w:val="Style30"/>
              <w:widowControl w:val="false"/>
              <w:spacing w:before="40" w:after="40"/>
              <w:jc w:val="left"/>
              <w:rPr/>
            </w:pPr>
            <w:r>
              <w:rPr>
                <w:rStyle w:val="Style8"/>
                <w:rFonts w:eastAsia="Calibri"/>
                <w:i w:val="false"/>
                <w:iCs w:val="false"/>
                <w:sz w:val="22"/>
                <w:szCs w:val="22"/>
                <w:shd w:fill="FFFFFF" w:val="clear"/>
                <w:lang w:eastAsia="ru-RU"/>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2.</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2"/>
                <w:szCs w:val="22"/>
              </w:rPr>
            </w:pPr>
            <w:r>
              <w:rPr>
                <w:rFonts w:eastAsia="Calibri"/>
                <w:sz w:val="22"/>
                <w:szCs w:val="22"/>
                <w:lang w:eastAsia="en-US"/>
              </w:rPr>
              <w:t>«Неценовой критерий оценки первого уровня;</w:t>
              <w:br/>
              <w:t>Тех</w:t>
            </w:r>
          </w:p>
        </w:tc>
        <w:tc>
          <w:tcPr>
            <w:tcW w:w="2116"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Опыт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
            <m:oMathPara xmlns:m="http://schemas.openxmlformats.org/officeDocument/2006/math">
              <m:oMathParaPr>
                <m:jc m:val="center"/>
              </m:oMathParaPr>
              <m:oMath>
                <m:r>
                  <w:rPr>
                    <w:rFonts w:ascii="Cambria Math" w:hAnsi="Cambria Math"/>
                  </w:rPr>
                  <m:t xml:space="preserve">5</m:t>
                </m:r>
                <m:r>
                  <m:rPr>
                    <m:lit/>
                    <m:nor/>
                  </m:rPr>
                  <w:rPr>
                    <w:rFonts w:ascii="Cambria Math" w:hAnsi="Cambria Math"/>
                  </w:rPr>
                  <m:t xml:space="preserve">%</m:t>
                </m:r>
                <m:d>
                  <m:dPr>
                    <m:begChr m:val="("/>
                    <m:endChr m:val=")"/>
                  </m:dPr>
                  <m:e>
                    <m:sSub>
                      <m:e>
                        <m:r>
                          <w:rPr>
                            <w:rFonts w:ascii="Cambria Math" w:hAnsi="Cambria Math"/>
                          </w:rPr>
                          <m:t xml:space="preserve">В</m:t>
                        </m:r>
                      </m:e>
                      <m:sub>
                        <m:r>
                          <w:rPr>
                            <w:rFonts w:ascii="Cambria Math" w:hAnsi="Cambria Math"/>
                          </w:rPr>
                          <m:t xml:space="preserve">2</m:t>
                        </m:r>
                      </m:sub>
                    </m:sSub>
                    <m:r>
                      <w:rPr>
                        <w:rFonts w:ascii="Cambria Math" w:hAnsi="Cambria Math"/>
                      </w:rPr>
                      <m:t xml:space="preserve">=</m:t>
                    </m:r>
                    <m:r>
                      <w:rPr>
                        <w:rFonts w:ascii="Cambria Math" w:hAnsi="Cambria Math"/>
                      </w:rPr>
                      <m:t xml:space="preserve">0,05</m:t>
                    </m:r>
                  </m:e>
                </m:d>
              </m:oMath>
            </m:oMathPara>
          </w:p>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 xml:space="preserve">где </w:t>
            </w:r>
            <w:r>
              <w:rPr/>
            </w:r>
            <m:oMath xmlns:m="http://schemas.openxmlformats.org/officeDocument/2006/math">
              <m:sSub>
                <m:e>
                  <m:r>
                    <w:rPr>
                      <w:rFonts w:ascii="Cambria Math" w:hAnsi="Cambria Math"/>
                    </w:rPr>
                    <m:t xml:space="preserve">B</m:t>
                  </m:r>
                </m:e>
                <m:sub>
                  <m:r>
                    <w:rPr>
                      <w:rFonts w:ascii="Cambria Math" w:hAnsi="Cambria Math"/>
                    </w:rPr>
                    <m:t xml:space="preserve">2</m:t>
                  </m:r>
                </m:sub>
              </m:sSub>
            </m:oMath>
            <w:r>
              <w:rPr>
                <w:rFonts w:eastAsia="Calibri"/>
                <w:b w:val="false"/>
                <w:bCs w:val="false"/>
                <w:i w:val="false"/>
                <w:iCs w:val="false"/>
                <w:kern w:val="0"/>
                <w:sz w:val="24"/>
                <w:szCs w:val="24"/>
                <w:lang w:val="ru-RU" w:eastAsia="en-US" w:bidi="ar-SA"/>
              </w:rPr>
              <w:t xml:space="preserve"> – значимость (вес) критерия оценки]</w:t>
            </w:r>
          </w:p>
        </w:tc>
        <w:tc>
          <w:tcPr>
            <w:tcW w:w="1936"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lineRule="auto" w:line="240" w:before="0" w:after="0"/>
              <w:jc w:val="center"/>
              <w:rPr/>
            </w:pPr>
            <w:r>
              <w:rPr>
                <w:rFonts w:eastAsia="Calibri"/>
                <w:i/>
                <w:kern w:val="0"/>
                <w:sz w:val="20"/>
                <w:szCs w:val="20"/>
                <w:shd w:fill="FFFFFF" w:val="clear"/>
                <w:lang w:val="ru-RU" w:eastAsia="en-US" w:bidi="ar-SA"/>
              </w:rPr>
              <w:t xml:space="preserve">Чем больше опыт (более установленного минимума)  </w:t>
            </w:r>
            <w:r>
              <w:rPr>
                <w:rFonts w:eastAsia="Calibri"/>
                <w:i/>
                <w:spacing w:val="-2"/>
                <w:kern w:val="0"/>
                <w:sz w:val="20"/>
                <w:szCs w:val="20"/>
                <w:shd w:fill="FFFFFF" w:val="clear"/>
                <w:lang w:val="ru-RU" w:eastAsia="en-US" w:bidi="ar-SA"/>
              </w:rPr>
              <w:t>по выполнению проектных работ по реконструкции/строительства ВЛ, КЛ, ПС 35 кВ и выше</w:t>
            </w:r>
            <w:r>
              <w:rPr>
                <w:rFonts w:eastAsia="Calibri"/>
                <w:i/>
                <w:kern w:val="0"/>
                <w:sz w:val="20"/>
                <w:szCs w:val="20"/>
                <w:shd w:fill="FFFFFF" w:val="clear"/>
                <w:lang w:val="ru-RU" w:eastAsia="en-US" w:bidi="ar-SA"/>
              </w:rPr>
              <w:t>, за последние 5 лет, предшествующих дате подачи заявки Участником, с учетом правопреемства,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lineRule="auto" w:line="240" w:before="0" w:after="0"/>
              <w:ind w:left="57" w:right="57" w:hanging="0"/>
              <w:jc w:val="both"/>
              <w:rPr/>
            </w:pPr>
            <w:r>
              <w:rPr>
                <w:rFonts w:eastAsia="Calibri" w:cs="Times New Roman"/>
                <w:kern w:val="0"/>
                <w:sz w:val="18"/>
                <w:szCs w:val="18"/>
                <w:lang w:val="ru-RU" w:eastAsia="en-US" w:bidi="ar-SA"/>
              </w:rPr>
              <w:t xml:space="preserve"> </w:t>
            </w:r>
            <w:r>
              <w:rPr>
                <w:rFonts w:eastAsia="Calibri" w:cs="Times New Roman"/>
                <w:kern w:val="0"/>
                <w:sz w:val="18"/>
                <w:szCs w:val="18"/>
                <w:lang w:val="ru-RU" w:eastAsia="en-US" w:bidi="ar-SA"/>
              </w:rPr>
              <w:t xml:space="preserve">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w:t>
            </w:r>
            <w:r>
              <w:rPr>
                <w:rFonts w:eastAsia="Calibri" w:cs="Times New Roman" w:ascii="Times New Roman;serif" w:hAnsi="Times New Roman;serif"/>
                <w:spacing w:val="-2"/>
                <w:kern w:val="0"/>
                <w:sz w:val="18"/>
                <w:szCs w:val="18"/>
                <w:lang w:val="ru-RU" w:eastAsia="en-US" w:bidi="ar-SA"/>
              </w:rPr>
              <w:t>по форме «Справка об опыте участника», приведенной в Документации о закупке с приложением подтверждающих документов, на общую сумму:</w:t>
            </w:r>
          </w:p>
          <w:tbl>
            <w:tblPr>
              <w:tblW w:w="4925" w:type="dxa"/>
              <w:jc w:val="left"/>
              <w:tblInd w:w="145" w:type="dxa"/>
              <w:tblLayout w:type="fixed"/>
              <w:tblCellMar>
                <w:top w:w="0" w:type="dxa"/>
                <w:left w:w="108" w:type="dxa"/>
                <w:bottom w:w="0" w:type="dxa"/>
                <w:right w:w="108" w:type="dxa"/>
              </w:tblCellMar>
            </w:tblPr>
            <w:tblGrid>
              <w:gridCol w:w="1209"/>
              <w:gridCol w:w="3715"/>
            </w:tblGrid>
            <w:tr>
              <w:trPr>
                <w:trHeight w:val="394" w:hRule="atLeast"/>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 xml:space="preserve">                              </w:t>
                  </w:r>
                  <w:r>
                    <w:rPr>
                      <w:sz w:val="18"/>
                      <w:szCs w:val="18"/>
                    </w:rPr>
                    <w:t>Б</w:t>
                  </w:r>
                  <w:r>
                    <w:rPr>
                      <w:sz w:val="18"/>
                      <w:szCs w:val="18"/>
                      <w:vertAlign w:val="subscript"/>
                    </w:rPr>
                    <w:t xml:space="preserve">2. </w:t>
                  </w:r>
                  <w:r>
                    <w:rPr>
                      <w:sz w:val="18"/>
                      <w:szCs w:val="18"/>
                    </w:rPr>
                    <w:t>= 0</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uppressAutoHyphens w:val="true"/>
                    <w:bidi w:val="0"/>
                    <w:spacing w:lineRule="auto" w:line="240" w:before="0" w:after="0"/>
                    <w:ind w:left="113" w:right="964" w:hanging="0"/>
                    <w:jc w:val="left"/>
                    <w:rPr>
                      <w:rFonts w:ascii="Times New Roman" w:hAnsi="Times New Roman" w:cs="Times New Roman"/>
                      <w:sz w:val="18"/>
                      <w:szCs w:val="18"/>
                    </w:rPr>
                  </w:pPr>
                  <w:r>
                    <w:rPr>
                      <w:rFonts w:cs="Times New Roman" w:ascii="Times New Roman" w:hAnsi="Times New Roman"/>
                      <w:sz w:val="18"/>
                      <w:szCs w:val="18"/>
                    </w:rPr>
                    <w:t>от 0 (опыт отсутствует, либо не подтвержден) до 30% НМЦ без учета НДС (включительно);</w:t>
                  </w:r>
                </w:p>
              </w:tc>
            </w:tr>
            <w:tr>
              <w:trPr>
                <w:trHeight w:val="767" w:hRule="atLeast"/>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 xml:space="preserve">                                   </w:t>
                  </w:r>
                  <w:r>
                    <w:rPr>
                      <w:sz w:val="18"/>
                      <w:szCs w:val="18"/>
                    </w:rPr>
                    <w:t>Б</w:t>
                  </w:r>
                  <w:r>
                    <w:rPr>
                      <w:sz w:val="18"/>
                      <w:szCs w:val="18"/>
                      <w:vertAlign w:val="subscript"/>
                    </w:rPr>
                    <w:t>2.</w:t>
                  </w:r>
                  <w:r>
                    <w:rPr>
                      <w:sz w:val="18"/>
                      <w:szCs w:val="18"/>
                    </w:rPr>
                    <w:t xml:space="preserve"> = 1</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pacing w:lineRule="auto" w:line="240" w:before="120" w:after="0"/>
                    <w:ind w:left="113" w:right="1020" w:hanging="0"/>
                    <w:jc w:val="left"/>
                    <w:rPr>
                      <w:rFonts w:ascii="Times New Roman" w:hAnsi="Times New Roman" w:cs="Times New Roman"/>
                      <w:sz w:val="18"/>
                      <w:szCs w:val="18"/>
                    </w:rPr>
                  </w:pPr>
                  <w:r>
                    <w:rPr>
                      <w:rFonts w:cs="Times New Roman" w:ascii="Times New Roman" w:hAnsi="Times New Roman"/>
                      <w:sz w:val="18"/>
                      <w:szCs w:val="18"/>
                    </w:rPr>
                    <w:t>более 30% НМЦ «без учета НДС», до 40% НМЦ  без учета НДС (включительно);</w:t>
                  </w:r>
                </w:p>
              </w:tc>
            </w:tr>
            <w:tr>
              <w:trPr>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 xml:space="preserve">                                   </w:t>
                  </w:r>
                  <w:r>
                    <w:rPr>
                      <w:sz w:val="18"/>
                      <w:szCs w:val="18"/>
                    </w:rPr>
                    <w:t>Б</w:t>
                  </w:r>
                  <w:r>
                    <w:rPr>
                      <w:sz w:val="18"/>
                      <w:szCs w:val="18"/>
                      <w:vertAlign w:val="subscript"/>
                    </w:rPr>
                    <w:t>2.</w:t>
                  </w:r>
                  <w:r>
                    <w:rPr>
                      <w:sz w:val="18"/>
                      <w:szCs w:val="18"/>
                    </w:rPr>
                    <w:t xml:space="preserve"> = 2</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pacing w:lineRule="auto" w:line="240" w:before="120" w:after="0"/>
                    <w:ind w:left="113" w:right="1020" w:hanging="0"/>
                    <w:jc w:val="left"/>
                    <w:rPr>
                      <w:rFonts w:ascii="Times New Roman" w:hAnsi="Times New Roman" w:cs="Times New Roman"/>
                      <w:sz w:val="18"/>
                      <w:szCs w:val="18"/>
                    </w:rPr>
                  </w:pPr>
                  <w:r>
                    <w:rPr>
                      <w:rFonts w:cs="Times New Roman" w:ascii="Times New Roman" w:hAnsi="Times New Roman"/>
                      <w:sz w:val="18"/>
                      <w:szCs w:val="18"/>
                    </w:rPr>
                    <w:t>более 40% НМЦ «без учета НДС», до 50% НМЦ  без учета НДС (включительно);</w:t>
                  </w:r>
                </w:p>
              </w:tc>
            </w:tr>
            <w:tr>
              <w:trPr>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 xml:space="preserve">                                   </w:t>
                  </w:r>
                  <w:r>
                    <w:rPr>
                      <w:sz w:val="18"/>
                      <w:szCs w:val="18"/>
                    </w:rPr>
                    <w:t>Б</w:t>
                  </w:r>
                  <w:r>
                    <w:rPr>
                      <w:sz w:val="18"/>
                      <w:szCs w:val="18"/>
                      <w:vertAlign w:val="subscript"/>
                    </w:rPr>
                    <w:t>2.</w:t>
                  </w:r>
                  <w:r>
                    <w:rPr>
                      <w:sz w:val="18"/>
                      <w:szCs w:val="18"/>
                    </w:rPr>
                    <w:t>  = 3</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pacing w:lineRule="auto" w:line="240" w:before="120" w:after="0"/>
                    <w:ind w:left="113" w:right="1077" w:hanging="0"/>
                    <w:jc w:val="left"/>
                    <w:rPr>
                      <w:rFonts w:ascii="Times New Roman" w:hAnsi="Times New Roman" w:cs="Times New Roman"/>
                      <w:sz w:val="18"/>
                      <w:szCs w:val="18"/>
                    </w:rPr>
                  </w:pPr>
                  <w:r>
                    <w:rPr>
                      <w:rFonts w:cs="Times New Roman" w:ascii="Times New Roman" w:hAnsi="Times New Roman"/>
                      <w:sz w:val="18"/>
                      <w:szCs w:val="18"/>
                    </w:rPr>
                    <w:t>более 50% НМЦ «без учета НДС», до 60% НМЦ  без учета НДС (включительно);</w:t>
                  </w:r>
                </w:p>
              </w:tc>
            </w:tr>
            <w:tr>
              <w:trPr>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Б</w:t>
                  </w:r>
                  <w:r>
                    <w:rPr>
                      <w:sz w:val="18"/>
                      <w:szCs w:val="18"/>
                      <w:vertAlign w:val="subscript"/>
                    </w:rPr>
                    <w:t>2.</w:t>
                  </w:r>
                  <w:r>
                    <w:rPr>
                      <w:sz w:val="18"/>
                      <w:szCs w:val="18"/>
                    </w:rPr>
                    <w:t xml:space="preserve"> = 4</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pacing w:lineRule="auto" w:line="240" w:before="120" w:after="0"/>
                    <w:ind w:left="113" w:right="964" w:hanging="0"/>
                    <w:jc w:val="left"/>
                    <w:rPr>
                      <w:rFonts w:ascii="Times New Roman" w:hAnsi="Times New Roman" w:cs="Times New Roman"/>
                      <w:sz w:val="18"/>
                      <w:szCs w:val="18"/>
                    </w:rPr>
                  </w:pPr>
                  <w:r>
                    <w:rPr>
                      <w:rFonts w:cs="Times New Roman" w:ascii="Times New Roman" w:hAnsi="Times New Roman"/>
                      <w:sz w:val="18"/>
                      <w:szCs w:val="18"/>
                    </w:rPr>
                    <w:t>более 60% НМЦ «без учета НДС», до 70% НМЦ  без учета НДС (включительно);</w:t>
                  </w:r>
                </w:p>
              </w:tc>
            </w:tr>
            <w:tr>
              <w:trPr>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 xml:space="preserve"> </w:t>
                  </w:r>
                  <w:r>
                    <w:rPr>
                      <w:sz w:val="18"/>
                      <w:szCs w:val="18"/>
                    </w:rPr>
                    <w:t>Б</w:t>
                  </w:r>
                  <w:r>
                    <w:rPr>
                      <w:sz w:val="18"/>
                      <w:szCs w:val="18"/>
                      <w:vertAlign w:val="subscript"/>
                    </w:rPr>
                    <w:t xml:space="preserve">2. </w:t>
                  </w:r>
                  <w:r>
                    <w:rPr>
                      <w:sz w:val="18"/>
                      <w:szCs w:val="18"/>
                    </w:rPr>
                    <w:t>= 5</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pacing w:lineRule="auto" w:line="240" w:before="120" w:after="0"/>
                    <w:ind w:left="113" w:right="1020" w:hanging="0"/>
                    <w:jc w:val="left"/>
                    <w:rPr/>
                  </w:pPr>
                  <w:r>
                    <w:rPr>
                      <w:rStyle w:val="Style20"/>
                      <w:rFonts w:eastAsia="Arial Unicode MS" w:cs="Times New Roman" w:ascii="Times New Roman" w:hAnsi="Times New Roman"/>
                      <w:sz w:val="18"/>
                      <w:szCs w:val="18"/>
                    </w:rPr>
                    <w:t>более</w:t>
                  </w:r>
                  <w:r>
                    <w:rPr>
                      <w:rStyle w:val="Style21"/>
                      <w:rFonts w:eastAsia="Arial Unicode MS" w:cs="Times New Roman" w:ascii="Times New Roman" w:hAnsi="Times New Roman"/>
                      <w:sz w:val="18"/>
                    </w:rPr>
                    <w:t xml:space="preserve"> 70% НМЦ без учета НДС;</w:t>
                  </w:r>
                </w:p>
              </w:tc>
            </w:tr>
          </w:tbl>
          <w:p>
            <w:pPr>
              <w:pStyle w:val="22"/>
              <w:keepNext w:val="true"/>
              <w:widowControl w:val="false"/>
              <w:spacing w:lineRule="auto" w:line="240" w:before="0" w:after="0"/>
              <w:ind w:left="720" w:right="0" w:hanging="0"/>
              <w:jc w:val="left"/>
              <w:rPr>
                <w:rFonts w:ascii="Times New Roman" w:hAnsi="Times New Roman" w:cs="Times New Roman"/>
                <w:sz w:val="18"/>
                <w:szCs w:val="18"/>
              </w:rPr>
            </w:pPr>
            <w:r>
              <w:rPr>
                <w:rFonts w:cs="Times New Roman" w:ascii="Times New Roman" w:hAnsi="Times New Roman"/>
                <w:sz w:val="18"/>
                <w:szCs w:val="18"/>
              </w:rPr>
              <w:t>где:</w:t>
            </w:r>
          </w:p>
          <w:p>
            <w:pPr>
              <w:pStyle w:val="BodyText"/>
              <w:widowControl w:val="false"/>
              <w:suppressAutoHyphens w:val="true"/>
              <w:spacing w:lineRule="auto" w:line="240" w:before="0" w:after="0"/>
              <w:ind w:left="57" w:right="57" w:hanging="0"/>
              <w:jc w:val="both"/>
              <w:rPr>
                <w:rFonts w:eastAsia="Calibri" w:cs="Times New Roman"/>
                <w:spacing w:val="-2"/>
                <w:kern w:val="0"/>
                <w:sz w:val="18"/>
                <w:szCs w:val="18"/>
                <w:lang w:val="ru-RU" w:eastAsia="en-US" w:bidi="ar-SA"/>
              </w:rPr>
            </w:pPr>
            <w:r>
              <w:rPr>
                <w:rFonts w:eastAsia="Calibri" w:cs="Times New Roman"/>
                <w:spacing w:val="-2"/>
                <w:kern w:val="0"/>
                <w:sz w:val="18"/>
                <w:szCs w:val="18"/>
                <w:lang w:val="ru-RU" w:eastAsia="en-US" w:bidi="ar-SA"/>
              </w:rPr>
              <w:t>Б2  - рассчитанная оценка предпочтительности по данному частному критерию оценки в баллах.</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В составе заявки Участник должен представить сведения о ранее выполненных договорах по форме «Справка об опыте Участника», приведенной в Документации о закупке, с обязательным представлением подтверждающих наличие требуемого опыта документов, а именно:</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 xml:space="preserve"> </w:t>
            </w:r>
            <w:r>
              <w:rPr>
                <w:rFonts w:eastAsia="Calibri" w:cs="Times New Roman"/>
                <w:kern w:val="0"/>
                <w:sz w:val="18"/>
                <w:szCs w:val="18"/>
                <w:lang w:val="ru-RU" w:eastAsia="en-US" w:bidi="ar-SA"/>
              </w:rPr>
              <w:t>- копии договоров, подписанных с обеих сторон;</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 копии Актов выполненных работ к договорам, подписанных с обеих сторон, с указанием стоимости и наименования выполненных работ, аналогичных предмету закупки;</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 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услуг, подписанных с обеих сторон.</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 xml:space="preserve"> </w:t>
            </w:r>
            <w:r>
              <w:rPr>
                <w:rFonts w:eastAsia="Calibri" w:cs="Times New Roman"/>
                <w:kern w:val="0"/>
                <w:sz w:val="18"/>
                <w:szCs w:val="18"/>
                <w:lang w:val="ru-RU" w:eastAsia="en-US" w:bidi="ar-SA"/>
              </w:rPr>
              <w:t>Опыт, несоответствующий установленным в Документации о закупке требованиям не оценивается.</w:t>
            </w:r>
          </w:p>
          <w:p>
            <w:pPr>
              <w:pStyle w:val="22"/>
              <w:widowControl w:val="false"/>
              <w:suppressAutoHyphens w:val="true"/>
              <w:spacing w:lineRule="auto" w:line="240" w:before="0" w:after="0"/>
              <w:ind w:left="0" w:right="0" w:hanging="0"/>
              <w:rPr>
                <w:rFonts w:ascii="Times New Roman" w:hAnsi="Times New Roman" w:eastAsia="Calibri" w:cs="Times New Roman"/>
                <w:kern w:val="0"/>
                <w:sz w:val="18"/>
                <w:szCs w:val="18"/>
                <w:lang w:val="ru-RU" w:eastAsia="en-US" w:bidi="ar-SA"/>
              </w:rPr>
            </w:pPr>
            <w:r>
              <w:rPr>
                <w:rFonts w:eastAsia="Calibri" w:cs="Times New Roman" w:ascii="Times New Roman" w:hAnsi="Times New Roman"/>
                <w:kern w:val="0"/>
                <w:sz w:val="18"/>
                <w:szCs w:val="18"/>
                <w:lang w:val="ru-RU" w:eastAsia="en-US" w:bidi="ar-SA"/>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3.</w:t>
            </w:r>
          </w:p>
        </w:tc>
        <w:tc>
          <w:tcPr>
            <w:tcW w:w="1368"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pPr>
            <w:r>
              <w:rPr>
                <w:rStyle w:val="Style8"/>
                <w:rFonts w:eastAsia="Calibri"/>
                <w:i w:val="false"/>
                <w:iCs w:val="false"/>
                <w:sz w:val="22"/>
                <w:szCs w:val="22"/>
                <w:lang w:eastAsia="en-US"/>
              </w:rPr>
              <w:br/>
            </w:r>
            <w:r>
              <w:rPr>
                <w:rFonts w:eastAsia="Calibri"/>
                <w:sz w:val="22"/>
                <w:szCs w:val="22"/>
                <w:lang w:eastAsia="en-US"/>
              </w:rPr>
              <w:t>«Неценовой критерий оценки первого уровня;</w:t>
              <w:br/>
              <w:t>Орг»</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Финансовое состояние (устойчивость)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5%</w:t>
              <w:br/>
              <w:t>(В</w:t>
            </w:r>
            <w:r>
              <w:rPr>
                <w:sz w:val="22"/>
                <w:szCs w:val="22"/>
                <w:vertAlign w:val="subscript"/>
                <w:lang w:eastAsia="ru-RU"/>
              </w:rPr>
              <w:t>3</w:t>
            </w:r>
            <w:r>
              <w:rPr>
                <w:sz w:val="22"/>
                <w:szCs w:val="22"/>
                <w:lang w:eastAsia="ru-RU"/>
              </w:rPr>
              <w:t xml:space="preserve"> = 0,05)</w:t>
            </w:r>
          </w:p>
        </w:tc>
        <w:tc>
          <w:tcPr>
            <w:tcW w:w="1936"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pPr>
            <w:r>
              <w:rPr>
                <w:rStyle w:val="Style20"/>
                <w:color w:val="000000"/>
                <w:sz w:val="22"/>
                <w:szCs w:val="22"/>
              </w:rPr>
              <w:t>Чем выше результат оценки финансового состояния (устойчивости)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pPr>
            <w:r>
              <w:rPr>
                <w:rStyle w:val="Style20"/>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rPr/>
            </w:pPr>
            <w:r>
              <w:rPr>
                <w:rStyle w:val="Style20"/>
                <w:sz w:val="22"/>
                <w:szCs w:val="22"/>
              </w:rPr>
              <w:t xml:space="preserve">Порядок осуществления оценки (значение оцениваемого параметра), в зависимости от полученного Участником (с </w:t>
            </w:r>
            <w:r>
              <w:rPr>
                <w:rStyle w:val="Style20"/>
                <w:i/>
                <w:sz w:val="22"/>
                <w:szCs w:val="22"/>
                <w:lang w:val="en-US"/>
              </w:rPr>
              <w:t>i</w:t>
            </w:r>
            <w:r>
              <w:rPr>
                <w:rStyle w:val="Style20"/>
                <w:sz w:val="22"/>
                <w:szCs w:val="22"/>
              </w:rPr>
              <w:t xml:space="preserve">-ой заявкой) значения расчетного балла </w:t>
            </w:r>
            <w:bookmarkStart w:id="389" w:name="_Hlk140493522"/>
            <w:r>
              <w:rPr>
                <w:rStyle w:val="Style20"/>
                <w:sz w:val="22"/>
                <w:szCs w:val="22"/>
              </w:rPr>
              <w:t>(интегрального показателя финансового состояния)</w:t>
            </w:r>
            <w:bookmarkEnd w:id="389"/>
            <w:r>
              <w:rPr>
                <w:rStyle w:val="Style20"/>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tabs>
                <w:tab w:val="clear" w:pos="708"/>
              </w:tabs>
              <w:spacing w:before="120" w:after="0"/>
              <w:ind w:left="62" w:right="0" w:hanging="0"/>
              <w:rPr/>
            </w:pPr>
            <w:r>
              <w:rPr>
                <w:rStyle w:val="Style20"/>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5"/>
            </w:r>
            <w:r>
              <w:rPr>
                <w:rStyle w:val="Style20"/>
                <w:rFonts w:eastAsia="Calibri"/>
                <w:sz w:val="22"/>
                <w:szCs w:val="22"/>
              </w:rPr>
              <w:t xml:space="preserve"> установлен Приложением №4 к Положению об аккредитации;</w:t>
            </w:r>
          </w:p>
          <w:p>
            <w:pPr>
              <w:pStyle w:val="Normal"/>
              <w:widowControl w:val="false"/>
              <w:tabs>
                <w:tab w:val="clear" w:pos="708"/>
              </w:tabs>
              <w:spacing w:before="120" w:after="0"/>
              <w:ind w:left="62" w:right="0" w:hanging="0"/>
              <w:rPr/>
            </w:pPr>
            <w:r>
              <w:rPr>
                <w:rStyle w:val="Style20"/>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tgtFrame="_top">
              <w:r>
                <w:rPr>
                  <w:rStyle w:val="Hyperlink"/>
                  <w:rFonts w:eastAsia="Calibri"/>
                  <w:sz w:val="22"/>
                  <w:szCs w:val="22"/>
                </w:rPr>
                <w:t>https://bo.nalog.ru</w:t>
              </w:r>
            </w:hyperlink>
            <w:r>
              <w:rPr>
                <w:rStyle w:val="Style20"/>
                <w:rFonts w:eastAsia="Calibri"/>
                <w:sz w:val="22"/>
                <w:szCs w:val="22"/>
              </w:rPr>
              <w:t xml:space="preserve">) за предыдущий отчетный период (год) </w:t>
            </w:r>
            <w:r>
              <w:rPr>
                <w:rStyle w:val="Style20"/>
                <w:sz w:val="22"/>
                <w:szCs w:val="22"/>
              </w:rPr>
              <w:t>по состоянию на дату окончания срока подачи заявок</w:t>
            </w:r>
            <w:r>
              <w:rPr>
                <w:rStyle w:val="Style20"/>
                <w:rFonts w:eastAsia="Calibri"/>
                <w:sz w:val="22"/>
                <w:szCs w:val="22"/>
              </w:rPr>
              <w:t>.</w:t>
            </w:r>
          </w:p>
          <w:p>
            <w:pPr>
              <w:pStyle w:val="Normal"/>
              <w:widowControl w:val="false"/>
              <w:spacing w:before="120" w:after="0"/>
              <w:rPr/>
            </w:pPr>
            <w:r>
              <w:rPr>
                <w:rStyle w:val="Style20"/>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rStyle w:val="Style20"/>
                <w:sz w:val="22"/>
                <w:szCs w:val="22"/>
              </w:rPr>
              <w:t xml:space="preserve">(по формам ОКУД 0710001, 0710002) </w:t>
            </w:r>
            <w:r>
              <w:rPr>
                <w:rStyle w:val="Style20"/>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rStyle w:val="Style20"/>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Style w:val="Style20"/>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tabs>
                <w:tab w:val="clear" w:pos="708"/>
              </w:tabs>
              <w:spacing w:before="120" w:after="0"/>
              <w:ind w:left="346" w:right="0" w:hanging="0"/>
              <w:rPr/>
            </w:pPr>
            <w:r>
              <w:rPr>
                <w:rStyle w:val="Style20"/>
                <w:sz w:val="22"/>
                <w:szCs w:val="22"/>
              </w:rPr>
              <w:t>Если Участник в соответствии с законодательством формирует отчетность по </w:t>
            </w:r>
            <w:r>
              <w:rPr>
                <w:rStyle w:val="Style20"/>
                <w:rFonts w:eastAsia="Calibri"/>
                <w:sz w:val="22"/>
                <w:szCs w:val="22"/>
              </w:rPr>
              <w:t>формам</w:t>
            </w:r>
            <w:r>
              <w:rPr>
                <w:rStyle w:val="Style20"/>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0"/>
              <w:keepNext w:val="true"/>
              <w:widowControl w:val="false"/>
              <w:spacing w:before="40" w:after="40"/>
              <w:jc w:val="left"/>
              <w:rPr>
                <w:rFonts w:ascii="Times New Roman" w:hAnsi="Times New Roman" w:cs="Times New Roman"/>
                <w:sz w:val="22"/>
                <w:szCs w:val="22"/>
              </w:rPr>
            </w:pPr>
            <w:r>
              <w:rPr>
                <w:rFonts w:cs="Times New Roman"/>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spacing w:before="40" w:after="40"/>
              <w:jc w:val="left"/>
              <w:rPr>
                <w:rFonts w:ascii="Times New Roman" w:hAnsi="Times New Roman" w:cs="Times New Roman"/>
                <w:sz w:val="22"/>
                <w:szCs w:val="22"/>
              </w:rPr>
            </w:pPr>
            <w:r>
              <w:rPr>
                <w:rFonts w:cs="Times New Roman"/>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jc w:val="both"/>
              <w:rPr/>
            </w:pPr>
            <w:r>
              <w:rPr>
                <w:rStyle w:val="Style20"/>
                <w:rFonts w:eastAsia="Calibri"/>
                <w:color w:val="000000"/>
                <w:sz w:val="22"/>
                <w:szCs w:val="22"/>
              </w:rPr>
              <w:t>Оценка предпочтительности по частному критерию</w:t>
            </w:r>
            <w:r>
              <w:rPr>
                <w:rStyle w:val="Style20"/>
                <w:color w:val="000000"/>
                <w:sz w:val="22"/>
                <w:szCs w:val="22"/>
              </w:rPr>
              <w:t xml:space="preserve"> осуществляется в соответствии со следующей </w:t>
            </w:r>
            <w:r>
              <w:rPr>
                <w:rStyle w:val="Style20"/>
                <w:rFonts w:eastAsia="Calibri"/>
                <w:color w:val="000000"/>
                <w:sz w:val="22"/>
                <w:szCs w:val="22"/>
              </w:rPr>
              <w:t>шкалой</w:t>
            </w:r>
            <w:r>
              <w:rPr>
                <w:rStyle w:val="Style20"/>
                <w:color w:val="000000"/>
                <w:sz w:val="22"/>
                <w:szCs w:val="22"/>
              </w:rPr>
              <w:t>:</w:t>
            </w:r>
          </w:p>
          <w:tbl>
            <w:tblPr>
              <w:tblW w:w="6122" w:type="dxa"/>
              <w:jc w:val="left"/>
              <w:tblInd w:w="3" w:type="dxa"/>
              <w:tblLayout w:type="fixed"/>
              <w:tblCellMar>
                <w:top w:w="55" w:type="dxa"/>
                <w:left w:w="57" w:type="dxa"/>
                <w:bottom w:w="55" w:type="dxa"/>
                <w:right w:w="57" w:type="dxa"/>
              </w:tblCellMar>
            </w:tblPr>
            <w:tblGrid>
              <w:gridCol w:w="1078"/>
              <w:gridCol w:w="5043"/>
            </w:tblGrid>
            <w:tr>
              <w:trPr/>
              <w:tc>
                <w:tcPr>
                  <w:tcW w:w="1078" w:type="dxa"/>
                  <w:tcBorders>
                    <w:top w:val="single" w:sz="4" w:space="0" w:color="000000"/>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0</w:t>
                  </w:r>
                </w:p>
              </w:tc>
              <w:tc>
                <w:tcPr>
                  <w:tcW w:w="50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before="120" w:after="0"/>
                    <w:ind w:left="57" w:right="397" w:hanging="0"/>
                    <w:rPr/>
                  </w:pPr>
                  <w:r>
                    <w:rPr>
                      <w:rStyle w:val="Style20"/>
                      <w:rFonts w:eastAsia="Calibri"/>
                      <w:sz w:val="22"/>
                      <w:szCs w:val="22"/>
                    </w:rPr>
                    <w:t>Результат оценки финансового состояния (устойчивости): менее 0,45 балла – Кризисное финансовое состояние;</w:t>
                  </w:r>
                </w:p>
                <w:p>
                  <w:pPr>
                    <w:pStyle w:val="Normal"/>
                    <w:widowControl w:val="false"/>
                    <w:rPr/>
                  </w:pPr>
                  <w:r>
                    <w:rPr>
                      <w:rStyle w:val="Style20"/>
                      <w:rFonts w:eastAsia="Calibri"/>
                      <w:i/>
                      <w:iCs/>
                      <w:sz w:val="22"/>
                      <w:szCs w:val="22"/>
                    </w:rPr>
                    <w:t>или</w:t>
                  </w:r>
                </w:p>
                <w:p>
                  <w:pPr>
                    <w:pStyle w:val="Normal"/>
                    <w:widowControl w:val="false"/>
                    <w:tabs>
                      <w:tab w:val="clear" w:pos="708"/>
                    </w:tabs>
                    <w:ind w:left="113" w:right="454" w:hanging="0"/>
                    <w:rPr/>
                  </w:pPr>
                  <w:r>
                    <w:rPr>
                      <w:rStyle w:val="Style20"/>
                      <w:rFonts w:eastAsia="Calibri"/>
                      <w:sz w:val="22"/>
                      <w:szCs w:val="22"/>
                    </w:rPr>
                    <w:t>в случае отсутствия исходных данных для оценки финансового состояния Участника, в том числе если он является:</w:t>
                  </w:r>
                </w:p>
                <w:p>
                  <w:pPr>
                    <w:pStyle w:val="-2"/>
                    <w:widowControl w:val="false"/>
                    <w:spacing w:lineRule="auto" w:line="240" w:before="40" w:after="40"/>
                    <w:ind w:left="56" w:right="397" w:hanging="0"/>
                    <w:jc w:val="left"/>
                    <w:rPr>
                      <w:sz w:val="22"/>
                      <w:szCs w:val="22"/>
                    </w:rPr>
                  </w:pPr>
                  <w:r>
                    <w:rPr>
                      <w:sz w:val="22"/>
                      <w:szCs w:val="22"/>
                    </w:rPr>
                    <w:t>- 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2"/>
                    <w:widowControl w:val="false"/>
                    <w:spacing w:lineRule="auto" w:line="240" w:before="40" w:after="40"/>
                    <w:ind w:left="56" w:right="340" w:hanging="0"/>
                    <w:jc w:val="left"/>
                    <w:rPr/>
                  </w:pPr>
                  <w:r>
                    <w:rPr>
                      <w:rStyle w:val="Style20"/>
                      <w:sz w:val="22"/>
                      <w:szCs w:val="22"/>
                      <w:lang w:eastAsia="ru-RU"/>
                    </w:rPr>
                    <w:t>- 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c>
                <w:tcPr>
                  <w:tcW w:w="1078" w:type="dxa"/>
                  <w:tcBorders>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3</w:t>
                  </w:r>
                </w:p>
              </w:tc>
              <w:tc>
                <w:tcPr>
                  <w:tcW w:w="5043" w:type="dxa"/>
                  <w:tcBorders>
                    <w:left w:val="single" w:sz="4" w:space="0" w:color="000000"/>
                    <w:bottom w:val="single" w:sz="4" w:space="0" w:color="000000"/>
                    <w:right w:val="single" w:sz="4" w:space="0" w:color="000000"/>
                  </w:tcBorders>
                </w:tcPr>
                <w:p>
                  <w:pPr>
                    <w:pStyle w:val="-2"/>
                    <w:widowControl w:val="false"/>
                    <w:spacing w:lineRule="auto" w:line="240" w:before="40" w:after="40"/>
                    <w:ind w:left="57" w:right="454" w:hanging="0"/>
                    <w:jc w:val="left"/>
                    <w:rPr/>
                  </w:pPr>
                  <w:r>
                    <w:rPr>
                      <w:rStyle w:val="Style20"/>
                      <w:rFonts w:eastAsia="Times New Roman"/>
                      <w:sz w:val="22"/>
                      <w:szCs w:val="22"/>
                      <w:lang w:eastAsia="ru-RU"/>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c>
                <w:tcPr>
                  <w:tcW w:w="1078" w:type="dxa"/>
                  <w:tcBorders>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5</w:t>
                  </w:r>
                </w:p>
              </w:tc>
              <w:tc>
                <w:tcPr>
                  <w:tcW w:w="5043" w:type="dxa"/>
                  <w:tcBorders>
                    <w:left w:val="single" w:sz="4" w:space="0" w:color="000000"/>
                    <w:bottom w:val="single" w:sz="4" w:space="0" w:color="000000"/>
                    <w:right w:val="single" w:sz="4" w:space="0" w:color="000000"/>
                  </w:tcBorders>
                </w:tcPr>
                <w:p>
                  <w:pPr>
                    <w:pStyle w:val="-2"/>
                    <w:widowControl w:val="false"/>
                    <w:spacing w:lineRule="auto" w:line="240" w:before="40" w:after="40"/>
                    <w:ind w:left="57" w:right="510" w:hanging="0"/>
                    <w:jc w:val="left"/>
                    <w:rPr/>
                  </w:pPr>
                  <w:r>
                    <w:rPr>
                      <w:rStyle w:val="Style20"/>
                      <w:rFonts w:eastAsia="Times New Roman"/>
                      <w:sz w:val="22"/>
                      <w:szCs w:val="22"/>
                      <w:lang w:eastAsia="ru-RU"/>
                    </w:rPr>
                    <w:t>Результат оценки финансового состояния (устойчивости): более 0,90 балла – Удовлетворительное финансовое состояние.</w:t>
                  </w:r>
                </w:p>
              </w:tc>
            </w:tr>
          </w:tbl>
          <w:p>
            <w:pPr>
              <w:pStyle w:val="Normal"/>
              <w:widowControl w:val="false"/>
              <w:rPr/>
            </w:pPr>
            <w:r>
              <w:rPr>
                <w:rStyle w:val="Style20"/>
                <w:color w:val="000000"/>
                <w:sz w:val="22"/>
                <w:szCs w:val="22"/>
              </w:rPr>
              <w:t>где:</w:t>
            </w:r>
          </w:p>
          <w:p>
            <w:pPr>
              <w:pStyle w:val="22"/>
              <w:widowControl w:val="false"/>
              <w:numPr>
                <w:ilvl w:val="0"/>
                <w:numId w:val="0"/>
              </w:numPr>
              <w:tabs>
                <w:tab w:val="left" w:pos="742" w:leader="none"/>
                <w:tab w:val="left" w:pos="1167" w:leader="none"/>
              </w:tabs>
              <w:spacing w:lineRule="auto" w:line="240"/>
              <w:ind w:left="720" w:right="0" w:hanging="0"/>
              <w:jc w:val="left"/>
              <w:rPr/>
            </w:pPr>
            <w:r>
              <w:rPr>
                <w:rStyle w:val="Style20"/>
                <w:sz w:val="22"/>
                <w:szCs w:val="22"/>
                <w:lang w:eastAsia="ru-RU"/>
              </w:rPr>
              <w:t>Б</w:t>
            </w:r>
            <w:r>
              <w:rPr>
                <w:rStyle w:val="Style20"/>
                <w:position w:val="-2"/>
                <w:sz w:val="22"/>
                <w:szCs w:val="22"/>
                <w:lang w:eastAsia="ru-RU"/>
              </w:rPr>
              <w:t>3</w:t>
            </w:r>
            <w:r>
              <w:rPr>
                <w:rStyle w:val="Style20"/>
                <w:sz w:val="22"/>
                <w:szCs w:val="22"/>
                <w:lang w:eastAsia="ru-RU"/>
              </w:rPr>
              <w:tab/>
              <w:t>–</w:t>
              <w:tab/>
              <w:t>рассчитанная оценка предпочтительности по данному частному критерию оценки в баллах.</w:t>
            </w:r>
          </w:p>
          <w:p>
            <w:pPr>
              <w:pStyle w:val="Style41"/>
              <w:widowControl w:val="false"/>
              <w:numPr>
                <w:ilvl w:val="0"/>
                <w:numId w:val="0"/>
              </w:numPr>
              <w:tabs>
                <w:tab w:val="clear" w:pos="75"/>
                <w:tab w:val="left" w:pos="435" w:leader="none"/>
              </w:tabs>
              <w:ind w:left="0" w:right="0" w:hanging="0"/>
              <w:rPr>
                <w:rFonts w:ascii="Times New Roman" w:hAnsi="Times New Roman"/>
                <w:szCs w:val="22"/>
              </w:rPr>
            </w:pPr>
            <w:r>
              <w:rPr>
                <w:szCs w:val="22"/>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41"/>
              <w:widowControl w:val="false"/>
              <w:numPr>
                <w:ilvl w:val="0"/>
                <w:numId w:val="0"/>
              </w:numPr>
              <w:tabs>
                <w:tab w:val="clear" w:pos="75"/>
                <w:tab w:val="left" w:pos="435" w:leader="none"/>
              </w:tabs>
              <w:ind w:left="0" w:right="0" w:hanging="0"/>
              <w:rPr>
                <w:rFonts w:ascii="Times New Roman" w:hAnsi="Times New Roman"/>
                <w:szCs w:val="22"/>
              </w:rPr>
            </w:pPr>
            <w:r>
              <w:rPr>
                <w:szCs w:val="22"/>
              </w:rPr>
              <w:t xml:space="preserve">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(Приложение № 4), представленному в заявке такого Коллективного участника на участие в закупке.). </w:t>
            </w:r>
          </w:p>
          <w:p>
            <w:pPr>
              <w:pStyle w:val="Style41"/>
              <w:widowControl w:val="false"/>
              <w:numPr>
                <w:ilvl w:val="0"/>
                <w:numId w:val="0"/>
              </w:numPr>
              <w:tabs>
                <w:tab w:val="clear" w:pos="75"/>
                <w:tab w:val="left" w:pos="435" w:leader="none"/>
              </w:tabs>
              <w:ind w:left="0" w:right="0" w:hanging="0"/>
              <w:rPr>
                <w:rFonts w:ascii="Times New Roman" w:hAnsi="Times New Roman"/>
                <w:szCs w:val="22"/>
              </w:rPr>
            </w:pPr>
            <w:r>
              <w:rPr>
                <w:szCs w:val="22"/>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pPr>
              <w:pStyle w:val="31"/>
              <w:widowControl w:val="false"/>
              <w:tabs>
                <w:tab w:val="clear" w:pos="708"/>
              </w:tabs>
              <w:spacing w:lineRule="auto" w:line="240" w:before="96" w:after="96"/>
              <w:ind w:left="0" w:right="0" w:hanging="0"/>
              <w:contextualSpacing w:val="false"/>
              <w:jc w:val="left"/>
              <w:rPr/>
            </w:pPr>
            <w:r>
              <w:rPr>
                <w:rStyle w:val="Style20"/>
                <w:color w:val="000000"/>
                <w:sz w:val="22"/>
                <w:szCs w:val="22"/>
                <w:lang w:eastAsia="ru-RU"/>
              </w:rPr>
              <w:t>Шкала оценок от 0 до 5 баллов.</w:t>
            </w:r>
          </w:p>
        </w:tc>
      </w:tr>
      <w:tr>
        <w:trPr/>
        <w:tc>
          <w:tcPr>
            <w:tcW w:w="5821" w:type="dxa"/>
            <w:gridSpan w:val="4"/>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Итоговая оценка предпочтительности заявки:</w:t>
            </w:r>
          </w:p>
        </w:tc>
        <w:tc>
          <w:tcPr>
            <w:tcW w:w="9314" w:type="dxa"/>
            <w:gridSpan w:val="3"/>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sz w:val="22"/>
                <w:szCs w:val="22"/>
                <w:lang w:eastAsia="en-US"/>
              </w:rPr>
              <w:t>-ой заявки:</w:t>
            </w:r>
          </w:p>
          <w:p>
            <w:pPr>
              <w:pStyle w:val="Style30"/>
              <w:widowControl w:val="false"/>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r>
                  <w:rPr>
                    <w:rFonts w:ascii="Cambria Math" w:hAnsi="Cambria Math"/>
                  </w:rPr>
                  <m:t xml:space="preserve">∑</m:t>
                </m:r>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r>
                  <w:rPr>
                    <w:rFonts w:ascii="Cambria Math" w:hAnsi="Cambria Math"/>
                  </w:rPr>
                  <m:t xml:space="preserve">,</m:t>
                </m:r>
              </m:oMath>
            </m:oMathPara>
          </w:p>
          <w:p>
            <w:pPr>
              <w:pStyle w:val="Style30"/>
              <w:widowControl w:val="false"/>
              <w:jc w:val="left"/>
              <w:rPr>
                <w:sz w:val="22"/>
                <w:szCs w:val="22"/>
              </w:rPr>
            </w:pPr>
            <w:r>
              <w:rPr>
                <w:rFonts w:eastAsia="Calibri"/>
                <w:sz w:val="22"/>
                <w:szCs w:val="22"/>
                <w:lang w:eastAsia="en-US"/>
              </w:rPr>
              <w:t>где:</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sz w:val="22"/>
                <w:szCs w:val="22"/>
                <w:lang w:eastAsia="en-US"/>
              </w:rPr>
              <w:t xml:space="preserve"> – </w:t>
            </w:r>
            <w:r>
              <w:rPr>
                <w:rFonts w:eastAsia="Calibri"/>
                <w:sz w:val="22"/>
                <w:szCs w:val="22"/>
                <w:lang w:eastAsia="en-US"/>
              </w:rPr>
              <w:t>рассчитанная итоговая оценка предпочтительности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sz w:val="22"/>
                <w:szCs w:val="22"/>
                <w:lang w:eastAsia="en-US"/>
              </w:rPr>
              <w:t>-тому критерию оценки первого уровня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значимость </w:t>
            </w:r>
            <w:r>
              <w:rPr/>
            </w:r>
            <m:oMath xmlns:m="http://schemas.openxmlformats.org/officeDocument/2006/math">
              <m:r>
                <w:rPr>
                  <w:rFonts w:ascii="Cambria Math" w:hAnsi="Cambria Math"/>
                </w:rPr>
                <m:t xml:space="preserve">k</m:t>
              </m:r>
            </m:oMath>
            <w:r>
              <w:rPr>
                <w:rFonts w:eastAsia="Calibri"/>
                <w:sz w:val="22"/>
                <w:szCs w:val="22"/>
                <w:lang w:eastAsia="en-US"/>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sz w:val="22"/>
                <w:szCs w:val="22"/>
                <w:lang w:eastAsia="en-US"/>
              </w:rPr>
              <w:t>-ого критерия оценки первого уровня.</w:t>
            </w:r>
          </w:p>
          <w:p>
            <w:pPr>
              <w:pStyle w:val="Style30"/>
              <w:widowControl w:val="false"/>
              <w:jc w:val="left"/>
              <w:rPr>
                <w:sz w:val="22"/>
                <w:szCs w:val="22"/>
              </w:rPr>
            </w:pPr>
            <w:r>
              <w:rPr>
                <w:rFonts w:eastAsia="Calibri"/>
                <w:i/>
                <w:iCs/>
                <w:sz w:val="22"/>
                <w:szCs w:val="22"/>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6"/>
        <w:numPr>
          <w:ilvl w:val="0"/>
          <w:numId w:val="0"/>
        </w:numPr>
        <w:ind w:left="0" w:hanging="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numPr>
          <w:ilvl w:val="0"/>
          <w:numId w:val="0"/>
        </w:numPr>
        <w:ind w:left="0" w:hanging="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numPr>
          <w:ilvl w:val="0"/>
          <w:numId w:val="0"/>
        </w:numPr>
        <w:ind w:left="0" w:hanging="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90" w:name="_Ref125360420"/>
      <w:bookmarkStart w:id="391" w:name="_Toc228877733"/>
      <w:bookmarkStart w:id="392" w:name="Прил09_ОбоснованиеНМЦ"/>
      <w:bookmarkEnd w:id="392"/>
      <w:r>
        <w:rPr/>
        <w:t>Приложение № 9 – Обоснование НМЦ</w:t>
      </w:r>
      <w:bookmarkEnd w:id="390"/>
      <w:bookmarkEnd w:id="391"/>
    </w:p>
    <w:p>
      <w:pPr>
        <w:pStyle w:val="Style25"/>
        <w:rPr/>
      </w:pPr>
      <w:bookmarkStart w:id="393" w:name="_Toc228877734"/>
      <w:r>
        <w:rPr/>
        <w:t>Пояснения к Обоснованию НМЦ</w:t>
      </w:r>
      <w:bookmarkEnd w:id="393"/>
    </w:p>
    <w:p>
      <w:pPr>
        <w:pStyle w:val="Style26"/>
        <w:numPr>
          <w:ilvl w:val="0"/>
          <w:numId w:val="0"/>
        </w:numPr>
        <w:ind w:left="0" w:hanging="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4" w:name="_Toc228877735"/>
      <w:bookmarkStart w:id="395" w:name="Прил10_ФормаЗаявкиНаАккредитацию"/>
      <w:bookmarkEnd w:id="395"/>
      <w:r>
        <w:rPr/>
        <w:t>Приложение № 10 – Форма Заявки на аккредитацию</w:t>
      </w:r>
      <w:bookmarkEnd w:id="394"/>
    </w:p>
    <w:p>
      <w:pPr>
        <w:pStyle w:val="Style25"/>
        <w:rPr/>
      </w:pPr>
      <w:bookmarkStart w:id="396" w:name="_Toc228877736"/>
      <w:r>
        <w:rPr/>
        <w:t>Пояснения к форме Заявки на аккредитацию</w:t>
      </w:r>
      <w:bookmarkEnd w:id="396"/>
    </w:p>
    <w:p>
      <w:pPr>
        <w:pStyle w:val="Style26"/>
        <w:numPr>
          <w:ilvl w:val="0"/>
          <w:numId w:val="0"/>
        </w:numPr>
        <w:ind w:left="0" w:hanging="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numPr>
          <w:ilvl w:val="0"/>
          <w:numId w:val="0"/>
        </w:numPr>
        <w:ind w:left="0" w:hanging="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7"/>
      <w:r>
        <w:rPr/>
        <w:t>.</w:t>
      </w:r>
    </w:p>
    <w:p>
      <w:pPr>
        <w:pStyle w:val="Style30"/>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1163729423" r:id="rId36"/>
        </w:object>
      </w:r>
    </w:p>
    <w:p>
      <w:pPr>
        <w:pStyle w:val="Style24"/>
        <w:rPr/>
      </w:pPr>
      <w:bookmarkStart w:id="398" w:name="_Toc228877737"/>
      <w:bookmarkStart w:id="399" w:name="Прил11_Данные_бухотчетность"/>
      <w:r>
        <w:rPr/>
        <w:t xml:space="preserve">Приложение № 11 </w:t>
      </w:r>
      <w:bookmarkEnd w:id="399"/>
      <w:r>
        <w:rPr/>
        <w:t>– форма Данных бухгалтерской (финансовой) отчетности</w:t>
      </w:r>
      <w:bookmarkEnd w:id="398"/>
    </w:p>
    <w:p>
      <w:pPr>
        <w:pStyle w:val="Style25"/>
        <w:rPr/>
      </w:pPr>
      <w:bookmarkStart w:id="400" w:name="_Toc228877738"/>
      <w:r>
        <w:rPr/>
        <w:t>Пояснения к форме Данных бухгалтерской (финансовой) отчетности</w:t>
      </w:r>
      <w:bookmarkEnd w:id="400"/>
      <w:r>
        <w:rPr/>
        <w:t xml:space="preserve"> </w:t>
      </w:r>
    </w:p>
    <w:p>
      <w:pPr>
        <w:pStyle w:val="Style26"/>
        <w:numPr>
          <w:ilvl w:val="0"/>
          <w:numId w:val="0"/>
        </w:numPr>
        <w:ind w:left="0" w:hanging="0"/>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1" w:name="_MON_1821256687"/>
      <w:bookmarkStart w:id="402" w:name="_MON_1821256687"/>
      <w:bookmarkEnd w:id="402"/>
    </w:p>
    <w:p>
      <w:pPr>
        <w:pStyle w:val="Normal"/>
        <w:jc w:val="center"/>
        <w:rPr/>
      </w:pPr>
      <w:bookmarkStart w:id="403" w:name="_Hlk210644436"/>
      <w:bookmarkStart w:id="404" w:name="_MON_1821256687_Копия_1"/>
      <w:bookmarkEnd w:id="404"/>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2073577163" r:id="rId38"/>
        </w:object>
      </w:r>
      <w:bookmarkEnd w:id="403"/>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89039724"/>
    </w:sdtPr>
    <w:sdtContent>
      <w:p>
        <w:pPr>
          <w:pStyle w:val="Footer"/>
          <w:spacing w:before="120" w:after="0"/>
          <w:rPr/>
        </w:pPr>
        <w:r>
          <w:rPr/>
          <w:fldChar w:fldCharType="begin"/>
        </w:r>
        <w:r>
          <w:rPr/>
          <w:instrText xml:space="preserve"> PAGE </w:instrText>
        </w:r>
        <w:r>
          <w:rPr/>
          <w:fldChar w:fldCharType="separate"/>
        </w:r>
        <w:r>
          <w:rPr/>
          <w:t>12</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49613719"/>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16601857"/>
    </w:sdtPr>
    <w:sdtContent>
      <w:p>
        <w:pPr>
          <w:pStyle w:val="Footer"/>
          <w:spacing w:before="120" w:after="0"/>
          <w:rPr/>
        </w:pPr>
        <w:r>
          <w:rPr/>
          <w:fldChar w:fldCharType="begin"/>
        </w:r>
        <w:r>
          <w:rPr/>
          <w:instrText xml:space="preserve"> PAGE </w:instrText>
        </w:r>
        <w:r>
          <w:rPr/>
          <w:fldChar w:fldCharType="separate"/>
        </w:r>
        <w:r>
          <w:rPr/>
          <w:t>47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47629355"/>
    </w:sdtPr>
    <w:sdtContent>
      <w:p>
        <w:pPr>
          <w:pStyle w:val="Footer"/>
          <w:spacing w:before="120" w:after="0"/>
          <w:rPr/>
        </w:pPr>
        <w:r>
          <w:rPr/>
          <w:fldChar w:fldCharType="begin"/>
        </w:r>
        <w:r>
          <w:rPr/>
          <w:instrText xml:space="preserve"> PAGE </w:instrText>
        </w:r>
        <w:r>
          <w:rPr/>
          <w:fldChar w:fldCharType="separate"/>
        </w:r>
        <w:r>
          <w:rPr/>
          <w:t>53</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60697172"/>
    </w:sdtPr>
    <w:sdtContent>
      <w:p>
        <w:pPr>
          <w:pStyle w:val="Footer"/>
          <w:spacing w:before="120" w:after="0"/>
          <w:rPr/>
        </w:pPr>
        <w:r>
          <w:rPr/>
          <w:fldChar w:fldCharType="begin"/>
        </w:r>
        <w:r>
          <w:rPr/>
          <w:instrText xml:space="preserve"> PAGE </w:instrText>
        </w:r>
        <w:r>
          <w:rPr/>
          <w:fldChar w:fldCharType="separate"/>
        </w:r>
        <w:r>
          <w:rPr/>
          <w:t>59</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93820108"/>
    </w:sdtPr>
    <w:sdtContent>
      <w:p>
        <w:pPr>
          <w:pStyle w:val="Footer"/>
          <w:spacing w:before="120" w:after="0"/>
          <w:rPr/>
        </w:pPr>
        <w:r>
          <w:rPr/>
          <w:fldChar w:fldCharType="begin"/>
        </w:r>
        <w:r>
          <w:rPr/>
          <w:instrText xml:space="preserve"> PAGE </w:instrText>
        </w:r>
        <w:r>
          <w:rPr/>
          <w:fldChar w:fldCharType="separate"/>
        </w:r>
        <w:r>
          <w:rPr/>
          <w:t>74</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96572197"/>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0"/>
        </w:rPr>
        <w:footnoteRef/>
      </w:r>
      <w:r>
        <w:rPr/>
        <w:tab/>
        <w:t>Определенные в соответствии с Законом 422-ФЗ.</w:t>
      </w:r>
    </w:p>
  </w:footnote>
  <w:footnote w:id="3">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4">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6">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2"/>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2"/>
        <w:spacing w:before="80" w:after="0"/>
        <w:ind w:left="567" w:hanging="567"/>
        <w:jc w:val="both"/>
        <w:rPr/>
      </w:pPr>
      <w:r>
        <w:rPr>
          <w:rStyle w:val="Style10"/>
        </w:rPr>
        <w:footnoteRef/>
      </w:r>
      <w:r>
        <w:rPr/>
        <w:tab/>
        <w:t>https://minfin.gov.ru/ru/perfomance/tax_relations/policy/bankwarranty/</w:t>
      </w:r>
    </w:p>
  </w:footnote>
  <w:footnote w:id="11">
    <w:p>
      <w:pPr>
        <w:pStyle w:val="Style32"/>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2"/>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ListParagraph"/>
        <w:widowControl w:val="false"/>
        <w:tabs>
          <w:tab w:val="clear" w:pos="708"/>
          <w:tab w:val="left" w:pos="284" w:leader="none"/>
        </w:tabs>
        <w:spacing w:before="20" w:after="20"/>
        <w:ind w:left="142" w:hanging="142"/>
        <w:contextualSpacing w:val="false"/>
        <w:jc w:val="both"/>
        <w:rPr>
          <w:rStyle w:val="Style18"/>
          <w:b w:val="false"/>
          <w:sz w:val="20"/>
          <w:szCs w:val="20"/>
        </w:rPr>
      </w:pPr>
      <w:r>
        <w:rPr>
          <w:rStyle w:val="Style10"/>
        </w:rPr>
        <w:footnoteRef/>
      </w:r>
      <w:r>
        <w:rPr>
          <w:rFonts w:eastAsia="Times New Roman"/>
          <w:sz w:val="20"/>
          <w:szCs w:val="20"/>
          <w:vertAlign w:val="superscript"/>
        </w:rPr>
        <w:tab/>
        <w:t xml:space="preserve">. </w:t>
      </w:r>
      <w:r>
        <w:rPr>
          <w:rFonts w:eastAsia="Times New Roman"/>
          <w:sz w:val="20"/>
          <w:szCs w:val="20"/>
        </w:rPr>
        <w:t>Не требуется членство в СРО в области инженерных изысканий Участникам закупки, перечисленным в ч. 2.1 ст. 47 ГрК РФ;</w:t>
      </w:r>
    </w:p>
  </w:footnote>
  <w:footnote w:id="14">
    <w:p>
      <w:pPr>
        <w:pStyle w:val="ListParagraph"/>
        <w:widowControl w:val="false"/>
        <w:tabs>
          <w:tab w:val="clear" w:pos="708"/>
          <w:tab w:val="left" w:pos="142" w:leader="none"/>
        </w:tabs>
        <w:spacing w:before="20" w:after="20"/>
        <w:ind w:left="142" w:hanging="142"/>
        <w:contextualSpacing w:val="false"/>
        <w:jc w:val="both"/>
        <w:rPr>
          <w:sz w:val="16"/>
          <w:szCs w:val="16"/>
        </w:rPr>
      </w:pPr>
      <w:r>
        <w:rPr>
          <w:rStyle w:val="Style10"/>
        </w:rPr>
        <w:footnoteRef/>
      </w:r>
      <w:r>
        <w:rPr>
          <w:rFonts w:eastAsia="Times New Roman"/>
          <w:sz w:val="20"/>
          <w:szCs w:val="20"/>
          <w:vertAlign w:val="superscript"/>
        </w:rPr>
        <w:tab/>
        <w:t>.</w:t>
      </w:r>
      <w:r>
        <w:rPr>
          <w:rFonts w:eastAsia="Times New Roman"/>
          <w:sz w:val="20"/>
          <w:szCs w:val="20"/>
        </w:rPr>
        <w:t xml:space="preserve"> Не требуется членство в СРО в области архитектурно-строительного проектирования Участникам закупки, перечисленным в ч. 4.1 ст. 48 ГрК РФ.</w:t>
      </w:r>
    </w:p>
  </w:footnote>
  <w:footnote w:id="15">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none"/>
      <w:suff w:val="nothing"/>
      <w:lvlText w:val="%1."/>
      <w:lvlJc w:val="left"/>
      <w:pPr>
        <w:tabs>
          <w:tab w:val="num" w:pos="0"/>
        </w:tabs>
        <w:ind w:left="1134" w:hanging="1134"/>
      </w:pPr>
      <w:rPr/>
    </w:lvl>
    <w:lvl w:ilvl="1">
      <w:start w:val="1"/>
      <w:pStyle w:val="Style25"/>
      <w:numFmt w:val="decimal"/>
      <w:lvlText w:val="%1.%2"/>
      <w:lvlJc w:val="left"/>
      <w:pPr>
        <w:tabs>
          <w:tab w:val="num" w:pos="1134"/>
        </w:tabs>
        <w:ind w:left="1134" w:hanging="1134"/>
      </w:pPr>
      <w:rPr/>
    </w:lvl>
    <w:lvl w:ilvl="2">
      <w:start w:val="1"/>
      <w:pStyle w:val="Style41"/>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7"/>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11">
    <w:name w:val="Гиперссылка1"/>
    <w:qFormat/>
    <w:rPr>
      <w:color w:val="000080"/>
      <w:u w:val="singl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Style20">
    <w:name w:val="Основной шрифт абзаца"/>
    <w:qFormat/>
    <w:rPr/>
  </w:style>
  <w:style w:type="character" w:styleId="Style21">
    <w:name w:val="Знак примечания"/>
    <w:basedOn w:val="Style20"/>
    <w:qFormat/>
    <w:rPr>
      <w:sz w:val="16"/>
      <w:szCs w:val="16"/>
    </w:rPr>
  </w:style>
  <w:style w:type="character" w:styleId="FootnoteReference11">
    <w:name w:val="Footnote Reference11"/>
    <w:basedOn w:val="Style20"/>
    <w:qFormat/>
    <w:rPr>
      <w:vertAlign w:val="superscript"/>
    </w:rPr>
  </w:style>
  <w:style w:type="character" w:styleId="FootnoteReference1">
    <w:name w:val="Footnote Reference1"/>
    <w:basedOn w:val="Style20"/>
    <w:qFormat/>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4"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left="2880" w:hanging="360"/>
    </w:pPr>
    <w:rPr/>
  </w:style>
  <w:style w:type="paragraph" w:styleId="Style36" w:customStyle="1">
    <w:name w:val="Подподпункт"/>
    <w:basedOn w:val="Style35"/>
    <w:qFormat/>
    <w:rsid w:val="00493761"/>
    <w:pPr>
      <w:numPr>
        <w:ilvl w:val="4"/>
      </w:numPr>
      <w:ind w:left="3600" w:hanging="36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Style38">
    <w:name w:val="Абзац списка"/>
    <w:basedOn w:val="Normal"/>
    <w:qFormat/>
    <w:pPr>
      <w:tabs>
        <w:tab w:val="clear" w:pos="708"/>
      </w:tabs>
      <w:suppressAutoHyphens w:val="true"/>
      <w:ind w:left="720" w:right="0" w:hanging="0"/>
    </w:pPr>
    <w:rPr/>
  </w:style>
  <w:style w:type="paragraph" w:styleId="22">
    <w:name w:val="УРОВЕНЬ_Абзац_тип2"/>
    <w:basedOn w:val="Style38"/>
    <w:qFormat/>
    <w:pPr>
      <w:suppressAutoHyphens w:val="true"/>
      <w:spacing w:lineRule="exact" w:line="360" w:before="120" w:after="0"/>
      <w:jc w:val="both"/>
    </w:pPr>
    <w:rPr>
      <w:rFonts w:ascii="Calibri" w:hAnsi="Calibri" w:eastAsia="Calibri" w:cs="Calibri"/>
      <w:sz w:val="26"/>
      <w:szCs w:val="28"/>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Style38"/>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paragraph" w:styleId="Style39">
    <w:name w:val="Содержимое таблицы"/>
    <w:basedOn w:val="Normal"/>
    <w:qFormat/>
    <w:pPr>
      <w:widowControl w:val="false"/>
      <w:suppressLineNumbers/>
    </w:pPr>
    <w:rPr/>
  </w:style>
  <w:style w:type="paragraph" w:styleId="Style40">
    <w:name w:val="Заголовок таблицы"/>
    <w:basedOn w:val="Style39"/>
    <w:qFormat/>
    <w:pPr>
      <w:suppressLineNumbers/>
      <w:jc w:val="center"/>
    </w:pPr>
    <w:rPr>
      <w:b/>
      <w:bCs/>
    </w:rPr>
  </w:style>
  <w:style w:type="paragraph" w:styleId="Style41">
    <w:name w:val="[РусГидро] Пункт"/>
    <w:basedOn w:val="Style38"/>
    <w:qFormat/>
    <w:pPr>
      <w:numPr>
        <w:ilvl w:val="2"/>
        <w:numId w:val="1"/>
      </w:numPr>
      <w:tabs>
        <w:tab w:val="left" w:pos="75" w:leader="none"/>
      </w:tabs>
      <w:suppressAutoHyphens w:val="true"/>
      <w:spacing w:before="120" w:after="0"/>
      <w:jc w:val="both"/>
      <w:outlineLvl w:val="2"/>
    </w:pPr>
    <w:rPr>
      <w:rFonts w:eastAsia="Calibri" w:cs="Times New Roman"/>
      <w:szCs w:val="26"/>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https://tender.lot-online.ru/app/EtpDocList/page" TargetMode="External"/><Relationship Id="rId5" Type="http://schemas.openxmlformats.org/officeDocument/2006/relationships/hyperlink" Target="mailto:ignatova-ta@drs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2.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yperlink" Target="http://nopriz.ru/nreesters/elektronnyy-reestr/" TargetMode="Externa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3.wmf"/><Relationship Id="rId25" Type="http://schemas.openxmlformats.org/officeDocument/2006/relationships/package" Target="embeddings/oleObject3.docx"/><Relationship Id="rId26" Type="http://schemas.openxmlformats.org/officeDocument/2006/relationships/image" Target="media/image4.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5.wmf"/><Relationship Id="rId38" Type="http://schemas.openxmlformats.org/officeDocument/2006/relationships/package" Target="embeddings/oleObject5.docx"/><Relationship Id="rId39" Type="http://schemas.openxmlformats.org/officeDocument/2006/relationships/image" Target="media/image6.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Application>AlterOffice/3.3.1.3$Linux_X86_64 LibreOffice_project/90d829a0d92d6015ad4fa014ce4f460a7fe6c0ba</Application>
  <AppVersion>15.0000</AppVersion>
  <Pages>77</Pages>
  <Words>19087</Words>
  <Characters>131455</Characters>
  <CharactersWithSpaces>143104</CharactersWithSpaces>
  <Paragraphs>1087</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kovrizhkina_ey</cp:lastModifiedBy>
  <dcterms:modified xsi:type="dcterms:W3CDTF">2026-09-16T14:09:25Z</dcterms:modified>
  <cp:revision>167</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