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245" w:hanging="0"/>
        <w:rPr>
          <w:rFonts w:eastAsia="Calibri"/>
        </w:rPr>
      </w:pPr>
      <w:r>
        <w:rPr>
          <w:rFonts w:eastAsia="Calibri"/>
        </w:rPr>
      </w:r>
    </w:p>
    <w:p>
      <w:pPr>
        <w:pStyle w:val="Normal"/>
        <w:ind w:left="5245" w:hanging="0"/>
        <w:rPr>
          <w:rFonts w:eastAsia="Calibri"/>
        </w:rPr>
      </w:pPr>
      <w:r>
        <w:rPr>
          <w:rFonts w:eastAsia="Calibri"/>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b/>
        </w:rPr>
      </w:pPr>
      <w:r>
        <w:rPr>
          <w:b/>
        </w:rPr>
      </w:r>
    </w:p>
    <w:p>
      <w:pPr>
        <w:pStyle w:val="Normal"/>
        <w:keepNext w:val="true"/>
        <w:numPr>
          <w:ilvl w:val="0"/>
          <w:numId w:val="0"/>
        </w:numPr>
        <w:jc w:val="center"/>
        <w:outlineLvl w:val="0"/>
        <w:rPr/>
      </w:pPr>
      <w:r>
        <w:rPr/>
        <w:t xml:space="preserve">Технические требования на оказание услуг </w:t>
      </w:r>
    </w:p>
    <w:p>
      <w:pPr>
        <w:pStyle w:val="Normal"/>
        <w:keepNext w:val="true"/>
        <w:numPr>
          <w:ilvl w:val="0"/>
          <w:numId w:val="0"/>
        </w:numPr>
        <w:jc w:val="center"/>
        <w:outlineLvl w:val="0"/>
        <w:rPr>
          <w:rFonts w:eastAsia="Calibri"/>
          <w:color w:val="000000"/>
          <w:lang w:eastAsia="en-US"/>
        </w:rPr>
      </w:pPr>
      <w:r>
        <w:rPr/>
        <w:t xml:space="preserve">по </w:t>
      </w:r>
      <w:r>
        <w:rPr>
          <w:rFonts w:eastAsia="Calibri"/>
          <w:color w:val="000000"/>
          <w:lang w:eastAsia="en-US"/>
        </w:rPr>
        <w:t>ОКПД2 84.24 Услуги по охране и  антитеррористической защищенности складской инфраструктуры</w:t>
      </w:r>
      <w:r>
        <w:rPr>
          <w:rFonts w:eastAsia="Calibri"/>
          <w:i/>
          <w:color w:val="000000"/>
          <w:sz w:val="22"/>
          <w:szCs w:val="22"/>
          <w:lang w:eastAsia="en-US"/>
        </w:rPr>
        <w:t xml:space="preserve"> </w:t>
      </w:r>
      <w:r>
        <w:rPr>
          <w:rFonts w:eastAsia="Calibri"/>
          <w:color w:val="000000"/>
          <w:lang w:eastAsia="en-US"/>
        </w:rPr>
        <w:t>филиала ПАО "РусГидро"-"Северо-Осетинский филиал"</w:t>
      </w:r>
    </w:p>
    <w:p>
      <w:pPr>
        <w:pStyle w:val="Normal"/>
        <w:keepNext w:val="true"/>
        <w:numPr>
          <w:ilvl w:val="0"/>
          <w:numId w:val="0"/>
        </w:numPr>
        <w:jc w:val="center"/>
        <w:outlineLvl w:val="0"/>
        <w:rPr>
          <w:rFonts w:eastAsia="Calibri"/>
          <w:color w:val="000000"/>
          <w:lang w:eastAsia="en-US"/>
        </w:rPr>
      </w:pPr>
      <w:r>
        <w:rPr>
          <w:rFonts w:eastAsia="Calibri"/>
          <w:color w:val="000000"/>
          <w:lang w:eastAsia="en-US"/>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sectPr>
          <w:type w:val="nextPage"/>
          <w:pgSz w:w="11906" w:h="16838"/>
          <w:pgMar w:left="1418" w:right="851" w:gutter="0" w:header="0" w:top="993" w:footer="0" w:bottom="2268"/>
          <w:pgNumType w:fmt="decimal"/>
          <w:formProt w:val="false"/>
          <w:textDirection w:val="lrTb"/>
          <w:docGrid w:type="default" w:linePitch="360" w:charSpace="0"/>
        </w:sect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r>
    </w:p>
    <w:p>
      <w:pPr>
        <w:pStyle w:val="Normal"/>
        <w:widowControl w:val="false"/>
        <w:jc w:val="center"/>
        <w:rPr>
          <w:b/>
        </w:rPr>
      </w:pPr>
      <w:r>
        <w:rPr>
          <w:b/>
        </w:rPr>
        <w:t>СОДЕРЖАНИЕ</w:t>
      </w:r>
    </w:p>
    <w:p>
      <w:pPr>
        <w:pStyle w:val="Normal"/>
        <w:widowControl w:val="false"/>
        <w:rPr>
          <w:b/>
        </w:rPr>
      </w:pPr>
      <w:r>
        <w:rPr>
          <w:b/>
        </w:rPr>
      </w:r>
    </w:p>
    <w:sdt>
      <w:sdtPr>
        <w:docPartObj>
          <w:docPartGallery w:val="Table of Contents"/>
          <w:docPartUnique w:val="true"/>
        </w:docPartObj>
      </w:sdtPr>
      <w:sdtContent>
        <w:p>
          <w:pPr>
            <w:pStyle w:val="TOC1"/>
            <w:spacing w:before="0" w:after="0"/>
            <w:rPr/>
          </w:pPr>
          <w:r>
            <w:fldChar w:fldCharType="begin"/>
          </w:r>
          <w:r>
            <w:rPr>
              <w:rStyle w:val="Style16"/>
              <w:rFonts w:cs="Times New Roman"/>
            </w:rPr>
            <w:instrText xml:space="preserve"> TOC \o "1-4" \h</w:instrText>
          </w:r>
          <w:r>
            <w:rPr>
              <w:rStyle w:val="Style16"/>
              <w:rFonts w:cs="Times New Roman"/>
            </w:rPr>
            <w:fldChar w:fldCharType="separate"/>
          </w:r>
          <w:hyperlink w:anchor="_Toc54643453">
            <w:r>
              <w:rPr>
                <w:rStyle w:val="Style16"/>
                <w:rFonts w:cs="Times New Roman"/>
              </w:rPr>
              <w:t>1.</w:t>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b w:val="false"/>
                <w:bCs w:val="false"/>
                <w:iCs w:val="false"/>
              </w:rPr>
              <w:tab/>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Общие сведения</w:t>
            </w:r>
            <w:r>
              <w:rPr>
                <w:webHidden/>
              </w:rPr>
              <w:fldChar w:fldCharType="end"/>
            </w:r>
          </w:hyperlink>
          <w:hyperlink w:anchor="_Toc54643453">
            <w:r>
              <w:rPr>
                <w:webHidden/>
              </w:rPr>
              <w:fldChar w:fldCharType="begin"/>
            </w:r>
            <w:r>
              <w:rPr>
                <w:webHidden/>
              </w:rPr>
              <w:instrText xml:space="preserve">PAGEREF _Toc54643453 \h</w:instrText>
            </w:r>
            <w:r>
              <w:rPr>
                <w:webHidden/>
              </w:rPr>
              <w:fldChar w:fldCharType="separate"/>
            </w:r>
            <w:r>
              <w:rPr>
                <w:rStyle w:val="Style16"/>
                <w:rFonts w:cs="Times New Roman"/>
              </w:rPr>
              <w:tab/>
            </w:r>
            <w:r>
              <w:rPr>
                <w:webHidden/>
              </w:rPr>
              <w:fldChar w:fldCharType="end"/>
            </w:r>
          </w:hyperlink>
          <w:r>
            <w:rPr>
              <w:rFonts w:cs="Times New Roman"/>
            </w:rPr>
            <w:t>3</w:t>
          </w:r>
        </w:p>
        <w:p>
          <w:pPr>
            <w:pStyle w:val="TOC4"/>
            <w:tabs>
              <w:tab w:val="clear" w:pos="709"/>
              <w:tab w:val="left" w:pos="1400" w:leader="none"/>
              <w:tab w:val="right" w:pos="9911" w:leader="dot"/>
            </w:tabs>
            <w:rPr>
              <w:b/>
            </w:rPr>
          </w:pPr>
          <w:hyperlink w:anchor="_Toc54643455">
            <w:r>
              <w:rPr>
                <w:rStyle w:val="Style16"/>
                <w:rFonts w:cs="Times New Roman"/>
                <w:iCs/>
                <w:sz w:val="24"/>
                <w:szCs w:val="24"/>
              </w:rPr>
              <w:t>1.1.</w:t>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Наименование закупаемых услуг</w:t>
            </w:r>
            <w:r>
              <w:rPr>
                <w:webHidden/>
              </w:rPr>
              <w:fldChar w:fldCharType="end"/>
            </w:r>
          </w:hyperlink>
          <w:hyperlink w:anchor="_Toc54643455">
            <w:r>
              <w:rPr>
                <w:webHidden/>
              </w:rPr>
              <w:fldChar w:fldCharType="begin"/>
            </w:r>
            <w:r>
              <w:rPr>
                <w:webHidden/>
              </w:rPr>
              <w:instrText xml:space="preserve">PAGEREF _Toc54643455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b/>
            </w:rPr>
          </w:pPr>
          <w:hyperlink w:anchor="_Toc54643456">
            <w:r>
              <w:rPr>
                <w:rStyle w:val="Style16"/>
                <w:rFonts w:cs="Times New Roman"/>
                <w:iCs/>
                <w:sz w:val="24"/>
                <w:szCs w:val="24"/>
              </w:rPr>
              <w:t>1.2.</w:t>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Цель оказания услуг</w:t>
            </w:r>
            <w:r>
              <w:rPr>
                <w:webHidden/>
              </w:rPr>
              <w:fldChar w:fldCharType="end"/>
            </w:r>
          </w:hyperlink>
          <w:hyperlink w:anchor="_Toc54643456">
            <w:r>
              <w:rPr>
                <w:webHidden/>
              </w:rPr>
              <w:fldChar w:fldCharType="begin"/>
            </w:r>
            <w:r>
              <w:rPr>
                <w:webHidden/>
              </w:rPr>
              <w:instrText xml:space="preserve">PAGEREF _Toc54643456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b/>
            </w:rPr>
          </w:pPr>
          <w:hyperlink w:anchor="_Toc54643460">
            <w:r>
              <w:rPr>
                <w:rStyle w:val="Style16"/>
                <w:rFonts w:cs="Times New Roman"/>
                <w:iCs/>
                <w:sz w:val="24"/>
                <w:szCs w:val="24"/>
              </w:rPr>
              <w:t>1.3.</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Существующее положение</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t>3</w:t>
            </w:r>
            <w:r>
              <w:rPr>
                <w:webHidden/>
              </w:rPr>
              <w:fldChar w:fldCharType="end"/>
            </w:r>
          </w:hyperlink>
        </w:p>
        <w:p>
          <w:pPr>
            <w:pStyle w:val="TOC4"/>
            <w:tabs>
              <w:tab w:val="clear" w:pos="709"/>
              <w:tab w:val="left" w:pos="1400" w:leader="none"/>
              <w:tab w:val="right" w:pos="9911" w:leader="dot"/>
            </w:tabs>
            <w:rPr>
              <w:b/>
            </w:rPr>
          </w:pPr>
          <w:hyperlink w:anchor="_Toc54643460">
            <w:r>
              <w:rPr>
                <w:rStyle w:val="Style16"/>
                <w:rFonts w:cs="Times New Roman"/>
                <w:iCs/>
                <w:sz w:val="24"/>
                <w:szCs w:val="24"/>
              </w:rPr>
              <w:t>1.4.</w:t>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Иные требования и сведения общего характера</w:t>
            </w:r>
            <w:r>
              <w:rPr>
                <w:webHidden/>
              </w:rPr>
              <w:fldChar w:fldCharType="end"/>
            </w:r>
          </w:hyperlink>
          <w:hyperlink w:anchor="_Toc54643460">
            <w:r>
              <w:rPr>
                <w:webHidden/>
              </w:rPr>
              <w:fldChar w:fldCharType="begin"/>
            </w:r>
            <w:r>
              <w:rPr>
                <w:webHidden/>
              </w:rPr>
              <w:instrText xml:space="preserve">PAGEREF _Toc54643460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1"/>
            <w:spacing w:before="0" w:after="0"/>
            <w:rPr/>
          </w:pPr>
          <w:hyperlink w:anchor="_Toc54643461">
            <w:r>
              <w:rPr>
                <w:rStyle w:val="Style16"/>
                <w:rFonts w:cs="Times New Roman"/>
              </w:rPr>
              <w:t>2.</w:t>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b w:val="false"/>
                <w:bCs w:val="false"/>
                <w:iCs w:val="false"/>
              </w:rPr>
              <w:tab/>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Требования к продукции</w:t>
            </w:r>
            <w:r>
              <w:rPr>
                <w:webHidden/>
              </w:rPr>
              <w:fldChar w:fldCharType="end"/>
            </w:r>
          </w:hyperlink>
          <w:hyperlink w:anchor="_Toc54643461">
            <w:r>
              <w:rPr>
                <w:webHidden/>
              </w:rPr>
              <w:fldChar w:fldCharType="begin"/>
            </w:r>
            <w:r>
              <w:rPr>
                <w:webHidden/>
              </w:rPr>
              <w:instrText xml:space="preserve">PAGEREF _Toc54643461 \h</w:instrText>
            </w:r>
            <w:r>
              <w:rPr>
                <w:webHidden/>
              </w:rPr>
              <w:fldChar w:fldCharType="separate"/>
            </w:r>
            <w:r>
              <w:rPr>
                <w:rStyle w:val="Style16"/>
                <w:rFonts w:cs="Times New Roman"/>
              </w:rPr>
              <w:tab/>
            </w:r>
            <w:r>
              <w:rPr>
                <w:webHidden/>
              </w:rPr>
              <w:fldChar w:fldCharType="end"/>
            </w:r>
          </w:hyperlink>
          <w:r>
            <w:rPr>
              <w:rFonts w:cs="Times New Roman"/>
            </w:rPr>
            <w:t>4</w:t>
          </w:r>
        </w:p>
        <w:p>
          <w:pPr>
            <w:pStyle w:val="TOC4"/>
            <w:tabs>
              <w:tab w:val="clear" w:pos="709"/>
              <w:tab w:val="left" w:pos="1400" w:leader="none"/>
              <w:tab w:val="right" w:pos="9911" w:leader="dot"/>
            </w:tabs>
            <w:rPr>
              <w:b/>
            </w:rPr>
          </w:pPr>
          <w:hyperlink w:anchor="_Toc54643462">
            <w:r>
              <w:rPr>
                <w:rStyle w:val="Style16"/>
                <w:rFonts w:cs="Times New Roman"/>
                <w:iCs/>
                <w:sz w:val="24"/>
                <w:szCs w:val="24"/>
              </w:rPr>
              <w:t>2.1.</w:t>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Требования к объемам и срокам оказания услуг</w:t>
            </w:r>
            <w:r>
              <w:rPr>
                <w:webHidden/>
              </w:rPr>
              <w:fldChar w:fldCharType="end"/>
            </w:r>
          </w:hyperlink>
          <w:hyperlink w:anchor="_Toc54643462">
            <w:r>
              <w:rPr>
                <w:webHidden/>
              </w:rPr>
              <w:fldChar w:fldCharType="begin"/>
            </w:r>
            <w:r>
              <w:rPr>
                <w:webHidden/>
              </w:rPr>
              <w:instrText xml:space="preserve">PAGEREF _Toc54643462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4</w:t>
          </w:r>
        </w:p>
        <w:p>
          <w:pPr>
            <w:pStyle w:val="TOC3"/>
            <w:rPr>
              <w:b/>
            </w:rPr>
          </w:pPr>
          <w:hyperlink w:anchor="_Toc54643463">
            <w:r>
              <w:rPr>
                <w:rStyle w:val="Style16"/>
                <w:rFonts w:cs="Times New Roman"/>
                <w:sz w:val="24"/>
                <w:szCs w:val="24"/>
              </w:rPr>
              <w:t>2.1.1.</w:t>
            </w:r>
          </w:hyperlink>
          <w:hyperlink w:anchor="_Toc54643463">
            <w:r>
              <w:rPr>
                <w:webHidden/>
              </w:rPr>
              <w:fldChar w:fldCharType="begin"/>
            </w:r>
            <w:r>
              <w:rPr>
                <w:webHidden/>
              </w:rPr>
              <w:instrText xml:space="preserve">PAGEREF _Toc54643463 \h</w:instrText>
            </w:r>
            <w:r>
              <w:rPr>
                <w:webHidden/>
              </w:rPr>
              <w:fldChar w:fldCharType="separate"/>
            </w:r>
            <w:r>
              <w:rPr>
                <w:rStyle w:val="Style16"/>
              </w:rPr>
              <w:tab/>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Fonts w:cs="Times New Roman"/>
                <w:sz w:val="24"/>
                <w:szCs w:val="24"/>
              </w:rPr>
              <w:t>Требования к перечню и объему услуг</w:t>
            </w:r>
            <w:r>
              <w:rPr>
                <w:webHidden/>
              </w:rPr>
              <w:fldChar w:fldCharType="end"/>
            </w:r>
          </w:hyperlink>
          <w:hyperlink w:anchor="_Toc54643463">
            <w:r>
              <w:rPr>
                <w:webHidden/>
              </w:rPr>
              <w:fldChar w:fldCharType="begin"/>
            </w:r>
            <w:r>
              <w:rPr>
                <w:webHidden/>
              </w:rPr>
              <w:instrText xml:space="preserve">PAGEREF _Toc54643463 \h</w:instrText>
            </w:r>
            <w:r>
              <w:rPr>
                <w:webHidden/>
              </w:rPr>
              <w:fldChar w:fldCharType="separate"/>
            </w:r>
            <w:r>
              <w:rPr>
                <w:rStyle w:val="Style16"/>
              </w:rPr>
              <w:tab/>
            </w:r>
            <w:r>
              <w:rPr>
                <w:webHidden/>
              </w:rPr>
              <w:fldChar w:fldCharType="end"/>
            </w:r>
          </w:hyperlink>
          <w:r>
            <w:rPr/>
            <w:t>4</w:t>
          </w:r>
        </w:p>
        <w:p>
          <w:pPr>
            <w:pStyle w:val="TOC1"/>
            <w:spacing w:before="0" w:after="0"/>
            <w:rPr/>
          </w:pPr>
          <w:hyperlink w:anchor="_Toc54643464">
            <w:r>
              <w:rPr>
                <w:rStyle w:val="Style16"/>
                <w:rFonts w:cs="Times New Roman"/>
              </w:rPr>
              <w:t>Таблица 2. Перечень и объем оказываемых услуг</w:t>
            </w:r>
          </w:hyperlink>
          <w:hyperlink w:anchor="_Toc54643464">
            <w:r>
              <w:rPr>
                <w:webHidden/>
              </w:rPr>
              <w:fldChar w:fldCharType="begin"/>
            </w:r>
            <w:r>
              <w:rPr>
                <w:webHidden/>
              </w:rPr>
              <w:instrText xml:space="preserve">PAGEREF _Toc54643464 \h</w:instrText>
            </w:r>
            <w:r>
              <w:rPr>
                <w:webHidden/>
              </w:rPr>
              <w:fldChar w:fldCharType="separate"/>
            </w:r>
            <w:r>
              <w:rPr>
                <w:rStyle w:val="Style16"/>
                <w:rFonts w:cs="Times New Roman"/>
              </w:rPr>
              <w:tab/>
            </w:r>
            <w:r>
              <w:rPr>
                <w:webHidden/>
              </w:rPr>
              <w:fldChar w:fldCharType="end"/>
            </w:r>
          </w:hyperlink>
          <w:r>
            <w:rPr>
              <w:rFonts w:cs="Times New Roman"/>
            </w:rPr>
            <w:t>4</w:t>
          </w:r>
        </w:p>
        <w:p>
          <w:pPr>
            <w:pStyle w:val="TOC3"/>
            <w:rPr>
              <w:b/>
            </w:rPr>
          </w:pPr>
          <w:hyperlink w:anchor="_Toc54643465">
            <w:r>
              <w:rPr>
                <w:rStyle w:val="Style16"/>
                <w:rFonts w:cs="Times New Roman"/>
                <w:sz w:val="24"/>
                <w:szCs w:val="24"/>
              </w:rPr>
              <w:t>2.1.2.</w:t>
            </w:r>
          </w:hyperlink>
          <w:hyperlink w:anchor="_Toc54643465">
            <w:r>
              <w:rPr>
                <w:webHidden/>
              </w:rPr>
              <w:fldChar w:fldCharType="begin"/>
            </w:r>
            <w:r>
              <w:rPr>
                <w:webHidden/>
              </w:rPr>
              <w:instrText xml:space="preserve">PAGEREF _Toc54643465 \h</w:instrText>
            </w:r>
            <w:r>
              <w:rPr>
                <w:webHidden/>
              </w:rPr>
              <w:fldChar w:fldCharType="separate"/>
            </w:r>
            <w:r>
              <w:rPr>
                <w:rStyle w:val="Style16"/>
              </w:rPr>
              <w:tab/>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Fonts w:cs="Times New Roman"/>
                <w:sz w:val="24"/>
                <w:szCs w:val="24"/>
              </w:rPr>
              <w:t>Требования к срокам оказания услуг</w:t>
            </w:r>
            <w:r>
              <w:rPr>
                <w:webHidden/>
              </w:rPr>
              <w:fldChar w:fldCharType="end"/>
            </w:r>
          </w:hyperlink>
          <w:hyperlink w:anchor="_Toc54643465">
            <w:r>
              <w:rPr>
                <w:webHidden/>
              </w:rPr>
              <w:fldChar w:fldCharType="begin"/>
            </w:r>
            <w:r>
              <w:rPr>
                <w:webHidden/>
              </w:rPr>
              <w:instrText xml:space="preserve">PAGEREF _Toc54643465 \h</w:instrText>
            </w:r>
            <w:r>
              <w:rPr>
                <w:webHidden/>
              </w:rPr>
              <w:fldChar w:fldCharType="separate"/>
            </w:r>
            <w:r>
              <w:rPr>
                <w:rStyle w:val="Style16"/>
              </w:rPr>
              <w:tab/>
            </w:r>
            <w:r>
              <w:rPr>
                <w:webHidden/>
              </w:rPr>
              <w:fldChar w:fldCharType="end"/>
            </w:r>
          </w:hyperlink>
          <w:r>
            <w:rPr/>
            <w:t>5</w:t>
          </w:r>
        </w:p>
        <w:p>
          <w:pPr>
            <w:pStyle w:val="TOC1"/>
            <w:spacing w:before="0" w:after="0"/>
            <w:rPr/>
          </w:pPr>
          <w:hyperlink w:anchor="_Toc54643466">
            <w:r>
              <w:rPr>
                <w:rStyle w:val="Style16"/>
                <w:rFonts w:cs="Times New Roman"/>
              </w:rPr>
              <w:t>Таблица 3. Требования к срокам оказания услуг</w:t>
            </w:r>
          </w:hyperlink>
          <w:hyperlink w:anchor="_Toc54643466">
            <w:r>
              <w:rPr>
                <w:webHidden/>
              </w:rPr>
              <w:fldChar w:fldCharType="begin"/>
            </w:r>
            <w:r>
              <w:rPr>
                <w:webHidden/>
              </w:rPr>
              <w:instrText xml:space="preserve">PAGEREF _Toc54643466 \h</w:instrText>
            </w:r>
            <w:r>
              <w:rPr>
                <w:webHidden/>
              </w:rPr>
              <w:fldChar w:fldCharType="separate"/>
            </w:r>
            <w:r>
              <w:rPr>
                <w:rStyle w:val="Style16"/>
                <w:rFonts w:cs="Times New Roman"/>
              </w:rPr>
              <w:tab/>
            </w:r>
            <w:r>
              <w:rPr>
                <w:webHidden/>
              </w:rPr>
              <w:fldChar w:fldCharType="end"/>
            </w:r>
          </w:hyperlink>
          <w:r>
            <w:rPr>
              <w:rFonts w:cs="Times New Roman"/>
            </w:rPr>
            <w:t>5</w:t>
          </w:r>
        </w:p>
        <w:p>
          <w:pPr>
            <w:pStyle w:val="TOC4"/>
            <w:tabs>
              <w:tab w:val="clear" w:pos="709"/>
              <w:tab w:val="left" w:pos="1400" w:leader="none"/>
              <w:tab w:val="right" w:pos="9911" w:leader="dot"/>
            </w:tabs>
            <w:rPr>
              <w:b/>
            </w:rPr>
          </w:pPr>
          <w:hyperlink w:anchor="_Toc54643467">
            <w:r>
              <w:rPr>
                <w:rStyle w:val="Style16"/>
                <w:rFonts w:cs="Times New Roman"/>
                <w:iCs/>
                <w:sz w:val="24"/>
                <w:szCs w:val="24"/>
              </w:rPr>
              <w:t>2.2.</w:t>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Требования к качеству услуг</w:t>
            </w:r>
            <w:r>
              <w:rPr>
                <w:webHidden/>
              </w:rPr>
              <w:fldChar w:fldCharType="end"/>
            </w:r>
          </w:hyperlink>
          <w:hyperlink w:anchor="_Toc54643467">
            <w:r>
              <w:rPr>
                <w:webHidden/>
              </w:rPr>
              <w:fldChar w:fldCharType="begin"/>
            </w:r>
            <w:r>
              <w:rPr>
                <w:webHidden/>
              </w:rPr>
              <w:instrText xml:space="preserve">PAGEREF _Toc54643467 \h</w:instrText>
            </w:r>
            <w:r>
              <w:rPr>
                <w:webHidden/>
              </w:rPr>
              <w:fldChar w:fldCharType="separate"/>
            </w:r>
            <w:r>
              <w:rPr>
                <w:rStyle w:val="Style16"/>
                <w:rFonts w:cs="Times New Roman"/>
                <w:sz w:val="24"/>
                <w:szCs w:val="24"/>
              </w:rPr>
              <w:tab/>
            </w:r>
            <w:r>
              <w:rPr>
                <w:webHidden/>
              </w:rPr>
              <w:fldChar w:fldCharType="end"/>
            </w:r>
          </w:hyperlink>
          <w:r>
            <w:rPr>
              <w:rFonts w:cs="Times New Roman"/>
              <w:sz w:val="24"/>
              <w:szCs w:val="24"/>
            </w:rPr>
            <w:t>5</w:t>
          </w:r>
        </w:p>
        <w:p>
          <w:pPr>
            <w:pStyle w:val="TOC1"/>
            <w:spacing w:before="0" w:after="0"/>
            <w:rPr/>
          </w:pPr>
          <w:hyperlink w:anchor="_Toc54643468">
            <w:r>
              <w:rPr>
                <w:rStyle w:val="Style16"/>
                <w:rFonts w:cs="Times New Roman"/>
              </w:rPr>
              <w:t>Таблица 4. Требования к качеству услуг</w:t>
            </w:r>
          </w:hyperlink>
          <w:hyperlink w:anchor="_Toc54643468">
            <w:r>
              <w:rPr>
                <w:webHidden/>
              </w:rPr>
              <w:fldChar w:fldCharType="begin"/>
            </w:r>
            <w:r>
              <w:rPr>
                <w:webHidden/>
              </w:rPr>
              <w:instrText xml:space="preserve">PAGEREF _Toc54643468 \h</w:instrText>
            </w:r>
            <w:r>
              <w:rPr>
                <w:webHidden/>
              </w:rPr>
              <w:fldChar w:fldCharType="separate"/>
            </w:r>
            <w:r>
              <w:rPr>
                <w:rStyle w:val="Style16"/>
                <w:rFonts w:cs="Times New Roman"/>
              </w:rPr>
              <w:tab/>
            </w:r>
            <w:r>
              <w:rPr>
                <w:webHidden/>
              </w:rPr>
              <w:fldChar w:fldCharType="end"/>
            </w:r>
          </w:hyperlink>
          <w:r>
            <w:rPr>
              <w:rFonts w:cs="Times New Roman"/>
            </w:rPr>
            <w:t>5</w:t>
          </w:r>
        </w:p>
        <w:p>
          <w:pPr>
            <w:pStyle w:val="TOC1"/>
            <w:spacing w:before="0" w:after="0"/>
            <w:rPr/>
          </w:pPr>
          <w:hyperlink w:anchor="_Toc54643470">
            <w:r>
              <w:rPr>
                <w:rStyle w:val="Style16"/>
                <w:rFonts w:cs="Times New Roman"/>
              </w:rPr>
              <w:t>3.</w:t>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b w:val="false"/>
                <w:bCs w:val="false"/>
                <w:iCs w:val="false"/>
              </w:rPr>
              <w:tab/>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Требования к документации по ценообразованию на этапе заключения (исполнения) договора</w:t>
            </w:r>
            <w:r>
              <w:rPr>
                <w:webHidden/>
              </w:rPr>
              <w:fldChar w:fldCharType="end"/>
            </w:r>
          </w:hyperlink>
          <w:hyperlink w:anchor="_Toc54643470">
            <w:r>
              <w:rPr>
                <w:webHidden/>
              </w:rPr>
              <w:fldChar w:fldCharType="begin"/>
            </w:r>
            <w:r>
              <w:rPr>
                <w:webHidden/>
              </w:rPr>
              <w:instrText xml:space="preserve">PAGEREF _Toc54643470 \h</w:instrText>
            </w:r>
            <w:r>
              <w:rPr>
                <w:webHidden/>
              </w:rPr>
              <w:fldChar w:fldCharType="separate"/>
            </w:r>
            <w:r>
              <w:rPr>
                <w:rStyle w:val="Style16"/>
                <w:rFonts w:cs="Times New Roman"/>
              </w:rPr>
              <w:tab/>
              <w:t>1</w:t>
            </w:r>
            <w:r>
              <w:rPr>
                <w:webHidden/>
              </w:rPr>
              <w:fldChar w:fldCharType="end"/>
            </w:r>
          </w:hyperlink>
          <w:r>
            <w:rPr>
              <w:rFonts w:cs="Times New Roman"/>
            </w:rPr>
            <w:t>1</w:t>
          </w:r>
        </w:p>
        <w:p>
          <w:pPr>
            <w:pStyle w:val="TOC1"/>
            <w:spacing w:before="0" w:after="0"/>
            <w:rPr/>
          </w:pPr>
          <w:hyperlink w:anchor="_Toc54643471">
            <w:r>
              <w:rPr>
                <w:rStyle w:val="Style16"/>
                <w:rFonts w:cs="Times New Roman"/>
              </w:rPr>
              <w:t>4.</w:t>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b w:val="false"/>
                <w:bCs w:val="false"/>
                <w:iCs w:val="false"/>
              </w:rPr>
              <w:tab/>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Приложения</w:t>
            </w:r>
            <w:r>
              <w:rPr>
                <w:webHidden/>
              </w:rPr>
              <w:fldChar w:fldCharType="end"/>
            </w:r>
          </w:hyperlink>
          <w:hyperlink w:anchor="_Toc54643471">
            <w:r>
              <w:rPr>
                <w:webHidden/>
              </w:rPr>
              <w:fldChar w:fldCharType="begin"/>
            </w:r>
            <w:r>
              <w:rPr>
                <w:webHidden/>
              </w:rPr>
              <w:instrText xml:space="preserve">PAGEREF _Toc54643471 \h</w:instrText>
            </w:r>
            <w:r>
              <w:rPr>
                <w:webHidden/>
              </w:rPr>
              <w:fldChar w:fldCharType="separate"/>
            </w:r>
            <w:r>
              <w:rPr>
                <w:rStyle w:val="Style16"/>
                <w:rFonts w:cs="Times New Roman"/>
              </w:rPr>
              <w:tab/>
              <w:t>1</w:t>
            </w:r>
            <w:r>
              <w:rPr>
                <w:webHidden/>
              </w:rPr>
              <w:fldChar w:fldCharType="end"/>
            </w:r>
          </w:hyperlink>
          <w:r>
            <w:rPr>
              <w:rFonts w:cs="Times New Roman"/>
            </w:rPr>
            <w:t>1</w:t>
          </w:r>
          <w:r>
            <w:rPr>
              <w:rFonts w:cs="Times New Roman"/>
            </w:rPr>
            <w:fldChar w:fldCharType="end"/>
          </w:r>
        </w:p>
      </w:sdtContent>
    </w:sdt>
    <w:p>
      <w:pPr>
        <w:pStyle w:val="Normal"/>
        <w:keepNext w:val="true"/>
        <w:keepLines/>
        <w:jc w:val="both"/>
        <w:rPr>
          <w:rFonts w:eastAsia="Calibri"/>
        </w:rPr>
      </w:pPr>
      <w:r>
        <w:rPr>
          <w:rFonts w:eastAsia="Calibri"/>
        </w:rPr>
        <w:t xml:space="preserve"> </w:t>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r>
    </w:p>
    <w:p>
      <w:pPr>
        <w:pStyle w:val="ListParagraph"/>
        <w:widowControl w:val="false"/>
        <w:spacing w:lineRule="auto" w:line="240" w:before="0" w:after="0"/>
        <w:ind w:left="862" w:hanging="720"/>
        <w:contextualSpacing/>
        <w:jc w:val="center"/>
        <w:rPr>
          <w:rFonts w:ascii="Times New Roman" w:hAnsi="Times New Roman"/>
          <w:b/>
          <w:sz w:val="24"/>
          <w:szCs w:val="24"/>
        </w:rPr>
      </w:pPr>
      <w:r>
        <w:rPr>
          <w:rFonts w:ascii="Times New Roman" w:hAnsi="Times New Roman"/>
          <w:b/>
          <w:sz w:val="24"/>
          <w:szCs w:val="24"/>
        </w:rPr>
        <w:t>1. Общие сведения.</w:t>
      </w:r>
    </w:p>
    <w:p>
      <w:pPr>
        <w:pStyle w:val="Normal"/>
        <w:ind w:left="142" w:hanging="0"/>
        <w:jc w:val="both"/>
        <w:rPr>
          <w:b/>
        </w:rPr>
      </w:pPr>
      <w:r>
        <w:rPr>
          <w:b/>
        </w:rPr>
        <w:t>1.1. Наименование закупаемых услуг.</w:t>
      </w:r>
    </w:p>
    <w:p>
      <w:pPr>
        <w:pStyle w:val="Normal"/>
        <w:tabs>
          <w:tab w:val="clear" w:pos="709"/>
          <w:tab w:val="left" w:pos="0" w:leader="none"/>
        </w:tabs>
        <w:jc w:val="both"/>
        <w:rPr/>
      </w:pPr>
      <w:r>
        <w:rPr>
          <w:rFonts w:eastAsia="Calibri"/>
          <w:lang w:eastAsia="en-US"/>
        </w:rPr>
        <w:t xml:space="preserve">ОКПД2 33.12.2.001 - </w:t>
      </w:r>
      <w:r>
        <w:rPr>
          <w:rFonts w:eastAsia="Calibri"/>
          <w:color w:val="000000"/>
          <w:lang w:eastAsia="en-US"/>
        </w:rPr>
        <w:t>Услуги по охране и  антитеррористической защищенности складской инфраструктуры</w:t>
      </w:r>
      <w:r>
        <w:rPr>
          <w:rFonts w:eastAsia="Calibri"/>
          <w:i/>
          <w:color w:val="000000"/>
          <w:sz w:val="22"/>
          <w:szCs w:val="22"/>
          <w:lang w:eastAsia="en-US"/>
        </w:rPr>
        <w:t xml:space="preserve"> </w:t>
      </w:r>
      <w:r>
        <w:rPr>
          <w:rFonts w:eastAsia="Calibri"/>
          <w:lang w:eastAsia="en-US"/>
        </w:rPr>
        <w:t xml:space="preserve">филиала ПАО «РусГидро»-«Северо-Осетинский филиал» </w:t>
      </w:r>
      <w:r>
        <w:rPr>
          <w:rFonts w:eastAsia="Calibri"/>
          <w:bCs/>
          <w:lang w:eastAsia="en-US"/>
        </w:rPr>
        <w:t>(далее – услуга)</w:t>
      </w:r>
      <w:r>
        <w:rPr>
          <w:rFonts w:eastAsia="Calibri"/>
          <w:lang w:eastAsia="en-US"/>
        </w:rPr>
        <w:t>.</w:t>
      </w:r>
    </w:p>
    <w:p>
      <w:pPr>
        <w:pStyle w:val="Normal"/>
        <w:jc w:val="both"/>
        <w:rPr/>
      </w:pPr>
      <w:r>
        <w:rPr/>
      </w:r>
    </w:p>
    <w:p>
      <w:pPr>
        <w:pStyle w:val="Normal"/>
        <w:ind w:left="142" w:hanging="0"/>
        <w:jc w:val="both"/>
        <w:rPr/>
      </w:pPr>
      <w:r>
        <w:rPr/>
      </w:r>
    </w:p>
    <w:p>
      <w:pPr>
        <w:pStyle w:val="Normal"/>
        <w:ind w:left="142" w:hanging="0"/>
        <w:jc w:val="both"/>
        <w:rPr>
          <w:b/>
        </w:rPr>
      </w:pPr>
      <w:r>
        <w:rPr>
          <w:b/>
        </w:rPr>
        <w:t>1.2. Цель оказания услуг.</w:t>
      </w:r>
    </w:p>
    <w:p>
      <w:pPr>
        <w:pStyle w:val="Normal"/>
        <w:ind w:left="142" w:hanging="0"/>
        <w:jc w:val="both"/>
        <w:rPr>
          <w:b/>
        </w:rPr>
      </w:pPr>
      <w:r>
        <w:rPr>
          <w:b/>
        </w:rPr>
      </w:r>
    </w:p>
    <w:p>
      <w:pPr>
        <w:pStyle w:val="Normal"/>
        <w:jc w:val="both"/>
        <w:rPr/>
      </w:pPr>
      <w:r>
        <w:rPr/>
        <w:t>1.2.1. Целью услуги является о</w:t>
      </w:r>
      <w:r>
        <w:rPr>
          <w:rFonts w:eastAsia="Calibri"/>
          <w:lang w:eastAsia="en-US"/>
        </w:rPr>
        <w:t xml:space="preserve">беспечение безопасности </w:t>
      </w:r>
      <w:r>
        <w:rPr>
          <w:rFonts w:eastAsia="Calibri"/>
          <w:color w:val="000000"/>
          <w:lang w:eastAsia="en-US"/>
        </w:rPr>
        <w:t>складской инфраструктуры (производственной базы)</w:t>
      </w:r>
      <w:r>
        <w:rPr>
          <w:rFonts w:eastAsia="Calibri"/>
          <w:lang w:eastAsia="en-US"/>
        </w:rPr>
        <w:t>,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spacing w:before="120" w:after="0"/>
        <w:jc w:val="both"/>
        <w:rPr/>
      </w:pPr>
      <w:r>
        <w:rPr>
          <w:rFonts w:eastAsia="Calibri"/>
          <w:lang w:eastAsia="en-US"/>
        </w:rPr>
        <w:t>1.2.2. Задачи оказания услуг.</w:t>
      </w:r>
    </w:p>
    <w:p>
      <w:pPr>
        <w:pStyle w:val="Normal"/>
        <w:ind w:firstLine="709"/>
        <w:jc w:val="both"/>
        <w:rPr/>
      </w:pPr>
      <w:r>
        <w:rPr>
          <w:rFonts w:eastAsia="Calibri"/>
          <w:lang w:eastAsia="en-US"/>
        </w:rPr>
        <w:t xml:space="preserve">Исключение на территории </w:t>
      </w:r>
      <w:r>
        <w:rPr>
          <w:rFonts w:eastAsia="Calibri"/>
          <w:color w:val="000000"/>
          <w:lang w:eastAsia="en-US"/>
        </w:rPr>
        <w:t>складской инфраструктуры (производственной базы)</w:t>
      </w:r>
      <w:r>
        <w:rPr>
          <w:rFonts w:eastAsia="Calibri"/>
          <w:lang w:eastAsia="en-US"/>
        </w:rPr>
        <w:t xml:space="preserve"> противоправных посягательств, преступлений и административных правонарушений, хищений материальных ценностей, обеспечение физической защиты работников Филиала, подрядных организаций, посетителей охраняемого объекта, сохранности материальных ценностей, защиты вверенного под охрану объекта, а также совместное взаимодействие с правоохранительными и государственными структурами по защите объекта.</w:t>
      </w:r>
    </w:p>
    <w:p>
      <w:pPr>
        <w:pStyle w:val="Normal"/>
        <w:ind w:firstLine="709"/>
        <w:jc w:val="both"/>
        <w:rPr>
          <w:rFonts w:eastAsia="Calibri"/>
          <w:lang w:eastAsia="en-US"/>
        </w:rPr>
      </w:pPr>
      <w:r>
        <w:rPr>
          <w:rFonts w:eastAsia="Calibri"/>
          <w:lang w:eastAsia="en-US"/>
        </w:rPr>
        <w:t>Исключение проникновения посторонних лиц на вверенный под охрану объект Филиала.</w:t>
      </w:r>
    </w:p>
    <w:p>
      <w:pPr>
        <w:pStyle w:val="Normal"/>
        <w:ind w:firstLine="709"/>
        <w:jc w:val="both"/>
        <w:rPr>
          <w:rFonts w:eastAsia="Calibri"/>
          <w:lang w:eastAsia="en-US"/>
        </w:rPr>
      </w:pPr>
      <w:r>
        <w:rPr>
          <w:rFonts w:eastAsia="Calibri"/>
          <w:lang w:eastAsia="en-US"/>
        </w:rPr>
        <w:t>Контроль за соблюдением противопожарного режима на вверенный под охрану объект.</w:t>
      </w:r>
    </w:p>
    <w:p>
      <w:pPr>
        <w:pStyle w:val="Normal"/>
        <w:jc w:val="both"/>
        <w:rPr>
          <w:rFonts w:eastAsia="Calibri"/>
          <w:lang w:eastAsia="en-US"/>
        </w:rPr>
      </w:pPr>
      <w:r>
        <w:rPr>
          <w:rFonts w:eastAsia="Calibri"/>
          <w:lang w:eastAsia="en-US"/>
        </w:rPr>
        <w:tab/>
        <w:t>Участие в ликвидации последствий аварий, катастроф, стихийных бедствий и других чрезвычайных ситуациях на охраняемом объекте.</w:t>
      </w:r>
    </w:p>
    <w:p>
      <w:pPr>
        <w:pStyle w:val="Normal"/>
        <w:ind w:firstLine="709"/>
        <w:jc w:val="both"/>
        <w:rPr>
          <w:rFonts w:eastAsia="Calibri"/>
          <w:lang w:eastAsia="en-US"/>
        </w:rPr>
      </w:pPr>
      <w:r>
        <w:rPr>
          <w:rFonts w:eastAsia="Calibri"/>
          <w:lang w:eastAsia="en-US"/>
        </w:rPr>
        <w:t xml:space="preserve">Обеспечение безопасности </w:t>
      </w:r>
      <w:r>
        <w:rPr>
          <w:rFonts w:eastAsia="Calibri"/>
          <w:color w:val="000000"/>
          <w:lang w:eastAsia="en-US"/>
        </w:rPr>
        <w:t>складской инфраструктуры (производственной базы)</w:t>
      </w:r>
      <w:r>
        <w:rPr>
          <w:rFonts w:eastAsia="Calibri"/>
          <w:lang w:eastAsia="en-US"/>
        </w:rPr>
        <w:t>, подрядных организаций, граждан, посещающих охраняемый объект Филиала от противоправных посягательств, обеспечение на охраняемом объекте пропускного и внутриобъектового режимов, предупреждение и пресечение преступлений и административных правонарушений, охрана материальных ценностей, документов и иного имущества в соответствии с законодательством РФ и требованиями локальных нормативных актов, инструкций и положений, утвержденных приказами Заказчика.</w:t>
      </w:r>
    </w:p>
    <w:p>
      <w:pPr>
        <w:pStyle w:val="Normal"/>
        <w:ind w:firstLine="709"/>
        <w:jc w:val="both"/>
        <w:rPr>
          <w:b/>
        </w:rPr>
      </w:pPr>
      <w:r>
        <w:rPr>
          <w:b/>
        </w:rPr>
      </w:r>
    </w:p>
    <w:p>
      <w:pPr>
        <w:pStyle w:val="Normal"/>
        <w:ind w:firstLine="142"/>
        <w:jc w:val="both"/>
        <w:rPr>
          <w:b/>
        </w:rPr>
      </w:pPr>
      <w:r>
        <w:rPr>
          <w:b/>
        </w:rPr>
        <w:t xml:space="preserve">1.3. Существующее положение. </w:t>
      </w:r>
    </w:p>
    <w:p>
      <w:pPr>
        <w:pStyle w:val="Normal"/>
        <w:jc w:val="both"/>
        <w:rPr/>
      </w:pPr>
      <w:r>
        <w:rPr/>
      </w:r>
    </w:p>
    <w:p>
      <w:pPr>
        <w:pStyle w:val="Normal"/>
        <w:tabs>
          <w:tab w:val="clear" w:pos="709"/>
          <w:tab w:val="left" w:pos="142" w:leader="none"/>
          <w:tab w:val="left" w:pos="6998" w:leader="none"/>
          <w:tab w:val="left" w:pos="8904" w:leader="none"/>
          <w:tab w:val="left" w:pos="10925" w:leader="dot"/>
        </w:tabs>
        <w:jc w:val="both"/>
        <w:rPr/>
      </w:pPr>
      <w:r>
        <w:rPr>
          <w:rFonts w:eastAsia="Calibri"/>
          <w:bCs/>
        </w:rPr>
        <w:t xml:space="preserve">1.3.1. </w:t>
      </w:r>
      <w:r>
        <w:rPr>
          <w:rFonts w:eastAsia="Calibri"/>
          <w:bCs/>
          <w:lang w:eastAsia="en-US"/>
        </w:rPr>
        <w:t xml:space="preserve">Объект производственной базы, подлежащий охране, расположен по адресу: Республика Северная Осетия – Алания, Алагирский район, Северо-Западная окраина г. Алагир и размещены на трех отдельно расположенных территориях (территория №1, территория №2), каждая из которых огорожена забором смешанного типа. </w:t>
      </w:r>
    </w:p>
    <w:p>
      <w:pPr>
        <w:pStyle w:val="Normal"/>
        <w:ind w:firstLine="709"/>
        <w:jc w:val="both"/>
        <w:rPr/>
      </w:pPr>
      <w:r>
        <w:rPr>
          <w:rFonts w:eastAsia="Calibri"/>
          <w:lang w:eastAsia="en-US"/>
        </w:rPr>
        <w:t>На территории № 1 производственной базы расположены: здание административно-складского помещения, теплый склад с рампой МТС, навес металлический №1, навес металлический №2, открытая площадка для хранения оборудования и материалов. Общая численность работающих на территории до 10 человек.</w:t>
      </w:r>
      <w:r>
        <w:rPr>
          <w:rFonts w:eastAsia="Calibri"/>
          <w:bCs/>
          <w:lang w:eastAsia="en-US"/>
        </w:rPr>
        <w:t xml:space="preserve"> Допуск на территорию осуществляется через ворота. Территория системой контроля и управления доступом - не оборудован. Территория оборудована системой видеонаблюдения с выводом изображения в помещение охраны.</w:t>
      </w:r>
    </w:p>
    <w:p>
      <w:pPr>
        <w:pStyle w:val="Normal"/>
        <w:ind w:firstLine="709"/>
        <w:jc w:val="both"/>
        <w:rPr/>
      </w:pPr>
      <w:r>
        <w:rPr>
          <w:rFonts w:eastAsia="Calibri"/>
          <w:lang w:eastAsia="en-US"/>
        </w:rPr>
        <w:t>На территории № 2 производственной базы расположены: здания складских помещений СГЭМ, здание сварочного цеха СГЭМ. Общая численность работающих на территории до 10 человек.</w:t>
      </w:r>
      <w:r>
        <w:rPr>
          <w:rFonts w:eastAsia="Calibri"/>
          <w:bCs/>
          <w:lang w:eastAsia="en-US"/>
        </w:rPr>
        <w:t xml:space="preserve"> Допуск на территорию осуществляется через ворота. Территория системой контроля и управления доступом - не оборудован. Территория оборудована системой видеонаблюдения с выводом изображения в помещение охраны.</w:t>
      </w:r>
    </w:p>
    <w:p>
      <w:pPr>
        <w:pStyle w:val="Normal"/>
        <w:tabs>
          <w:tab w:val="clear" w:pos="709"/>
          <w:tab w:val="left" w:pos="142" w:leader="none"/>
          <w:tab w:val="left" w:pos="6998" w:leader="none"/>
          <w:tab w:val="left" w:pos="8904" w:leader="none"/>
          <w:tab w:val="left" w:pos="10925" w:leader="dot"/>
        </w:tabs>
        <w:jc w:val="both"/>
        <w:rPr/>
      </w:pPr>
      <w:r>
        <w:rPr>
          <w:rFonts w:eastAsia="Calibri"/>
          <w:bCs/>
          <w:lang w:eastAsia="en-US"/>
        </w:rPr>
        <w:t xml:space="preserve">Объект </w:t>
      </w:r>
      <w:r>
        <w:rPr>
          <w:rFonts w:eastAsia="Calibri"/>
          <w:color w:val="000000"/>
          <w:lang w:eastAsia="en-US"/>
        </w:rPr>
        <w:t>складской инфраструктуры (производственной базы)</w:t>
      </w:r>
      <w:r>
        <w:rPr>
          <w:rFonts w:eastAsia="Calibri"/>
          <w:bCs/>
          <w:lang w:eastAsia="en-US"/>
        </w:rPr>
        <w:t xml:space="preserve"> не имеет категории опасности. </w:t>
      </w:r>
    </w:p>
    <w:p>
      <w:pPr>
        <w:pStyle w:val="Normal"/>
        <w:tabs>
          <w:tab w:val="clear" w:pos="709"/>
          <w:tab w:val="left" w:pos="142" w:leader="none"/>
          <w:tab w:val="left" w:pos="6998" w:leader="none"/>
          <w:tab w:val="left" w:pos="8904" w:leader="none"/>
          <w:tab w:val="left" w:pos="10925" w:leader="dot"/>
        </w:tabs>
        <w:jc w:val="both"/>
        <w:rPr>
          <w:rFonts w:eastAsia="Calibri"/>
          <w:bCs/>
          <w:sz w:val="10"/>
          <w:szCs w:val="10"/>
        </w:rPr>
      </w:pPr>
      <w:r>
        <w:rPr>
          <w:rFonts w:eastAsia="Calibri"/>
          <w:bCs/>
          <w:sz w:val="10"/>
          <w:szCs w:val="10"/>
        </w:rPr>
      </w:r>
    </w:p>
    <w:p>
      <w:pPr>
        <w:pStyle w:val="Normal"/>
        <w:tabs>
          <w:tab w:val="clear" w:pos="709"/>
          <w:tab w:val="left" w:pos="142" w:leader="none"/>
          <w:tab w:val="left" w:pos="6998" w:leader="none"/>
          <w:tab w:val="left" w:pos="8904" w:leader="none"/>
          <w:tab w:val="left" w:pos="10925" w:leader="dot"/>
        </w:tabs>
        <w:jc w:val="both"/>
        <w:rPr>
          <w:rFonts w:eastAsia="Calibri"/>
          <w:b/>
          <w:bCs/>
        </w:rPr>
      </w:pPr>
      <w:r>
        <w:rPr>
          <w:rFonts w:eastAsia="Calibri"/>
          <w:b/>
          <w:bCs/>
        </w:rPr>
        <w:t>Таблица 1. Перечень объектов заказчика.</w:t>
      </w:r>
    </w:p>
    <w:tbl>
      <w:tblPr>
        <w:tblW w:w="991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0"/>
        <w:gridCol w:w="2203"/>
        <w:gridCol w:w="2244"/>
        <w:gridCol w:w="3198"/>
        <w:gridCol w:w="1708"/>
      </w:tblGrid>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w:t>
            </w:r>
          </w:p>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п/п</w:t>
            </w:r>
          </w:p>
        </w:tc>
        <w:tc>
          <w:tcPr>
            <w:tcW w:w="22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объекта</w:t>
            </w:r>
          </w:p>
        </w:tc>
        <w:tc>
          <w:tcPr>
            <w:tcW w:w="22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Расположение объекта</w:t>
            </w:r>
          </w:p>
        </w:tc>
        <w:tc>
          <w:tcPr>
            <w:tcW w:w="31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Наименование основного средства</w:t>
            </w:r>
          </w:p>
        </w:tc>
        <w:tc>
          <w:tcPr>
            <w:tcW w:w="1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t>Примечание</w:t>
            </w:r>
          </w:p>
        </w:tc>
      </w:tr>
      <w:tr>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pPr>
            <w:r>
              <w:rPr>
                <w:rFonts w:eastAsia="Calibri"/>
                <w:bCs/>
              </w:rPr>
              <w:t>1.</w:t>
            </w:r>
          </w:p>
        </w:tc>
        <w:tc>
          <w:tcPr>
            <w:tcW w:w="22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both"/>
              <w:rPr>
                <w:rFonts w:eastAsia="Calibri"/>
                <w:lang w:eastAsia="en-US"/>
              </w:rPr>
            </w:pPr>
            <w:r>
              <w:rPr>
                <w:rFonts w:eastAsia="Calibri"/>
                <w:iCs/>
                <w:color w:val="000000"/>
                <w:lang w:eastAsia="en-US"/>
              </w:rPr>
              <w:t>Объект складской инфраструктуры (производственной базы)</w:t>
            </w:r>
          </w:p>
        </w:tc>
        <w:tc>
          <w:tcPr>
            <w:tcW w:w="224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6998" w:leader="none"/>
                <w:tab w:val="left" w:pos="8904" w:leader="none"/>
                <w:tab w:val="left" w:pos="10925" w:leader="dot"/>
              </w:tabs>
              <w:jc w:val="both"/>
              <w:rPr>
                <w:iCs/>
              </w:rPr>
            </w:pPr>
            <w:r>
              <w:rPr>
                <w:rFonts w:eastAsia="Calibri"/>
                <w:bCs/>
                <w:iCs/>
                <w:lang w:eastAsia="en-US"/>
              </w:rPr>
              <w:t>Республика Северная Осетия – Алания, Алагирский район, Северо-Западная окраина г. Алагир</w:t>
            </w:r>
          </w:p>
        </w:tc>
        <w:tc>
          <w:tcPr>
            <w:tcW w:w="31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both"/>
              <w:rPr/>
            </w:pPr>
            <w:r>
              <w:rPr>
                <w:rFonts w:eastAsia="Calibri"/>
                <w:iCs/>
                <w:lang w:eastAsia="en-US"/>
              </w:rPr>
              <w:t>здание административно-складского помещения, теплый склад с рампой МТС, навес металлический №1, навес металлический №2, открытая площадка для хранения оборудования и материалов, здания складских помещений СГЭМ, здание сварочного цеха СГЭМ.</w:t>
            </w:r>
          </w:p>
        </w:tc>
        <w:tc>
          <w:tcPr>
            <w:tcW w:w="1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42" w:leader="none"/>
                <w:tab w:val="left" w:pos="6998" w:leader="none"/>
                <w:tab w:val="left" w:pos="8904" w:leader="none"/>
                <w:tab w:val="left" w:pos="10925" w:leader="dot"/>
              </w:tabs>
              <w:jc w:val="center"/>
              <w:rPr>
                <w:rFonts w:eastAsia="Calibri"/>
                <w:b/>
                <w:bCs/>
              </w:rPr>
            </w:pPr>
            <w:r>
              <w:rPr>
                <w:rFonts w:eastAsia="Calibri"/>
                <w:b/>
                <w:bCs/>
              </w:rPr>
            </w:r>
          </w:p>
        </w:tc>
      </w:tr>
    </w:tbl>
    <w:p>
      <w:pPr>
        <w:pStyle w:val="Normal"/>
        <w:tabs>
          <w:tab w:val="clear" w:pos="709"/>
          <w:tab w:val="left" w:pos="360" w:leader="none"/>
        </w:tabs>
        <w:jc w:val="both"/>
        <w:rPr>
          <w:sz w:val="10"/>
          <w:szCs w:val="10"/>
        </w:rPr>
      </w:pPr>
      <w:r>
        <w:rPr>
          <w:sz w:val="10"/>
          <w:szCs w:val="10"/>
        </w:rPr>
      </w:r>
    </w:p>
    <w:p>
      <w:pPr>
        <w:pStyle w:val="Normal"/>
        <w:tabs>
          <w:tab w:val="clear" w:pos="709"/>
          <w:tab w:val="left" w:pos="360" w:leader="none"/>
        </w:tabs>
        <w:jc w:val="both"/>
        <w:rPr>
          <w:sz w:val="10"/>
          <w:szCs w:val="10"/>
        </w:rPr>
      </w:pPr>
      <w:r>
        <w:rPr>
          <w:sz w:val="10"/>
          <w:szCs w:val="10"/>
        </w:rPr>
      </w:r>
    </w:p>
    <w:p>
      <w:pPr>
        <w:pStyle w:val="Normal"/>
        <w:tabs>
          <w:tab w:val="clear" w:pos="709"/>
          <w:tab w:val="left" w:pos="360" w:leader="none"/>
        </w:tabs>
        <w:jc w:val="both"/>
        <w:rPr>
          <w:sz w:val="10"/>
          <w:szCs w:val="10"/>
        </w:rPr>
      </w:pPr>
      <w:r>
        <w:rPr>
          <w:sz w:val="10"/>
          <w:szCs w:val="10"/>
        </w:rPr>
      </w:r>
    </w:p>
    <w:p>
      <w:pPr>
        <w:pStyle w:val="Normal"/>
        <w:tabs>
          <w:tab w:val="clear" w:pos="709"/>
          <w:tab w:val="left" w:pos="360" w:leader="none"/>
        </w:tabs>
        <w:jc w:val="both"/>
        <w:rPr>
          <w:sz w:val="10"/>
          <w:szCs w:val="10"/>
        </w:rPr>
      </w:pPr>
      <w:r>
        <w:rPr>
          <w:sz w:val="10"/>
          <w:szCs w:val="10"/>
        </w:rPr>
      </w:r>
    </w:p>
    <w:p>
      <w:pPr>
        <w:pStyle w:val="Normal"/>
        <w:tabs>
          <w:tab w:val="clear" w:pos="709"/>
          <w:tab w:val="left" w:pos="360" w:leader="none"/>
        </w:tabs>
        <w:jc w:val="both"/>
        <w:rPr>
          <w:sz w:val="10"/>
          <w:szCs w:val="10"/>
        </w:rPr>
      </w:pPr>
      <w:r>
        <w:rPr>
          <w:sz w:val="10"/>
          <w:szCs w:val="10"/>
        </w:rPr>
      </w:r>
    </w:p>
    <w:p>
      <w:pPr>
        <w:pStyle w:val="Normal"/>
        <w:tabs>
          <w:tab w:val="clear" w:pos="709"/>
          <w:tab w:val="left" w:pos="360" w:leader="none"/>
        </w:tabs>
        <w:jc w:val="both"/>
        <w:rPr>
          <w:sz w:val="10"/>
          <w:szCs w:val="10"/>
        </w:rPr>
      </w:pPr>
      <w:r>
        <w:rPr>
          <w:sz w:val="10"/>
          <w:szCs w:val="10"/>
        </w:rPr>
      </w:r>
    </w:p>
    <w:p>
      <w:pPr>
        <w:pStyle w:val="Normal"/>
        <w:ind w:firstLine="142"/>
        <w:jc w:val="both"/>
        <w:rPr>
          <w:b/>
        </w:rPr>
      </w:pPr>
      <w:r>
        <w:rPr>
          <w:b/>
        </w:rPr>
        <w:t>1.4. Иные требования и сведения общего характера</w:t>
      </w:r>
    </w:p>
    <w:p>
      <w:pPr>
        <w:pStyle w:val="Normal"/>
        <w:jc w:val="both"/>
        <w:rPr>
          <w:b/>
        </w:rPr>
      </w:pPr>
      <w:r>
        <w:rPr>
          <w:b/>
        </w:rPr>
      </w:r>
    </w:p>
    <w:p>
      <w:pPr>
        <w:pStyle w:val="Normal"/>
        <w:jc w:val="both"/>
        <w:rPr/>
      </w:pPr>
      <w:r>
        <w:rPr>
          <w:rFonts w:eastAsia="Calibri"/>
        </w:rPr>
        <w:t>1.4.1. Любая информация, полученная в ходе ознакомления с объектом и документацией, а также в ходе выполнения работ, к которой относятся все сведения о производственных активах Заказчика, содержании его Производственных программ, производственных и бизнес-процессов, является собственностью Заказчика и не может передаваться третьим лицам, использоваться в своих целях, распространяться или тиражироваться любыми способами без письменного разрешения Заказчика.</w:t>
      </w:r>
    </w:p>
    <w:p>
      <w:pPr>
        <w:pStyle w:val="Normal"/>
        <w:jc w:val="both"/>
        <w:rPr>
          <w:sz w:val="10"/>
          <w:szCs w:val="10"/>
        </w:rPr>
      </w:pPr>
      <w:r>
        <w:rPr>
          <w:sz w:val="10"/>
          <w:szCs w:val="10"/>
        </w:rPr>
      </w:r>
    </w:p>
    <w:p>
      <w:pPr>
        <w:pStyle w:val="ListParagraph"/>
        <w:numPr>
          <w:ilvl w:val="0"/>
          <w:numId w:val="6"/>
        </w:numPr>
        <w:spacing w:lineRule="auto" w:line="240" w:before="0" w:after="0"/>
        <w:contextualSpacing/>
        <w:jc w:val="center"/>
        <w:rPr>
          <w:rFonts w:ascii="Times New Roman" w:hAnsi="Times New Roman"/>
          <w:b/>
          <w:sz w:val="24"/>
          <w:szCs w:val="24"/>
        </w:rPr>
      </w:pPr>
      <w:r>
        <w:rPr>
          <w:rFonts w:ascii="Times New Roman" w:hAnsi="Times New Roman"/>
          <w:b/>
          <w:sz w:val="24"/>
          <w:szCs w:val="24"/>
        </w:rPr>
        <w:t>Требования к продукции</w:t>
      </w:r>
    </w:p>
    <w:p>
      <w:pPr>
        <w:pStyle w:val="Normal"/>
        <w:ind w:firstLine="142"/>
        <w:rPr>
          <w:b/>
        </w:rPr>
      </w:pPr>
      <w:r>
        <w:rPr>
          <w:b/>
        </w:rPr>
        <w:t>2.1. Требования к объемам и срокам оказания услуг</w:t>
      </w:r>
    </w:p>
    <w:p>
      <w:pPr>
        <w:pStyle w:val="Normal"/>
        <w:rPr>
          <w:b/>
        </w:rPr>
      </w:pPr>
      <w:r>
        <w:rPr>
          <w:b/>
        </w:rPr>
        <w:t xml:space="preserve">        </w:t>
      </w:r>
      <w:r>
        <w:rPr>
          <w:b/>
        </w:rPr>
        <w:t>2.1.1. Требования к перечню и объему услуг</w:t>
      </w:r>
    </w:p>
    <w:p>
      <w:pPr>
        <w:pStyle w:val="Normal"/>
        <w:rPr>
          <w:b/>
        </w:rPr>
      </w:pPr>
      <w:r>
        <w:rPr>
          <w:b/>
        </w:rPr>
      </w:r>
    </w:p>
    <w:p>
      <w:pPr>
        <w:pStyle w:val="Normal"/>
        <w:rPr>
          <w:b/>
        </w:rPr>
      </w:pPr>
      <w:r>
        <w:rPr>
          <w:b/>
        </w:rPr>
        <w:t>Таблица 2. Перечень и объем оказываемых услуг</w:t>
      </w:r>
    </w:p>
    <w:p>
      <w:pPr>
        <w:pStyle w:val="Normal"/>
        <w:rPr>
          <w:b/>
        </w:rPr>
      </w:pPr>
      <w:r>
        <w:rPr>
          <w:b/>
        </w:rPr>
      </w:r>
    </w:p>
    <w:tbl>
      <w:tblPr>
        <w:tblW w:w="962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67"/>
        <w:gridCol w:w="5717"/>
        <w:gridCol w:w="1671"/>
        <w:gridCol w:w="1569"/>
      </w:tblGrid>
      <w:tr>
        <w:trPr/>
        <w:tc>
          <w:tcPr>
            <w:tcW w:w="6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w:t>
            </w:r>
          </w:p>
          <w:p>
            <w:pPr>
              <w:pStyle w:val="Normal"/>
              <w:widowControl w:val="false"/>
              <w:jc w:val="center"/>
              <w:rPr>
                <w:b/>
              </w:rPr>
            </w:pPr>
            <w:r>
              <w:rPr>
                <w:b/>
              </w:rPr>
              <w:t>п/п</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16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Единица измерения</w:t>
            </w:r>
          </w:p>
        </w:tc>
        <w:tc>
          <w:tcPr>
            <w:tcW w:w="156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Количество</w:t>
            </w:r>
          </w:p>
        </w:tc>
      </w:tr>
      <w:tr>
        <w:trPr/>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895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jc w:val="both"/>
              <w:rPr>
                <w:rFonts w:eastAsia="Calibri"/>
                <w:bCs/>
                <w:lang w:eastAsia="en-US"/>
              </w:rPr>
            </w:pPr>
            <w:r>
              <w:rPr>
                <w:rFonts w:eastAsia="Calibri"/>
                <w:bCs/>
                <w:lang w:eastAsia="en-US"/>
              </w:rPr>
              <w:t xml:space="preserve">Услуги по охране </w:t>
            </w:r>
            <w:r>
              <w:rPr>
                <w:rFonts w:eastAsia="Calibri"/>
                <w:iCs/>
                <w:color w:val="000000"/>
                <w:lang w:eastAsia="en-US"/>
              </w:rPr>
              <w:t>складской инфраструктуры (производственной базы)</w:t>
            </w:r>
            <w:r>
              <w:rPr>
                <w:rFonts w:eastAsia="Calibri"/>
                <w:bCs/>
                <w:lang w:eastAsia="en-US"/>
              </w:rPr>
              <w:t xml:space="preserve"> филиала ПАО «РусГидро»-«Северо-Осетинский филиал»</w:t>
            </w:r>
          </w:p>
        </w:tc>
      </w:tr>
      <w:tr>
        <w:trPr/>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1.1.</w:t>
            </w:r>
          </w:p>
        </w:tc>
        <w:tc>
          <w:tcPr>
            <w:tcW w:w="57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0" w:leader="none"/>
              </w:tabs>
              <w:rPr>
                <w:rFonts w:eastAsia="Calibri"/>
                <w:bCs/>
                <w:lang w:eastAsia="en-US"/>
              </w:rPr>
            </w:pPr>
            <w:r>
              <w:rPr>
                <w:rFonts w:eastAsia="Calibri"/>
                <w:bCs/>
                <w:lang w:eastAsia="en-US"/>
              </w:rPr>
              <w:t xml:space="preserve">Охрана </w:t>
            </w:r>
            <w:r>
              <w:rPr>
                <w:rFonts w:eastAsia="Calibri"/>
                <w:iCs/>
                <w:color w:val="000000"/>
                <w:lang w:eastAsia="en-US"/>
              </w:rPr>
              <w:t>складской инфраструктуры (производственной базы)</w:t>
            </w:r>
            <w:r>
              <w:rPr>
                <w:rFonts w:eastAsia="Calibri"/>
                <w:bCs/>
                <w:lang w:eastAsia="en-US"/>
              </w:rPr>
              <w:t xml:space="preserve"> филиала ПАО «РусГидро»-«Северо-Осетинский филиал»</w:t>
            </w:r>
          </w:p>
        </w:tc>
        <w:tc>
          <w:tcPr>
            <w:tcW w:w="1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м</w:t>
            </w:r>
            <w:r>
              <w:rPr>
                <w:rFonts w:eastAsia="Calibri"/>
                <w:bCs/>
                <w:color w:val="000000"/>
                <w:spacing w:val="2"/>
                <w:vertAlign w:val="superscript"/>
                <w:lang w:eastAsia="en-US"/>
              </w:rPr>
              <w:t>2</w:t>
            </w:r>
          </w:p>
        </w:tc>
        <w:tc>
          <w:tcPr>
            <w:tcW w:w="1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bCs/>
                <w:color w:val="000000"/>
                <w:spacing w:val="2"/>
                <w:lang w:eastAsia="en-US"/>
              </w:rPr>
            </w:pPr>
            <w:r>
              <w:rPr>
                <w:rFonts w:eastAsia="Calibri"/>
                <w:bCs/>
                <w:color w:val="000000"/>
                <w:spacing w:val="2"/>
                <w:lang w:eastAsia="en-US"/>
              </w:rPr>
              <w:t>27 152</w:t>
            </w:r>
          </w:p>
        </w:tc>
      </w:tr>
    </w:tbl>
    <w:p>
      <w:pPr>
        <w:pStyle w:val="ListParagraph"/>
        <w:numPr>
          <w:ilvl w:val="2"/>
          <w:numId w:val="5"/>
        </w:numPr>
        <w:shd w:val="clear" w:color="auto" w:fill="FFFFFF"/>
        <w:spacing w:lineRule="auto" w:line="240" w:before="0" w:after="0"/>
        <w:contextualSpacing/>
        <w:jc w:val="both"/>
        <w:rPr>
          <w:rFonts w:ascii="Times New Roman" w:hAnsi="Times New Roman"/>
          <w:b/>
          <w:sz w:val="24"/>
          <w:szCs w:val="24"/>
        </w:rPr>
      </w:pPr>
      <w:r>
        <w:rPr>
          <w:rFonts w:ascii="Times New Roman" w:hAnsi="Times New Roman"/>
          <w:b/>
          <w:sz w:val="24"/>
          <w:szCs w:val="24"/>
        </w:rPr>
        <w:t>Требования к срокам оказания услуг</w:t>
      </w:r>
    </w:p>
    <w:p>
      <w:pPr>
        <w:pStyle w:val="ListParagraph"/>
        <w:shd w:val="clear" w:color="auto" w:fill="FFFFFF"/>
        <w:spacing w:lineRule="auto" w:line="240" w:before="0" w:after="0"/>
        <w:ind w:left="1222" w:hanging="0"/>
        <w:contextualSpacing/>
        <w:jc w:val="both"/>
        <w:rPr>
          <w:rFonts w:ascii="Times New Roman" w:hAnsi="Times New Roman"/>
          <w:b/>
          <w:sz w:val="10"/>
          <w:szCs w:val="10"/>
        </w:rPr>
      </w:pPr>
      <w:r>
        <w:rPr>
          <w:rFonts w:ascii="Times New Roman" w:hAnsi="Times New Roman"/>
          <w:b/>
          <w:sz w:val="10"/>
          <w:szCs w:val="10"/>
        </w:rPr>
      </w:r>
    </w:p>
    <w:p>
      <w:pPr>
        <w:pStyle w:val="ListParagraph"/>
        <w:shd w:val="clear" w:color="auto" w:fill="FFFFFF"/>
        <w:spacing w:lineRule="auto" w:line="240" w:before="0" w:after="0"/>
        <w:ind w:left="1222" w:hanging="1222"/>
        <w:contextualSpacing/>
        <w:jc w:val="both"/>
        <w:rPr>
          <w:rFonts w:ascii="Times New Roman" w:hAnsi="Times New Roman"/>
          <w:b/>
          <w:sz w:val="24"/>
          <w:szCs w:val="24"/>
        </w:rPr>
      </w:pPr>
      <w:r>
        <w:rPr>
          <w:rFonts w:ascii="Times New Roman" w:hAnsi="Times New Roman"/>
          <w:b/>
          <w:sz w:val="24"/>
          <w:szCs w:val="24"/>
        </w:rPr>
        <w:t>Таблица 3. Требования к срокам оказания услуг</w:t>
      </w:r>
    </w:p>
    <w:p>
      <w:pPr>
        <w:pStyle w:val="ListParagraph"/>
        <w:shd w:val="clear" w:color="auto" w:fill="FFFFFF"/>
        <w:spacing w:lineRule="auto" w:line="240" w:before="0" w:after="0"/>
        <w:ind w:left="1222" w:hanging="1222"/>
        <w:contextualSpacing/>
        <w:jc w:val="both"/>
        <w:rPr>
          <w:rFonts w:ascii="Times New Roman" w:hAnsi="Times New Roman"/>
          <w:b/>
          <w:sz w:val="24"/>
          <w:szCs w:val="24"/>
        </w:rPr>
      </w:pPr>
      <w:r>
        <w:rPr>
          <w:rFonts w:ascii="Times New Roman" w:hAnsi="Times New Roman"/>
          <w:b/>
          <w:sz w:val="24"/>
          <w:szCs w:val="24"/>
        </w:rPr>
      </w:r>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61"/>
        <w:gridCol w:w="2695"/>
        <w:gridCol w:w="2409"/>
        <w:gridCol w:w="2552"/>
        <w:gridCol w:w="1701"/>
      </w:tblGrid>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w:t>
            </w:r>
          </w:p>
          <w:p>
            <w:pPr>
              <w:pStyle w:val="Normal"/>
              <w:widowControl w:val="false"/>
              <w:jc w:val="center"/>
              <w:rPr>
                <w:b/>
              </w:rPr>
            </w:pPr>
            <w:r>
              <w:rPr>
                <w:b/>
              </w:rPr>
              <w:t>п/п</w:t>
            </w:r>
          </w:p>
        </w:tc>
        <w:tc>
          <w:tcPr>
            <w:tcW w:w="26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Наименование услуг / этапа услуг</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началу срока оказания услуг/ этапа услуг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Требования к окончанию срока оказания услуг / этапа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Примечание</w:t>
            </w:r>
          </w:p>
        </w:tc>
      </w:tr>
      <w:tr>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1.</w:t>
            </w:r>
          </w:p>
        </w:tc>
        <w:tc>
          <w:tcPr>
            <w:tcW w:w="26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jc w:val="both"/>
              <w:rPr/>
            </w:pPr>
            <w:r>
              <w:rPr>
                <w:rFonts w:eastAsia="Calibri"/>
                <w:bCs/>
                <w:lang w:eastAsia="en-US"/>
              </w:rPr>
              <w:t xml:space="preserve">Охрана </w:t>
            </w:r>
            <w:r>
              <w:rPr>
                <w:rFonts w:eastAsia="Calibri"/>
                <w:iCs/>
                <w:color w:val="000000"/>
                <w:lang w:eastAsia="en-US"/>
              </w:rPr>
              <w:t>складской инфраструктуры (производственной базы)</w:t>
            </w:r>
            <w:r>
              <w:rPr>
                <w:rFonts w:eastAsia="Calibri"/>
                <w:bCs/>
                <w:lang w:eastAsia="en-US"/>
              </w:rPr>
              <w:t xml:space="preserve"> </w:t>
            </w:r>
          </w:p>
        </w:tc>
        <w:tc>
          <w:tcPr>
            <w:tcW w:w="24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01.01.202</w:t>
            </w:r>
            <w:r>
              <w:rPr/>
              <w:t>7</w:t>
            </w:r>
            <w:r>
              <w:rPr/>
              <w:t xml:space="preserve"> г.</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left="502" w:hanging="0"/>
              <w:contextualSpacing/>
              <w:jc w:val="center"/>
              <w:rPr>
                <w:rFonts w:ascii="Times New Roman" w:hAnsi="Times New Roman"/>
                <w:sz w:val="24"/>
                <w:szCs w:val="24"/>
              </w:rPr>
            </w:pPr>
            <w:r>
              <w:rPr>
                <w:rFonts w:ascii="Times New Roman" w:hAnsi="Times New Roman"/>
                <w:sz w:val="24"/>
                <w:szCs w:val="24"/>
              </w:rPr>
              <w:t>31.12.202</w:t>
            </w:r>
            <w:r>
              <w:rPr>
                <w:rFonts w:ascii="Times New Roman" w:hAnsi="Times New Roman"/>
                <w:sz w:val="24"/>
                <w:szCs w:val="24"/>
              </w:rPr>
              <w:t>7</w:t>
            </w:r>
            <w:r>
              <w:rPr>
                <w:rFonts w:ascii="Times New Roman" w:hAnsi="Times New Roman"/>
                <w:sz w:val="24"/>
                <w:szCs w:val="24"/>
              </w:rPr>
              <w:t xml:space="preserve"> 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shd w:val="clear" w:color="auto" w:fill="FFFFFF"/>
              <w:spacing w:lineRule="auto" w:line="240" w:before="0" w:after="0"/>
              <w:ind w:left="0" w:hanging="0"/>
              <w:contextualSpacing/>
              <w:jc w:val="center"/>
              <w:rPr>
                <w:rFonts w:ascii="Times New Roman" w:hAnsi="Times New Roman"/>
                <w:sz w:val="24"/>
                <w:szCs w:val="24"/>
              </w:rPr>
            </w:pPr>
            <w:r>
              <w:rPr>
                <w:rFonts w:ascii="Times New Roman" w:hAnsi="Times New Roman"/>
                <w:sz w:val="24"/>
                <w:szCs w:val="24"/>
              </w:rPr>
              <w:t>нет</w:t>
            </w:r>
          </w:p>
        </w:tc>
      </w:tr>
    </w:tbl>
    <w:p>
      <w:pPr>
        <w:pStyle w:val="Normal"/>
        <w:shd w:val="clear" w:color="auto" w:fill="FFFFFF"/>
        <w:spacing w:before="0" w:after="0"/>
        <w:ind w:left="1222" w:hanging="1222"/>
        <w:contextualSpacing/>
        <w:jc w:val="both"/>
        <w:rPr>
          <w:b/>
        </w:rPr>
      </w:pPr>
      <w:r>
        <w:rPr>
          <w:b/>
        </w:rPr>
      </w:r>
    </w:p>
    <w:p>
      <w:pPr>
        <w:pStyle w:val="Normal"/>
        <w:shd w:val="clear" w:color="auto" w:fill="FFFFFF"/>
        <w:jc w:val="both"/>
        <w:rPr>
          <w:b/>
        </w:rPr>
      </w:pPr>
      <w:r>
        <w:rPr>
          <w:b/>
        </w:rPr>
      </w:r>
    </w:p>
    <w:p>
      <w:pPr>
        <w:pStyle w:val="ListParagraph"/>
        <w:numPr>
          <w:ilvl w:val="1"/>
          <w:numId w:val="5"/>
        </w:numPr>
        <w:shd w:val="clear" w:color="auto" w:fill="FFFFFF"/>
        <w:spacing w:lineRule="auto" w:line="240" w:before="0" w:after="0"/>
        <w:ind w:left="567" w:hanging="425"/>
        <w:contextualSpacing/>
        <w:jc w:val="both"/>
        <w:rPr>
          <w:rFonts w:ascii="Times New Roman" w:hAnsi="Times New Roman"/>
          <w:b/>
          <w:sz w:val="24"/>
          <w:szCs w:val="24"/>
        </w:rPr>
      </w:pPr>
      <w:r>
        <w:rPr>
          <w:rFonts w:ascii="Times New Roman" w:hAnsi="Times New Roman"/>
          <w:b/>
          <w:sz w:val="24"/>
          <w:szCs w:val="24"/>
        </w:rPr>
        <w:t>Требования к качеству услуг</w:t>
      </w:r>
    </w:p>
    <w:p>
      <w:pPr>
        <w:pStyle w:val="ListParagraph"/>
        <w:shd w:val="clear" w:color="auto" w:fill="FFFFFF"/>
        <w:spacing w:lineRule="auto" w:line="240" w:before="0" w:after="0"/>
        <w:ind w:left="791" w:hanging="82"/>
        <w:contextualSpacing/>
        <w:jc w:val="both"/>
        <w:rPr>
          <w:rFonts w:ascii="Times New Roman" w:hAnsi="Times New Roman"/>
          <w:b/>
          <w:sz w:val="10"/>
          <w:szCs w:val="10"/>
        </w:rPr>
      </w:pPr>
      <w:r>
        <w:rPr>
          <w:rFonts w:ascii="Times New Roman" w:hAnsi="Times New Roman"/>
          <w:b/>
          <w:sz w:val="10"/>
          <w:szCs w:val="10"/>
        </w:rPr>
      </w:r>
    </w:p>
    <w:p>
      <w:pPr>
        <w:pStyle w:val="Normal"/>
        <w:shd w:val="clear" w:color="auto" w:fill="FFFFFF"/>
        <w:jc w:val="both"/>
        <w:rPr/>
      </w:pPr>
      <w:r>
        <w:rPr>
          <w:b/>
        </w:rPr>
        <w:t xml:space="preserve">Наименование услуг/этапа услуг (позиция №1 таблицы 1): </w:t>
      </w:r>
      <w:r>
        <w:rPr>
          <w:rFonts w:eastAsia="Calibri"/>
          <w:sz w:val="26"/>
          <w:szCs w:val="26"/>
          <w:u w:val="single"/>
          <w:lang w:eastAsia="en-US"/>
        </w:rPr>
        <w:t xml:space="preserve">Услуги по охране </w:t>
      </w:r>
      <w:r>
        <w:rPr>
          <w:rFonts w:eastAsia="Calibri"/>
          <w:iCs/>
          <w:color w:val="000000"/>
          <w:u w:val="single"/>
          <w:lang w:eastAsia="en-US"/>
        </w:rPr>
        <w:t>складской инфраструктуры (производственной базы)</w:t>
      </w:r>
      <w:r>
        <w:rPr>
          <w:rFonts w:eastAsia="Calibri"/>
          <w:sz w:val="26"/>
          <w:szCs w:val="26"/>
          <w:u w:val="single"/>
          <w:lang w:eastAsia="en-US"/>
        </w:rPr>
        <w:t xml:space="preserve"> филиала ПАО «РусГидро»-«Северо-Осетинский филиал»</w:t>
      </w:r>
    </w:p>
    <w:p>
      <w:pPr>
        <w:pStyle w:val="Normal"/>
        <w:shd w:val="clear" w:color="auto" w:fill="FFFFFF"/>
        <w:jc w:val="both"/>
        <w:rPr>
          <w:b/>
          <w:sz w:val="10"/>
          <w:szCs w:val="10"/>
        </w:rPr>
      </w:pPr>
      <w:r>
        <w:rPr>
          <w:b/>
          <w:sz w:val="10"/>
          <w:szCs w:val="10"/>
        </w:rPr>
      </w:r>
    </w:p>
    <w:p>
      <w:pPr>
        <w:sectPr>
          <w:headerReference w:type="default" r:id="rId2"/>
          <w:type w:val="nextPage"/>
          <w:pgSz w:w="11906" w:h="16838"/>
          <w:pgMar w:left="1418" w:right="851" w:gutter="0" w:header="284" w:top="992" w:footer="0" w:bottom="278"/>
          <w:pgNumType w:fmt="decimal"/>
          <w:formProt w:val="false"/>
          <w:textDirection w:val="lrTb"/>
          <w:docGrid w:type="default" w:linePitch="360" w:charSpace="0"/>
        </w:sectPr>
        <w:pStyle w:val="Normal"/>
        <w:shd w:val="clear" w:color="auto" w:fill="FFFFFF"/>
        <w:jc w:val="both"/>
        <w:rPr>
          <w:b/>
          <w:sz w:val="10"/>
          <w:szCs w:val="10"/>
        </w:rPr>
      </w:pPr>
      <w:r>
        <w:rPr>
          <w:b/>
          <w:sz w:val="10"/>
          <w:szCs w:val="10"/>
        </w:rPr>
      </w:r>
    </w:p>
    <w:p>
      <w:pPr>
        <w:pStyle w:val="Normal"/>
        <w:shd w:val="clear" w:color="auto" w:fill="FFFFFF"/>
        <w:jc w:val="both"/>
        <w:rPr>
          <w:b/>
        </w:rPr>
      </w:pPr>
      <w:r>
        <w:rPr>
          <w:b/>
        </w:rPr>
      </w:r>
    </w:p>
    <w:p>
      <w:pPr>
        <w:pStyle w:val="Normal"/>
        <w:shd w:val="clear" w:color="auto" w:fill="FFFFFF"/>
        <w:jc w:val="both"/>
        <w:rPr>
          <w:b/>
        </w:rPr>
      </w:pPr>
      <w:r>
        <w:rPr>
          <w:b/>
        </w:rPr>
        <w:t>Таблица 4. Требования к качеству услуг</w:t>
      </w:r>
    </w:p>
    <w:p>
      <w:pPr>
        <w:pStyle w:val="Normal"/>
        <w:shd w:val="clear" w:color="auto" w:fill="FFFFFF"/>
        <w:jc w:val="both"/>
        <w:rPr>
          <w:b/>
        </w:rPr>
      </w:pPr>
      <w:r>
        <w:rPr>
          <w:b/>
        </w:rPr>
      </w:r>
    </w:p>
    <w:p>
      <w:pPr>
        <w:pStyle w:val="Normal"/>
        <w:shd w:val="clear" w:color="auto" w:fill="FFFFFF"/>
        <w:jc w:val="both"/>
        <w:rPr>
          <w:b/>
        </w:rPr>
      </w:pPr>
      <w:r>
        <w:rPr>
          <w:b/>
        </w:rPr>
      </w:r>
    </w:p>
    <w:tbl>
      <w:tblPr>
        <w:tblW w:w="16208" w:type="dxa"/>
        <w:jc w:val="left"/>
        <w:tblInd w:w="15" w:type="dxa"/>
        <w:tblLayout w:type="fixed"/>
        <w:tblCellMar>
          <w:top w:w="0" w:type="dxa"/>
          <w:left w:w="108" w:type="dxa"/>
          <w:bottom w:w="0" w:type="dxa"/>
          <w:right w:w="108" w:type="dxa"/>
        </w:tblCellMar>
        <w:tblLook w:val="04a0" w:noHBand="0" w:noVBand="1" w:firstColumn="1" w:lastRow="0" w:lastColumn="0" w:firstRow="1"/>
      </w:tblPr>
      <w:tblGrid>
        <w:gridCol w:w="737"/>
        <w:gridCol w:w="1653"/>
        <w:gridCol w:w="6025"/>
        <w:gridCol w:w="3047"/>
        <w:gridCol w:w="3259"/>
        <w:gridCol w:w="1486"/>
      </w:tblGrid>
      <w:tr>
        <w:trPr>
          <w:trHeight w:val="970" w:hRule="atLeast"/>
        </w:trPr>
        <w:tc>
          <w:tcPr>
            <w:tcW w:w="7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w:t>
            </w:r>
          </w:p>
          <w:p>
            <w:pPr>
              <w:pStyle w:val="Normal"/>
              <w:widowControl w:val="false"/>
              <w:jc w:val="center"/>
              <w:rPr>
                <w:b/>
              </w:rPr>
            </w:pPr>
            <w:r>
              <w:rPr>
                <w:b/>
              </w:rPr>
              <w:t>п/п</w:t>
            </w:r>
          </w:p>
        </w:tc>
        <w:tc>
          <w:tcPr>
            <w:tcW w:w="165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rPr>
            </w:pPr>
            <w:r>
              <w:rPr>
                <w:b/>
                <w:bCs/>
              </w:rPr>
              <w:t>Наименование параметра</w:t>
            </w:r>
          </w:p>
        </w:tc>
        <w:tc>
          <w:tcPr>
            <w:tcW w:w="602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rPr>
            </w:pPr>
            <w:r>
              <w:rPr>
                <w:b/>
                <w:bCs/>
              </w:rPr>
              <w:t>Требование заказчика</w:t>
            </w:r>
          </w:p>
        </w:tc>
        <w:tc>
          <w:tcPr>
            <w:tcW w:w="630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rPr>
            </w:pPr>
            <w:r>
              <w:rPr>
                <w:b/>
                <w:bCs/>
              </w:rPr>
              <w:t>Способ подтверждения Исполнителем соответствия требованиям</w:t>
            </w:r>
          </w:p>
        </w:tc>
        <w:tc>
          <w:tcPr>
            <w:tcW w:w="1486"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rPr>
            </w:pPr>
            <w:r>
              <w:rPr>
                <w:b/>
                <w:bCs/>
              </w:rPr>
              <w:t>Предложение участни-ка по характеристикам и параметрам</w:t>
            </w:r>
          </w:p>
        </w:tc>
      </w:tr>
      <w:tr>
        <w:trPr>
          <w:trHeight w:val="1133" w:hRule="atLeast"/>
        </w:trPr>
        <w:tc>
          <w:tcPr>
            <w:tcW w:w="737"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r>
          </w:p>
        </w:tc>
        <w:tc>
          <w:tcPr>
            <w:tcW w:w="1653"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6025"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Согласие с требовани-ем/ указание характе-ристик</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Предоставление под-тверждающего докумен-та или иной способ под-тверждения</w:t>
            </w:r>
          </w:p>
        </w:tc>
        <w:tc>
          <w:tcPr>
            <w:tcW w:w="1486" w:type="dxa"/>
            <w:vMerge w:val="continue"/>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rHeight w:val="269" w:hRule="atLeast"/>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2</w:t>
            </w:r>
          </w:p>
        </w:tc>
        <w:tc>
          <w:tcPr>
            <w:tcW w:w="60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3</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4</w:t>
            </w:r>
          </w:p>
        </w:tc>
        <w:tc>
          <w:tcPr>
            <w:tcW w:w="32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5</w:t>
            </w:r>
          </w:p>
        </w:tc>
        <w:tc>
          <w:tcPr>
            <w:tcW w:w="1486" w:type="dxa"/>
            <w:tcBorders>
              <w:left w:val="single" w:sz="4" w:space="0" w:color="000000"/>
              <w:bottom w:val="single" w:sz="4" w:space="0" w:color="000000"/>
              <w:right w:val="single" w:sz="4" w:space="0" w:color="000000"/>
            </w:tcBorders>
            <w:vAlign w:val="center"/>
          </w:tcPr>
          <w:p>
            <w:pPr>
              <w:pStyle w:val="Normal"/>
              <w:widowControl w:val="false"/>
              <w:jc w:val="center"/>
              <w:rPr>
                <w:b/>
              </w:rPr>
            </w:pPr>
            <w:r>
              <w:rPr>
                <w:b/>
              </w:rPr>
              <w:t>6</w:t>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оказанию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t xml:space="preserve">Общие требования к оказанию услуг </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 xml:space="preserve">Услуги по охране объекта </w:t>
            </w:r>
            <w:r>
              <w:rPr>
                <w:rFonts w:eastAsia="Calibri"/>
                <w:iCs/>
                <w:color w:val="000000"/>
                <w:lang w:eastAsia="en-US"/>
              </w:rPr>
              <w:t>складской инфраструктуры (производственной базы)</w:t>
            </w:r>
            <w:r>
              <w:rPr>
                <w:bCs/>
              </w:rPr>
              <w:t>:</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75" w:leader="none"/>
                <w:tab w:val="left" w:pos="458" w:leader="none"/>
              </w:tabs>
              <w:jc w:val="both"/>
              <w:rPr>
                <w:b/>
              </w:rPr>
            </w:pPr>
            <w:r>
              <w:rPr/>
              <w:t>- Обеспечение безопасности и защищенности охраняемого объекта;</w:t>
            </w:r>
          </w:p>
          <w:p>
            <w:pPr>
              <w:pStyle w:val="Normal"/>
              <w:widowControl w:val="false"/>
              <w:tabs>
                <w:tab w:val="clear" w:pos="709"/>
                <w:tab w:val="left" w:pos="175" w:leader="none"/>
                <w:tab w:val="left" w:pos="458" w:leader="none"/>
              </w:tabs>
              <w:jc w:val="both"/>
              <w:rPr>
                <w:b/>
              </w:rPr>
            </w:pPr>
            <w:r>
              <w:rPr/>
              <w:t>- Защиту охраняемого объекта от актов незаконного вмешательства;</w:t>
            </w:r>
          </w:p>
          <w:p>
            <w:pPr>
              <w:pStyle w:val="Normal"/>
              <w:widowControl w:val="false"/>
              <w:tabs>
                <w:tab w:val="clear" w:pos="709"/>
                <w:tab w:val="left" w:pos="175" w:leader="none"/>
                <w:tab w:val="left" w:pos="458" w:leader="none"/>
                <w:tab w:val="left" w:pos="1418" w:leader="none"/>
              </w:tabs>
              <w:jc w:val="both"/>
              <w:rPr>
                <w:b/>
              </w:rPr>
            </w:pPr>
            <w:r>
              <w:rPr/>
              <w:t>- Предотвращение несанкционированного проникновения на охраняемый объект;</w:t>
            </w:r>
          </w:p>
          <w:p>
            <w:pPr>
              <w:pStyle w:val="Normal"/>
              <w:widowControl w:val="false"/>
              <w:tabs>
                <w:tab w:val="clear" w:pos="709"/>
                <w:tab w:val="left" w:pos="175" w:leader="none"/>
                <w:tab w:val="left" w:pos="458" w:leader="none"/>
              </w:tabs>
              <w:jc w:val="both"/>
              <w:rPr>
                <w:b/>
              </w:rPr>
            </w:pPr>
            <w:r>
              <w:rPr/>
              <w:t>- Своевременное обнаружение и пресечение посягательств на целостность и безопасность охраняемого объекта, обеспечение сохранности имущества;</w:t>
            </w:r>
          </w:p>
          <w:p>
            <w:pPr>
              <w:pStyle w:val="Normal"/>
              <w:widowControl w:val="false"/>
              <w:tabs>
                <w:tab w:val="clear" w:pos="709"/>
                <w:tab w:val="left" w:pos="175" w:leader="none"/>
                <w:tab w:val="left" w:pos="458" w:leader="none"/>
              </w:tabs>
              <w:jc w:val="both"/>
              <w:rPr>
                <w:b/>
              </w:rPr>
            </w:pPr>
            <w:r>
              <w:rPr/>
              <w:t>- Поиск и задержание лиц, незаконно проникших на охраняемый объект;</w:t>
            </w:r>
          </w:p>
          <w:p>
            <w:pPr>
              <w:pStyle w:val="Normal"/>
              <w:widowControl w:val="false"/>
              <w:tabs>
                <w:tab w:val="clear" w:pos="709"/>
                <w:tab w:val="left" w:pos="175" w:leader="none"/>
                <w:tab w:val="left" w:pos="458" w:leader="none"/>
              </w:tabs>
              <w:jc w:val="both"/>
              <w:rPr>
                <w:b/>
              </w:rPr>
            </w:pPr>
            <w:r>
              <w:rPr/>
              <w:t>- Контроль за соблюдением противопожарного режима, а также участие в ликвидации последствий аварий, катастроф, стихийных бедствий и других чрезвычайных ситуациях на охраняемом объекте;</w:t>
            </w:r>
          </w:p>
          <w:p>
            <w:pPr>
              <w:pStyle w:val="Normal"/>
              <w:widowControl w:val="false"/>
              <w:tabs>
                <w:tab w:val="clear" w:pos="709"/>
                <w:tab w:val="left" w:pos="175" w:leader="none"/>
                <w:tab w:val="left" w:pos="458" w:leader="none"/>
              </w:tabs>
              <w:jc w:val="both"/>
              <w:rPr>
                <w:b/>
              </w:rPr>
            </w:pPr>
            <w:r>
              <w:rPr/>
              <w:t>- Обеспечение пропускного и внутриобъектового режима на охраняемом объекте.</w:t>
            </w:r>
          </w:p>
          <w:p>
            <w:pPr>
              <w:pStyle w:val="Normal"/>
              <w:widowControl w:val="false"/>
              <w:ind w:firstLine="709"/>
              <w:rPr>
                <w:rFonts w:eastAsia="Calibri"/>
                <w:b/>
                <w:i/>
                <w:i/>
                <w:lang w:eastAsia="en-US"/>
              </w:rPr>
            </w:pPr>
            <w:r>
              <w:rPr>
                <w:rFonts w:eastAsia="Calibri"/>
                <w:b/>
                <w:i/>
                <w:lang w:eastAsia="en-US"/>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b/>
              </w:rPr>
              <w:t>1.2.</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t>Требования к способам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6" w:leader="none"/>
              </w:tabs>
              <w:spacing w:before="60" w:after="0"/>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1.2.1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применяемым подходам при оказании услуг</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0"/>
              <w:jc w:val="both"/>
              <w:rPr>
                <w:b/>
              </w:rPr>
            </w:pPr>
            <w:r>
              <w:rPr/>
              <w:t>- Услуги по охране объекта оказываются в следующем порядке:</w:t>
            </w:r>
          </w:p>
          <w:p>
            <w:pPr>
              <w:pStyle w:val="Normal"/>
              <w:widowControl w:val="false"/>
              <w:jc w:val="both"/>
              <w:rPr>
                <w:b/>
              </w:rPr>
            </w:pPr>
            <w:r>
              <w:rPr/>
              <w:t xml:space="preserve">- Охрану </w:t>
            </w:r>
            <w:r>
              <w:rPr>
                <w:rFonts w:eastAsia="Calibri"/>
                <w:iCs/>
                <w:color w:val="000000"/>
                <w:lang w:eastAsia="en-US"/>
              </w:rPr>
              <w:t>складской инфраструктуры (производственной базы)</w:t>
            </w:r>
            <w:r>
              <w:rPr>
                <w:rFonts w:eastAsia="Calibri"/>
                <w:bCs/>
                <w:lang w:eastAsia="en-US"/>
              </w:rPr>
              <w:t xml:space="preserve"> </w:t>
            </w:r>
            <w:r>
              <w:rPr/>
              <w:t>осуществлять по 24-х часовому графику с режимом работы сутки через трое, с ежесуточной нормой выставления личного состава - 3 человека (вооруженных). Вооруженные охранники должны иметь 6-й разряд;</w:t>
            </w:r>
          </w:p>
          <w:p>
            <w:pPr>
              <w:pStyle w:val="Normal"/>
              <w:widowControl w:val="false"/>
              <w:jc w:val="both"/>
              <w:rPr>
                <w:color w:val="000000"/>
              </w:rPr>
            </w:pPr>
            <w:r>
              <w:rPr>
                <w:color w:val="000000"/>
              </w:rPr>
              <w:t>Услуги по охране объекта оказываются в соответствии с Дислокацией постов (Приложение №4 к настоящим техническим требованиям):</w:t>
            </w:r>
          </w:p>
          <w:p>
            <w:pPr>
              <w:pStyle w:val="Normal"/>
              <w:widowControl w:val="false"/>
              <w:tabs>
                <w:tab w:val="clear" w:pos="709"/>
                <w:tab w:val="left" w:pos="1276" w:leader="none"/>
              </w:tabs>
              <w:jc w:val="both"/>
              <w:rPr>
                <w:rFonts w:eastAsia="Calibri"/>
                <w:lang w:eastAsia="en-US"/>
              </w:rPr>
            </w:pPr>
            <w:r>
              <w:rPr>
                <w:rFonts w:eastAsia="Calibri"/>
                <w:lang w:eastAsia="en-US"/>
              </w:rPr>
              <w:t>- Обеспечить взаимодействие с СБ Филиала по сохранности вверенного имущества и поддержанию в работоспособном состоянии переданного в пользование оборудования;</w:t>
            </w:r>
          </w:p>
          <w:p>
            <w:pPr>
              <w:pStyle w:val="Normal"/>
              <w:widowControl w:val="false"/>
              <w:tabs>
                <w:tab w:val="left" w:pos="709" w:leader="none"/>
                <w:tab w:val="left" w:pos="1276" w:leader="none"/>
              </w:tabs>
              <w:jc w:val="both"/>
              <w:rPr>
                <w:rFonts w:eastAsia="Calibri"/>
                <w:lang w:eastAsia="en-US"/>
              </w:rPr>
            </w:pPr>
            <w:r>
              <w:rPr>
                <w:rFonts w:eastAsia="Calibri"/>
                <w:lang w:eastAsia="en-US"/>
              </w:rPr>
              <w:t>- Предоставить Заказчику инструкции охранников;</w:t>
            </w:r>
          </w:p>
          <w:p>
            <w:pPr>
              <w:pStyle w:val="Normal"/>
              <w:widowControl w:val="false"/>
              <w:tabs>
                <w:tab w:val="left" w:pos="709" w:leader="none"/>
                <w:tab w:val="left" w:pos="1276" w:leader="none"/>
              </w:tabs>
              <w:jc w:val="both"/>
              <w:rPr>
                <w:b/>
              </w:rPr>
            </w:pPr>
            <w:r>
              <w:rPr>
                <w:rFonts w:eastAsia="Calibri"/>
                <w:lang w:eastAsia="en-US"/>
              </w:rPr>
              <w:t>- Согласовывать с СБ Заказчика прием на работу личного состава для охраны объекта Заказчика, предоставляя в СБ справки об отсутствии судимости, заполненные работниками Анкеты по форме Приложение №2 к настоящим техническим требованиям, заполненные работниками согласия на обработку персональных данных по форме Приложение №3 к настоящим техническим требованиям;</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Ежедневно предоставлять информацию о состоянии охраны, целостности ограждений, запоров и исправности охранно-пожарной сигнализации по установленной СБ форме и другие необходимые данные по требованию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Ежеквартально по запросу представлять в СБ анализ несения службы на постах охраны объекта Филиала;</w:t>
            </w:r>
          </w:p>
          <w:p>
            <w:pPr>
              <w:pStyle w:val="Normal"/>
              <w:widowControl w:val="false"/>
              <w:tabs>
                <w:tab w:val="left" w:pos="709" w:leader="none"/>
                <w:tab w:val="left" w:pos="1276" w:leader="none"/>
              </w:tabs>
              <w:jc w:val="both"/>
              <w:rPr>
                <w:rFonts w:eastAsia="Calibri"/>
                <w:lang w:eastAsia="en-US"/>
              </w:rPr>
            </w:pPr>
            <w:r>
              <w:rPr>
                <w:rFonts w:eastAsia="Calibri"/>
                <w:lang w:eastAsia="en-US"/>
              </w:rPr>
              <w:t>- Обеспечивать сохранность конфиденциальной информации по организации охраны и конфиденциальность мероприятий, проводимых СБ;</w:t>
            </w:r>
          </w:p>
          <w:p>
            <w:pPr>
              <w:pStyle w:val="Normal"/>
              <w:widowControl w:val="false"/>
              <w:tabs>
                <w:tab w:val="left" w:pos="709" w:leader="none"/>
                <w:tab w:val="left" w:pos="1276" w:leader="none"/>
              </w:tabs>
              <w:jc w:val="both"/>
              <w:rPr>
                <w:rFonts w:eastAsia="Calibri"/>
                <w:lang w:eastAsia="en-US"/>
              </w:rPr>
            </w:pPr>
            <w:r>
              <w:rPr>
                <w:rFonts w:eastAsia="Calibri"/>
                <w:lang w:eastAsia="en-US"/>
              </w:rPr>
              <w:t>- В случае каких-либо противоправных действий в отношении охраняемого объекта немедленно докладывать по телефону о произошедшем начальнику СБ или инженеру по режиму и охране СБ.</w:t>
            </w:r>
          </w:p>
          <w:p>
            <w:pPr>
              <w:pStyle w:val="Normal"/>
              <w:widowControl w:val="false"/>
              <w:jc w:val="both"/>
              <w:rPr>
                <w:b/>
              </w:rPr>
            </w:pPr>
            <w:r>
              <w:rPr>
                <w:rFonts w:eastAsia="Calibri"/>
                <w:lang w:eastAsia="en-US"/>
              </w:rPr>
              <w:t>- Иметь в штате (или привлеченных по договору) не менее 2-х (двух) мобильных групп (группы быстр</w:t>
            </w:r>
            <w:r>
              <w:rPr/>
              <w:t xml:space="preserve">ого реагирования – ГБР) в смену, в составе каждой из которых не менее 2-х (двух) охранников, на специальном автомобиле повышенной проходимости, оснащенном средствами наблюдения (бинокль), связи (радио и/или мобильной), знаками принадлежности. Группа быстрого реагирования должна быть обеспечена служебным короткоствольным огнестрельным оружием не менее 1 (одной) единицы на экипаж группы быстрого реагирования, итого 2 (две) единицы служебного короткоствольного огнестрельного оружия. Режим работы: ежедневно, круглосуточно, включая праздничные и выходные дни. </w:t>
            </w:r>
          </w:p>
          <w:p>
            <w:pPr>
              <w:pStyle w:val="Normal"/>
              <w:widowControl w:val="false"/>
              <w:jc w:val="both"/>
              <w:rPr>
                <w:b/>
              </w:rPr>
            </w:pPr>
            <w:r>
              <w:rPr/>
              <w:t>- Осуществлять п</w:t>
            </w:r>
            <w:r>
              <w:rPr>
                <w:bCs/>
              </w:rPr>
              <w:t>еревозку персонала, а также ГБР силами и за счет Исполнителя. Эксплуатационные затраты на ремонт автомобиля, а также затраты на ГСМ несет Исполнитель собственными силами за свой счет.</w:t>
            </w:r>
          </w:p>
          <w:p>
            <w:pPr>
              <w:pStyle w:val="Normal"/>
              <w:widowControl w:val="false"/>
              <w:jc w:val="both"/>
              <w:rPr>
                <w:b/>
              </w:rPr>
            </w:pPr>
            <w:r>
              <w:rPr>
                <w:bCs/>
                <w:color w:val="000000"/>
              </w:rPr>
              <w:t xml:space="preserve">- </w:t>
            </w:r>
            <w:r>
              <w:rPr>
                <w:color w:val="000000"/>
              </w:rPr>
              <w:t>Жизнь и здоровье работников Исполнителя должны быть застрахованы.</w:t>
            </w:r>
          </w:p>
          <w:p>
            <w:pPr>
              <w:pStyle w:val="Normal"/>
              <w:widowControl w:val="false"/>
              <w:jc w:val="both"/>
              <w:rPr>
                <w:b/>
              </w:rPr>
            </w:pPr>
            <w:r>
              <w:rPr>
                <w:b/>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jc w:val="both"/>
              <w:rPr>
                <w:rFonts w:eastAsia="Calibri"/>
                <w:lang w:eastAsia="en-US"/>
              </w:rPr>
            </w:pPr>
            <w:r>
              <w:rPr>
                <w:rFonts w:eastAsia="Calibri"/>
                <w:lang w:eastAsia="en-U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применяемым при оказании услуг оборудованию и материалам</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объемам используемых оборудования и материалов</w:t>
            </w:r>
          </w:p>
          <w:p>
            <w:pPr>
              <w:pStyle w:val="Normal"/>
              <w:widowControl w:val="false"/>
              <w:rPr>
                <w:b/>
              </w:rPr>
            </w:pPr>
            <w:r>
              <w:rPr>
                <w:b/>
              </w:rPr>
            </w:r>
          </w:p>
        </w:tc>
        <w:tc>
          <w:tcPr>
            <w:tcW w:w="60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p>
            <w:pPr>
              <w:pStyle w:val="Normal"/>
              <w:widowControl w:val="false"/>
              <w:rPr/>
            </w:pPr>
            <w:r>
              <w:rPr/>
              <w:t xml:space="preserve">Исполнитель приобретает за свои средства все необходимые материально-технические ресурсы, а именно: </w:t>
            </w:r>
          </w:p>
          <w:p>
            <w:pPr>
              <w:pStyle w:val="Normal"/>
              <w:widowControl w:val="false"/>
              <w:rPr/>
            </w:pPr>
            <w:r>
              <w:rPr/>
              <w:t>- специальную форменная одежда не менее 28 комплектов.</w:t>
            </w:r>
          </w:p>
          <w:p>
            <w:pPr>
              <w:pStyle w:val="Normal"/>
              <w:widowControl w:val="false"/>
              <w:rPr/>
            </w:pPr>
            <w:r>
              <w:rPr/>
              <w:t>- палки резиновые – не менее 7 шт.;</w:t>
            </w:r>
          </w:p>
          <w:p>
            <w:pPr>
              <w:pStyle w:val="Normal"/>
              <w:widowControl w:val="false"/>
              <w:rPr/>
            </w:pPr>
            <w:r>
              <w:rPr/>
              <w:t>- электрошокеры – не менее 7 шт.;</w:t>
            </w:r>
          </w:p>
          <w:p>
            <w:pPr>
              <w:pStyle w:val="Normal"/>
              <w:widowControl w:val="false"/>
              <w:rPr/>
            </w:pPr>
            <w:r>
              <w:rPr/>
              <w:t>- наручники – не менее 7 шт.;</w:t>
            </w:r>
          </w:p>
          <w:p>
            <w:pPr>
              <w:pStyle w:val="Normal"/>
              <w:widowControl w:val="false"/>
              <w:rPr/>
            </w:pPr>
            <w:r>
              <w:rPr/>
              <w:t>- металлодетекторы – не менее 2 шт.</w:t>
            </w:r>
          </w:p>
          <w:p>
            <w:pPr>
              <w:pStyle w:val="Normal"/>
              <w:widowControl w:val="false"/>
              <w:rPr/>
            </w:pPr>
            <w:r>
              <w:rPr/>
              <w:t>- радиостанции – не менее 7 шт.;</w:t>
            </w:r>
          </w:p>
          <w:p>
            <w:pPr>
              <w:pStyle w:val="Normal"/>
              <w:widowControl w:val="false"/>
              <w:rPr/>
            </w:pPr>
            <w:r>
              <w:rPr/>
              <w:t>- мобильные телефоны – не менее 7 шт.;</w:t>
            </w:r>
          </w:p>
          <w:p>
            <w:pPr>
              <w:pStyle w:val="Normal"/>
              <w:widowControl w:val="false"/>
              <w:rPr/>
            </w:pPr>
            <w:r>
              <w:rPr/>
              <w:t>- связь с дежурным подразделением охранной организации и соответствующей дежурной частью органов внутренних дел.</w:t>
            </w:r>
          </w:p>
          <w:p>
            <w:pPr>
              <w:pStyle w:val="Normal"/>
              <w:widowControl w:val="false"/>
              <w:rPr/>
            </w:pPr>
            <w:r>
              <w:rPr/>
              <w:t>- специальные автомобили повышенной проходимости, оснащенных средствами наблюдения, связи, знаками принадлежности для перевозки групп быстрого реагирования. Автотранспорт не должен быть старше 5-ти (пяти) лет — не менее 2 ед;</w:t>
            </w:r>
          </w:p>
          <w:p>
            <w:pPr>
              <w:pStyle w:val="Normal"/>
              <w:widowControl w:val="false"/>
              <w:rPr/>
            </w:pPr>
            <w:r>
              <w:rPr/>
              <w:t>- служебное огнестрельное нарезное короткоствольное оружие или огнестрельное гладкоствольное длинноствольное оружие (по согласованию с заказчиком) в количестве не менее 6 (шести) ед. (для постов охраны).</w:t>
            </w:r>
          </w:p>
          <w:p>
            <w:pPr>
              <w:pStyle w:val="Normal"/>
              <w:widowControl w:val="false"/>
              <w:rPr/>
            </w:pPr>
            <w:r>
              <w:rPr/>
              <w:t>- кнопки тревожной сигнализации для передачи сигнала «Тревога» в территориальный орган внутренних дел.</w:t>
            </w:r>
          </w:p>
          <w:p>
            <w:pPr>
              <w:pStyle w:val="Normal"/>
              <w:widowControl w:val="false"/>
              <w:rPr/>
            </w:pPr>
            <w:r>
              <w:rPr/>
              <w:t>- комната хранения оружия и специальных средств должна находиться на территории Республики Северная Осетия - Алания, для оперативного реагирования на возникновение чрезвычайных происшествий на охраняемых объектах и усиления дежурной смены в составе авто-экипажей, время прибытия на охраняемый объект не должно превышать 20 (двадцать) минут – в ночное время, 30 (тридцать) минут – в дневное время.</w:t>
            </w:r>
          </w:p>
        </w:tc>
        <w:tc>
          <w:tcPr>
            <w:tcW w:w="3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Cs/>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1.3.2</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Требования к самостоятельному приобретению исполнителем используемого при оказании услуг оборудования и материалов</w:t>
            </w:r>
          </w:p>
          <w:p>
            <w:pPr>
              <w:pStyle w:val="Normal"/>
              <w:widowControl w:val="false"/>
              <w:rPr>
                <w:b/>
              </w:rPr>
            </w:pPr>
            <w:r>
              <w:rPr>
                <w:b/>
              </w:rPr>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p>
            <w:pPr>
              <w:pStyle w:val="Normal"/>
              <w:widowControl w:val="false"/>
              <w:jc w:val="both"/>
              <w:rPr>
                <w:b/>
              </w:rPr>
            </w:pPr>
            <w:r>
              <w:rPr>
                <w:b/>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персоналу исполнителя</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Квалификация персонала исполнителя, привлекаемого к оказанию услуг</w:t>
            </w:r>
          </w:p>
        </w:tc>
        <w:tc>
          <w:tcPr>
            <w:tcW w:w="60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eastAsia="Calibri"/>
                <w:lang w:eastAsia="en-US"/>
              </w:rPr>
            </w:pPr>
            <w:r>
              <w:rPr>
                <w:rFonts w:eastAsia="Calibri"/>
                <w:lang w:eastAsia="en-US"/>
              </w:rPr>
              <w:t>Исполнитель должен обеспечить Страхование жизни и здоровья работников Исполнителя, осуществляющих охрану объекта Заказчика;</w:t>
            </w:r>
          </w:p>
          <w:p>
            <w:pPr>
              <w:pStyle w:val="Normal"/>
              <w:widowControl w:val="false"/>
              <w:jc w:val="both"/>
              <w:rPr>
                <w:b/>
              </w:rPr>
            </w:pPr>
            <w:r>
              <w:rPr/>
              <w:t>Исполнитель должен иметь в управленческом аппарате не менее двух специально выделенных работников, проводящих проверки несения службы на объектах охраны.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w:t>
            </w:r>
          </w:p>
          <w:p>
            <w:pPr>
              <w:pStyle w:val="Normal"/>
              <w:widowControl w:val="false"/>
              <w:jc w:val="both"/>
              <w:rPr>
                <w:b/>
              </w:rPr>
            </w:pPr>
            <w:r>
              <w:rPr/>
              <w:t>Исполнитель должен иметь в штате, и/или привлеченный по договорам гражданско-правового характера, квалифицированный персонал (охранник) не менее 28 человек для качественного оказания услуг.  При этом выставляемые на объект Заказчика вооруженные охранники должны иметь 6-й разряд, удостоверение охранника нового образца, с наличием свидетельства о прохождении ежегодного квалификационного экзамена, личную карточку охранника, выданную Федеральной службой войск национальной гвардии. Соответствие установленному требованию подтверждается путем представления Исполнителем закупки в составе заявки сведений по форме «Справка о кадровых ресурсах» с приложением копий удостоверений, дипломов о повышении квалификации, личных карточек.</w:t>
            </w:r>
          </w:p>
          <w:p>
            <w:pPr>
              <w:pStyle w:val="Normal"/>
              <w:widowControl w:val="false"/>
              <w:rPr/>
            </w:pPr>
            <w:r>
              <w:rPr/>
              <w:t xml:space="preserve"> </w:t>
            </w:r>
            <w:r>
              <w:rPr/>
              <w:t>Исполнитель должен быть зарегистрирован на территории Республики Северная Осетия – Алания.</w:t>
            </w:r>
          </w:p>
          <w:p>
            <w:pPr>
              <w:pStyle w:val="Normal"/>
              <w:widowControl w:val="false"/>
              <w:jc w:val="both"/>
              <w:rPr/>
            </w:pPr>
            <w:r>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0"/>
              </w:rPr>
            </w:pPr>
            <w:r>
              <w:rPr>
                <w:b/>
                <w:bCs/>
                <w:color w:val="000000"/>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1.4.2</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color w:val="000000"/>
              </w:rPr>
            </w:pPr>
            <w:r>
              <w:rPr>
                <w:color w:val="000000"/>
              </w:rPr>
              <w:t>Наличие лицензий</w:t>
            </w:r>
          </w:p>
        </w:tc>
        <w:tc>
          <w:tcPr>
            <w:tcW w:w="60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rPr>
            </w:pPr>
            <w:r>
              <w:rPr>
                <w:color w:val="000000"/>
              </w:rPr>
            </w:r>
          </w:p>
          <w:p>
            <w:pPr>
              <w:pStyle w:val="Normal"/>
              <w:widowControl w:val="false"/>
              <w:jc w:val="both"/>
              <w:rPr>
                <w:color w:val="000000"/>
              </w:rPr>
            </w:pPr>
            <w:r>
              <w:rPr>
                <w:color w:val="000000"/>
              </w:rPr>
              <w:t xml:space="preserve"> </w:t>
            </w:r>
          </w:p>
          <w:p>
            <w:pPr>
              <w:pStyle w:val="Normal"/>
              <w:widowControl w:val="false"/>
              <w:jc w:val="both"/>
              <w:rPr>
                <w:color w:val="000000"/>
              </w:rPr>
            </w:pPr>
            <w:r>
              <w:rPr>
                <w:color w:val="000000"/>
              </w:rPr>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w:t>
            </w:r>
          </w:p>
        </w:tc>
        <w:tc>
          <w:tcPr>
            <w:tcW w:w="767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b/>
              </w:rPr>
              <w:t>Требования к процедурам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1.5.1.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t>Организационно-технические мероприятия по допуску персонала исполнителя</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Совместно с договором оказания услуг охраны заключить соглашение о конфиденциальности полученной от Заказчика информации по форме Приложения №1 к настоящим техническим требованиям;</w:t>
            </w:r>
          </w:p>
          <w:p>
            <w:pPr>
              <w:pStyle w:val="Normal"/>
              <w:widowControl w:val="false"/>
              <w:jc w:val="both"/>
              <w:rPr>
                <w:b/>
              </w:rPr>
            </w:pPr>
            <w:r>
              <w:rPr/>
              <w:t>Допуск персонала исполнителя для оказания услуг должен осуществляться в соответствии с «Положением о пропускном и внутриобъектовом режимах филиала ПАО «РусГидро» - «Северо-Осетинский филиал».</w:t>
            </w:r>
          </w:p>
          <w:p>
            <w:pPr>
              <w:pStyle w:val="Normal"/>
              <w:widowControl w:val="false"/>
              <w:jc w:val="both"/>
              <w:rPr>
                <w:b/>
              </w:rPr>
            </w:pPr>
            <w:r>
              <w:rPr/>
              <w:t>Подготовку рабочих мест и допуск к оказанию услуг выполняет персонал заказчика.</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результатам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документации, описывающей результат оказания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2.1.1.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Результат оказания услуг</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 xml:space="preserve">Обеспечение требований Правил по обеспечению безопасности и антитеррористической защищенности объекта </w:t>
            </w:r>
            <w:r>
              <w:rPr>
                <w:rFonts w:eastAsia="Calibri"/>
                <w:iCs/>
                <w:color w:val="000000"/>
                <w:lang w:eastAsia="en-US"/>
              </w:rPr>
              <w:t>складской инфраструктуры (производственной базы)</w:t>
            </w:r>
            <w:r>
              <w:rPr/>
              <w:t>.</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w:t>
            </w:r>
          </w:p>
        </w:tc>
        <w:tc>
          <w:tcPr>
            <w:tcW w:w="767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соблюдению положений нормативной и иной обязательной для исполнителя документации, определяемой видами услуг</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rPr>
            </w:pPr>
            <w:r>
              <w:rPr/>
              <w:t>3.1.</w:t>
            </w:r>
          </w:p>
        </w:tc>
        <w:tc>
          <w:tcPr>
            <w:tcW w:w="1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rPr>
            </w:pPr>
            <w:r>
              <w:rPr/>
              <w:t>Соблюдение при выполнении работ норм и правил нормативно-технических документов</w:t>
            </w:r>
          </w:p>
        </w:tc>
        <w:tc>
          <w:tcPr>
            <w:tcW w:w="602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t>Услуги должны осуществляться в соответствии с национальными, отраслевыми и корпоративными (ПАО «РусГидро») нормативно-техническими документами (НТД) и нормативно-правовыми актами (НПА):</w:t>
            </w:r>
          </w:p>
          <w:p>
            <w:pPr>
              <w:pStyle w:val="Normal"/>
              <w:widowControl w:val="false"/>
              <w:jc w:val="both"/>
              <w:rPr>
                <w:b/>
              </w:rPr>
            </w:pPr>
            <w:r>
              <w:rPr/>
              <w:t>- При оказании услуг должны выполняться все требования ПТБ, ППБ, ПТЭ и требования внутренних документов и правил, действующих на предприятии. Все проводимые работы должны быть согласованы с полномочными представителями Заказчика, список которых Заказчик предоставляет Исполнителю перед началом проводимых работ.</w:t>
            </w:r>
          </w:p>
        </w:tc>
        <w:tc>
          <w:tcPr>
            <w:tcW w:w="304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i/>
                <w:iCs/>
              </w:rPr>
              <w:t>Согласие с требованием</w:t>
            </w:r>
          </w:p>
        </w:tc>
        <w:tc>
          <w:tcPr>
            <w:tcW w:w="325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bl>
    <w:p>
      <w:pPr>
        <w:sectPr>
          <w:headerReference w:type="default" r:id="rId3"/>
          <w:headerReference w:type="first" r:id="rId4"/>
          <w:type w:val="nextPage"/>
          <w:pgSz w:orient="landscape" w:w="16838" w:h="11906"/>
          <w:pgMar w:left="278" w:right="992" w:gutter="0" w:header="284" w:top="1418" w:footer="0" w:bottom="851"/>
          <w:pgNumType w:fmt="decimal"/>
          <w:formProt w:val="false"/>
          <w:textDirection w:val="lrTb"/>
          <w:docGrid w:type="default" w:linePitch="360" w:charSpace="0"/>
        </w:sectPr>
      </w:pPr>
    </w:p>
    <w:p>
      <w:pPr>
        <w:pStyle w:val="Normal"/>
        <w:keepNext w:val="true"/>
        <w:numPr>
          <w:ilvl w:val="0"/>
          <w:numId w:val="0"/>
        </w:numPr>
        <w:spacing w:before="120" w:after="0"/>
        <w:jc w:val="center"/>
        <w:outlineLvl w:val="0"/>
        <w:rPr>
          <w:rFonts w:eastAsia="Calibri"/>
          <w:b/>
          <w:lang w:val="x-none" w:eastAsia="x-none"/>
        </w:rPr>
      </w:pPr>
      <w:r>
        <w:rPr>
          <w:rFonts w:eastAsia="Calibri"/>
          <w:b/>
          <w:lang w:eastAsia="x-none"/>
        </w:rPr>
        <w:t xml:space="preserve">3. </w:t>
      </w:r>
      <w:r>
        <w:rPr>
          <w:rFonts w:eastAsia="Calibri"/>
          <w:b/>
          <w:lang w:val="x-none" w:eastAsia="x-none"/>
        </w:rPr>
        <w:tab/>
        <w:t>Требования к документации по ценообразованию на этапе закупки</w:t>
      </w:r>
    </w:p>
    <w:p>
      <w:pPr>
        <w:pStyle w:val="Normal"/>
        <w:keepNext w:val="true"/>
        <w:numPr>
          <w:ilvl w:val="0"/>
          <w:numId w:val="0"/>
        </w:numPr>
        <w:spacing w:before="120" w:after="0"/>
        <w:jc w:val="center"/>
        <w:outlineLvl w:val="0"/>
        <w:rPr>
          <w:rFonts w:eastAsia="Calibri"/>
          <w:b/>
          <w:lang w:val="x-none" w:eastAsia="x-none"/>
        </w:rPr>
      </w:pPr>
      <w:r>
        <w:rPr>
          <w:rFonts w:eastAsia="Calibri"/>
          <w:b/>
          <w:lang w:val="x-none" w:eastAsia="x-none"/>
        </w:rPr>
      </w:r>
    </w:p>
    <w:p>
      <w:pPr>
        <w:pStyle w:val="Normal"/>
        <w:jc w:val="both"/>
        <w:rPr>
          <w:rFonts w:eastAsia="Calibri"/>
          <w:b/>
          <w:lang w:eastAsia="x-none"/>
        </w:rPr>
      </w:pPr>
      <w:r>
        <w:rPr>
          <w:rFonts w:eastAsia="Calibri"/>
          <w:color w:val="000000"/>
          <w:lang w:eastAsia="en-US"/>
        </w:rPr>
        <w:t>3.1. В обоснование стоимости заявки Исполнитель должен представить Коммерческое предложение по форме, приведенной в Документации о закупке. Сметная документация в состав заявки Исполнителя не включается.</w:t>
      </w:r>
    </w:p>
    <w:p>
      <w:pPr>
        <w:pStyle w:val="Normal"/>
        <w:jc w:val="both"/>
        <w:rPr>
          <w:rFonts w:eastAsia="Calibri"/>
          <w:b/>
          <w:lang w:eastAsia="x-none"/>
        </w:rPr>
      </w:pPr>
      <w:r>
        <w:rPr>
          <w:rFonts w:eastAsia="Calibri"/>
          <w:color w:val="000000"/>
          <w:lang w:eastAsia="en-US"/>
        </w:rPr>
        <w:t xml:space="preserve">3.2. </w:t>
      </w:r>
      <w:r>
        <w:rPr>
          <w:rFonts w:eastAsia="Calibri"/>
          <w:lang w:eastAsia="en-US"/>
        </w:rPr>
        <w:t xml:space="preserve">При заключении Договора </w:t>
      </w:r>
      <w:r>
        <w:rPr/>
        <w:t>Исполнитель представляет р</w:t>
      </w:r>
      <w:r>
        <w:rPr>
          <w:rFonts w:eastAsia="Calibri"/>
          <w:lang w:eastAsia="en-US"/>
        </w:rPr>
        <w:t>асчет стоимости услуг охраны объекта Заказчика</w:t>
      </w:r>
      <w:r>
        <w:rPr/>
        <w:t xml:space="preserve"> </w:t>
      </w:r>
      <w:r>
        <w:rPr>
          <w:rFonts w:eastAsia="Calibri"/>
          <w:lang w:eastAsia="en-US"/>
        </w:rPr>
        <w:t>по форме таблицы №2</w:t>
      </w:r>
      <w:r>
        <w:rPr>
          <w:rFonts w:eastAsia="Calibri"/>
          <w:bCs/>
          <w:lang w:eastAsia="en-US"/>
        </w:rPr>
        <w:t>,</w:t>
      </w:r>
      <w:r>
        <w:rPr>
          <w:rFonts w:eastAsia="Calibri"/>
          <w:lang w:eastAsia="en-US"/>
        </w:rPr>
        <w:t xml:space="preserve"> либо распорядительный документ организации, утверждающий стоимость расценки (прейскурант) услуг физической охраны. Цена, предлагаемая Исполнителем закупки, должна быть указана с учетом всех налогов, включая НДС и оставаться фиксированной на протяжении всего календарного года. </w:t>
      </w:r>
    </w:p>
    <w:p>
      <w:pPr>
        <w:pStyle w:val="Normal"/>
        <w:jc w:val="both"/>
        <w:rPr>
          <w:rFonts w:eastAsia="Calibri"/>
          <w:lang w:eastAsia="en-US"/>
        </w:rPr>
      </w:pPr>
      <w:r>
        <w:rPr>
          <w:rFonts w:eastAsia="Calibri"/>
          <w:lang w:eastAsia="en-US"/>
        </w:rPr>
      </w:r>
    </w:p>
    <w:p>
      <w:pPr>
        <w:pStyle w:val="Normal"/>
        <w:shd w:val="clear" w:color="auto" w:fill="FFFFFF"/>
        <w:ind w:right="14" w:hanging="0"/>
        <w:jc w:val="both"/>
        <w:rPr>
          <w:rFonts w:eastAsia="Calibri"/>
          <w:lang w:eastAsia="en-US"/>
        </w:rPr>
      </w:pPr>
      <w:r>
        <w:rPr>
          <w:rFonts w:eastAsia="Calibri"/>
          <w:lang w:eastAsia="en-US"/>
        </w:rPr>
        <w:t xml:space="preserve">                                                                                                                         </w:t>
      </w:r>
      <w:r>
        <w:rPr>
          <w:rFonts w:eastAsia="Calibri"/>
          <w:lang w:eastAsia="en-US"/>
        </w:rPr>
        <w:t>Таблица №2.</w:t>
      </w:r>
    </w:p>
    <w:tbl>
      <w:tblPr>
        <w:tblW w:w="935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1"/>
        <w:gridCol w:w="1699"/>
        <w:gridCol w:w="2028"/>
        <w:gridCol w:w="1662"/>
        <w:gridCol w:w="1846"/>
      </w:tblGrid>
      <w:tr>
        <w:trPr>
          <w:trHeight w:val="300" w:hRule="atLeast"/>
        </w:trPr>
        <w:tc>
          <w:tcPr>
            <w:tcW w:w="9356" w:type="dxa"/>
            <w:gridSpan w:val="5"/>
            <w:tcBorders>
              <w:bottom w:val="single" w:sz="4" w:space="0" w:color="000000"/>
            </w:tcBorders>
            <w:vAlign w:val="center"/>
          </w:tcPr>
          <w:p>
            <w:pPr>
              <w:pStyle w:val="Normal"/>
              <w:widowControl w:val="false"/>
              <w:jc w:val="center"/>
              <w:rPr>
                <w:bCs/>
                <w:color w:val="000000"/>
              </w:rPr>
            </w:pPr>
            <w:r>
              <w:rPr>
                <w:bCs/>
                <w:color w:val="000000"/>
              </w:rPr>
              <w:t xml:space="preserve">Расчет стоимости услуг </w:t>
            </w:r>
          </w:p>
        </w:tc>
      </w:tr>
      <w:tr>
        <w:trPr>
          <w:trHeight w:val="1425" w:hRule="atLeast"/>
        </w:trPr>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месяца</w:t>
            </w:r>
          </w:p>
        </w:tc>
        <w:tc>
          <w:tcPr>
            <w:tcW w:w="1699"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в сутки (час)</w:t>
            </w:r>
          </w:p>
        </w:tc>
        <w:tc>
          <w:tcPr>
            <w:tcW w:w="2028"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с 01.01.202</w:t>
            </w:r>
            <w:r>
              <w:rPr>
                <w:bCs/>
                <w:color w:val="000000"/>
              </w:rPr>
              <w:t>7</w:t>
            </w:r>
            <w:r>
              <w:rPr>
                <w:bCs/>
                <w:color w:val="000000"/>
              </w:rPr>
              <w:t xml:space="preserve"> г. по 31.12.202</w:t>
            </w:r>
            <w:r>
              <w:rPr>
                <w:bCs/>
                <w:color w:val="000000"/>
              </w:rPr>
              <w:t>7</w:t>
            </w:r>
            <w:r>
              <w:rPr>
                <w:bCs/>
                <w:color w:val="000000"/>
              </w:rPr>
              <w:t xml:space="preserve"> г. (час.)</w:t>
            </w:r>
          </w:p>
        </w:tc>
        <w:tc>
          <w:tcPr>
            <w:tcW w:w="1662"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Стоимость 1 часа охраны (руб. без НДС)</w:t>
            </w:r>
          </w:p>
        </w:tc>
        <w:tc>
          <w:tcPr>
            <w:tcW w:w="1846"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Всего стоимость </w:t>
            </w:r>
          </w:p>
          <w:p>
            <w:pPr>
              <w:pStyle w:val="Normal"/>
              <w:widowControl w:val="false"/>
              <w:jc w:val="center"/>
              <w:rPr>
                <w:bCs/>
                <w:color w:val="000000"/>
              </w:rPr>
            </w:pPr>
            <w:r>
              <w:rPr>
                <w:bCs/>
                <w:color w:val="000000"/>
              </w:rPr>
              <w:t>(руб. без НДС)</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1</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2</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3</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4</w:t>
            </w:r>
          </w:p>
        </w:tc>
        <w:tc>
          <w:tcPr>
            <w:tcW w:w="1846" w:type="dxa"/>
            <w:tcBorders>
              <w:bottom w:val="single" w:sz="4" w:space="0" w:color="000000"/>
              <w:right w:val="single" w:sz="4" w:space="0" w:color="000000"/>
            </w:tcBorders>
            <w:vAlign w:val="bottom"/>
          </w:tcPr>
          <w:p>
            <w:pPr>
              <w:pStyle w:val="Normal"/>
              <w:widowControl w:val="false"/>
              <w:jc w:val="center"/>
              <w:rPr>
                <w:bCs/>
                <w:color w:val="000000"/>
              </w:rPr>
            </w:pPr>
            <w:r>
              <w:rPr>
                <w:bCs/>
                <w:color w:val="000000"/>
              </w:rPr>
              <w:t>5</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Январь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Февраль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Март</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Апрель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Май</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Июнь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Август</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Сентябрь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Октябрь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Ноябрь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Декабрь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b/>
                <w:bCs/>
                <w:color w:val="000000"/>
              </w:rPr>
            </w:pPr>
            <w:r>
              <w:rPr>
                <w:b/>
                <w:bCs/>
                <w:color w:val="000000"/>
              </w:rPr>
              <w:t>Итого:</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center"/>
          </w:tcPr>
          <w:p>
            <w:pPr>
              <w:pStyle w:val="Normal"/>
              <w:widowControl w:val="false"/>
              <w:jc w:val="center"/>
              <w:rPr>
                <w:b/>
                <w:bCs/>
                <w:color w:val="000000"/>
              </w:rPr>
            </w:pPr>
            <w:r>
              <w:rPr>
                <w:b/>
                <w:bCs/>
                <w:color w:val="000000"/>
              </w:rPr>
              <w:t> </w:t>
            </w:r>
          </w:p>
        </w:tc>
      </w:tr>
    </w:tbl>
    <w:p>
      <w:pPr>
        <w:pStyle w:val="Normal"/>
        <w:tabs>
          <w:tab w:val="clear" w:pos="709"/>
          <w:tab w:val="left" w:pos="426" w:leader="none"/>
        </w:tabs>
        <w:rPr>
          <w:rFonts w:eastAsia="Calibri"/>
          <w:b/>
          <w:bCs/>
          <w:iCs/>
          <w:lang w:val="x-none" w:eastAsia="x-none"/>
        </w:rPr>
      </w:pPr>
      <w:r>
        <w:rPr>
          <w:rFonts w:eastAsia="Calibri"/>
          <w:b/>
          <w:bCs/>
          <w:iCs/>
          <w:lang w:val="x-none"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keepNext w:val="true"/>
        <w:numPr>
          <w:ilvl w:val="0"/>
          <w:numId w:val="0"/>
        </w:numPr>
        <w:spacing w:before="120" w:after="0"/>
        <w:jc w:val="center"/>
        <w:outlineLvl w:val="0"/>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r>
        <w:br w:type="page"/>
      </w:r>
    </w:p>
    <w:p>
      <w:pPr>
        <w:pStyle w:val="Normal"/>
        <w:keepNext w:val="true"/>
        <w:numPr>
          <w:ilvl w:val="0"/>
          <w:numId w:val="0"/>
        </w:numPr>
        <w:spacing w:before="120" w:after="0"/>
        <w:jc w:val="center"/>
        <w:outlineLvl w:val="0"/>
        <w:rPr>
          <w:rFonts w:eastAsia="Calibri"/>
          <w:b/>
          <w:lang w:val="x-none" w:eastAsia="x-none"/>
        </w:rPr>
      </w:pPr>
      <w:r>
        <w:rPr>
          <w:rFonts w:eastAsia="Calibri"/>
          <w:b/>
          <w:lang w:eastAsia="x-none"/>
        </w:rPr>
        <w:t xml:space="preserve">4. </w:t>
      </w:r>
      <w:bookmarkStart w:id="0" w:name="_Toc54647836"/>
      <w:bookmarkStart w:id="1" w:name="_Toc54643138"/>
      <w:bookmarkStart w:id="2" w:name="_Toc54618152"/>
      <w:bookmarkStart w:id="3" w:name="_Toc54279845"/>
      <w:r>
        <w:rPr>
          <w:rFonts w:eastAsia="Calibri"/>
          <w:b/>
          <w:lang w:val="x-none" w:eastAsia="x-none"/>
        </w:rPr>
        <w:t>Требования к документации по ценообразованию на этапе заключения</w:t>
      </w:r>
      <w:r>
        <w:rPr>
          <w:rFonts w:eastAsia="Calibri"/>
          <w:b/>
          <w:lang w:eastAsia="x-none"/>
        </w:rPr>
        <w:t xml:space="preserve"> (исполнения)</w:t>
      </w:r>
      <w:r>
        <w:rPr>
          <w:rFonts w:eastAsia="Calibri"/>
          <w:b/>
          <w:lang w:val="x-none" w:eastAsia="x-none"/>
        </w:rPr>
        <w:t xml:space="preserve"> договора</w:t>
      </w:r>
      <w:bookmarkEnd w:id="0"/>
      <w:bookmarkEnd w:id="1"/>
      <w:bookmarkEnd w:id="2"/>
      <w:bookmarkEnd w:id="3"/>
    </w:p>
    <w:p>
      <w:pPr>
        <w:pStyle w:val="Normal"/>
        <w:keepNext w:val="true"/>
        <w:numPr>
          <w:ilvl w:val="0"/>
          <w:numId w:val="0"/>
        </w:numPr>
        <w:spacing w:before="120" w:after="0"/>
        <w:jc w:val="center"/>
        <w:outlineLvl w:val="0"/>
        <w:rPr>
          <w:rFonts w:eastAsia="Calibri"/>
          <w:b/>
          <w:lang w:val="x-none" w:eastAsia="x-none"/>
        </w:rPr>
      </w:pPr>
      <w:r>
        <w:rPr>
          <w:rFonts w:eastAsia="Calibri"/>
          <w:b/>
          <w:lang w:val="x-none" w:eastAsia="x-none"/>
        </w:rPr>
      </w:r>
    </w:p>
    <w:p>
      <w:pPr>
        <w:pStyle w:val="Normal"/>
        <w:jc w:val="both"/>
        <w:rPr>
          <w:rFonts w:eastAsia="Calibri"/>
          <w:b/>
          <w:lang w:eastAsia="x-none"/>
        </w:rPr>
      </w:pPr>
      <w:r>
        <w:rPr>
          <w:rFonts w:eastAsia="Calibri"/>
          <w:color w:val="000000"/>
          <w:lang w:eastAsia="en-US"/>
        </w:rPr>
        <w:t>4.1. В обоснование стоимости заявки Исполнитель должен представить Коммерческое предложение по форме, приведенной в Документации о закупке. Сметная документация в состав заявки Исполнителя не включается.</w:t>
      </w:r>
    </w:p>
    <w:p>
      <w:pPr>
        <w:pStyle w:val="Normal"/>
        <w:jc w:val="both"/>
        <w:rPr>
          <w:rFonts w:eastAsia="Calibri"/>
          <w:b/>
          <w:lang w:eastAsia="x-none"/>
        </w:rPr>
      </w:pPr>
      <w:r>
        <w:rPr>
          <w:rFonts w:eastAsia="Calibri"/>
          <w:color w:val="000000"/>
          <w:lang w:eastAsia="en-US"/>
        </w:rPr>
        <w:t xml:space="preserve">4.2. </w:t>
      </w:r>
      <w:r>
        <w:rPr>
          <w:rFonts w:eastAsia="Calibri"/>
          <w:lang w:eastAsia="en-US"/>
        </w:rPr>
        <w:t xml:space="preserve">При заключении Договора </w:t>
      </w:r>
      <w:r>
        <w:rPr/>
        <w:t>Исполнитель представляет р</w:t>
      </w:r>
      <w:r>
        <w:rPr>
          <w:rFonts w:eastAsia="Calibri"/>
          <w:lang w:eastAsia="en-US"/>
        </w:rPr>
        <w:t>асчет стоимости услуг охраны объекта Заказчика</w:t>
      </w:r>
      <w:r>
        <w:rPr/>
        <w:t xml:space="preserve"> </w:t>
      </w:r>
      <w:r>
        <w:rPr>
          <w:rFonts w:eastAsia="Calibri"/>
          <w:lang w:eastAsia="en-US"/>
        </w:rPr>
        <w:t>по форме таблицы №2</w:t>
      </w:r>
      <w:r>
        <w:rPr>
          <w:rFonts w:eastAsia="Calibri"/>
          <w:bCs/>
          <w:lang w:eastAsia="en-US"/>
        </w:rPr>
        <w:t>,</w:t>
      </w:r>
      <w:r>
        <w:rPr>
          <w:rFonts w:eastAsia="Calibri"/>
          <w:lang w:eastAsia="en-US"/>
        </w:rPr>
        <w:t xml:space="preserve"> либо распорядительный документ организации, утверждающий стоимость расценки (прейскурант) услуг физической охраны. Цена, предлагаемая Исполнителем закупки, должна быть указана с учетом всех налогов, включая НДС и оставаться фиксированной на протяжении всего календарного года. </w:t>
      </w:r>
    </w:p>
    <w:p>
      <w:pPr>
        <w:pStyle w:val="Normal"/>
        <w:jc w:val="both"/>
        <w:rPr>
          <w:rFonts w:eastAsia="Calibri"/>
          <w:lang w:eastAsia="en-US"/>
        </w:rPr>
      </w:pPr>
      <w:r>
        <w:rPr>
          <w:rFonts w:eastAsia="Calibri"/>
          <w:lang w:eastAsia="en-US"/>
        </w:rPr>
      </w:r>
    </w:p>
    <w:p>
      <w:pPr>
        <w:pStyle w:val="Normal"/>
        <w:shd w:val="clear" w:color="auto" w:fill="FFFFFF"/>
        <w:ind w:right="14" w:hanging="0"/>
        <w:jc w:val="both"/>
        <w:rPr>
          <w:rFonts w:eastAsia="Calibri"/>
          <w:lang w:eastAsia="en-US"/>
        </w:rPr>
      </w:pPr>
      <w:r>
        <w:rPr>
          <w:rFonts w:eastAsia="Calibri"/>
          <w:lang w:eastAsia="en-US"/>
        </w:rPr>
        <w:t xml:space="preserve">                                                                                                                         </w:t>
      </w:r>
      <w:r>
        <w:rPr>
          <w:rFonts w:eastAsia="Calibri"/>
          <w:lang w:eastAsia="en-US"/>
        </w:rPr>
        <w:t>Таблица №2.</w:t>
      </w:r>
    </w:p>
    <w:tbl>
      <w:tblPr>
        <w:tblW w:w="9356"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2121"/>
        <w:gridCol w:w="1699"/>
        <w:gridCol w:w="2028"/>
        <w:gridCol w:w="1662"/>
        <w:gridCol w:w="1846"/>
      </w:tblGrid>
      <w:tr>
        <w:trPr>
          <w:trHeight w:val="300" w:hRule="atLeast"/>
        </w:trPr>
        <w:tc>
          <w:tcPr>
            <w:tcW w:w="9356" w:type="dxa"/>
            <w:gridSpan w:val="5"/>
            <w:tcBorders>
              <w:bottom w:val="single" w:sz="4" w:space="0" w:color="000000"/>
            </w:tcBorders>
            <w:vAlign w:val="center"/>
          </w:tcPr>
          <w:p>
            <w:pPr>
              <w:pStyle w:val="Normal"/>
              <w:widowControl w:val="false"/>
              <w:jc w:val="center"/>
              <w:rPr>
                <w:bCs/>
                <w:color w:val="000000"/>
              </w:rPr>
            </w:pPr>
            <w:r>
              <w:rPr>
                <w:bCs/>
                <w:color w:val="000000"/>
              </w:rPr>
              <w:t xml:space="preserve">Расчет стоимости услуг </w:t>
            </w:r>
          </w:p>
        </w:tc>
      </w:tr>
      <w:tr>
        <w:trPr>
          <w:trHeight w:val="1425" w:hRule="atLeast"/>
        </w:trPr>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Наименование месяца</w:t>
            </w:r>
          </w:p>
        </w:tc>
        <w:tc>
          <w:tcPr>
            <w:tcW w:w="1699"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в сутки (час)</w:t>
            </w:r>
          </w:p>
        </w:tc>
        <w:tc>
          <w:tcPr>
            <w:tcW w:w="2028"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Количество часов охраны с 01.01.202</w:t>
            </w:r>
            <w:r>
              <w:rPr>
                <w:bCs/>
                <w:color w:val="000000"/>
              </w:rPr>
              <w:t>7</w:t>
            </w:r>
            <w:r>
              <w:rPr>
                <w:bCs/>
                <w:color w:val="000000"/>
              </w:rPr>
              <w:t xml:space="preserve"> г. по 31.12.202</w:t>
            </w:r>
            <w:r>
              <w:rPr>
                <w:bCs/>
                <w:color w:val="000000"/>
              </w:rPr>
              <w:t>7</w:t>
            </w:r>
            <w:r>
              <w:rPr>
                <w:bCs/>
                <w:color w:val="000000"/>
              </w:rPr>
              <w:t xml:space="preserve"> г. (час.)</w:t>
            </w:r>
          </w:p>
        </w:tc>
        <w:tc>
          <w:tcPr>
            <w:tcW w:w="1662"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Стоимость 1 часа охраны (руб. без НДС)</w:t>
            </w:r>
          </w:p>
        </w:tc>
        <w:tc>
          <w:tcPr>
            <w:tcW w:w="1846" w:type="dxa"/>
            <w:tcBorders>
              <w:top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 xml:space="preserve">Всего стоимость </w:t>
            </w:r>
          </w:p>
          <w:p>
            <w:pPr>
              <w:pStyle w:val="Normal"/>
              <w:widowControl w:val="false"/>
              <w:jc w:val="center"/>
              <w:rPr>
                <w:bCs/>
                <w:color w:val="000000"/>
              </w:rPr>
            </w:pPr>
            <w:r>
              <w:rPr>
                <w:bCs/>
                <w:color w:val="000000"/>
              </w:rPr>
              <w:t>(руб. без НДС)</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jc w:val="center"/>
              <w:rPr>
                <w:bCs/>
                <w:color w:val="000000"/>
              </w:rPr>
            </w:pPr>
            <w:r>
              <w:rPr>
                <w:bCs/>
                <w:color w:val="000000"/>
              </w:rPr>
              <w:t>1</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2</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3</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4</w:t>
            </w:r>
          </w:p>
        </w:tc>
        <w:tc>
          <w:tcPr>
            <w:tcW w:w="1846" w:type="dxa"/>
            <w:tcBorders>
              <w:bottom w:val="single" w:sz="4" w:space="0" w:color="000000"/>
              <w:right w:val="single" w:sz="4" w:space="0" w:color="000000"/>
            </w:tcBorders>
            <w:vAlign w:val="bottom"/>
          </w:tcPr>
          <w:p>
            <w:pPr>
              <w:pStyle w:val="Normal"/>
              <w:widowControl w:val="false"/>
              <w:jc w:val="center"/>
              <w:rPr>
                <w:bCs/>
                <w:color w:val="000000"/>
              </w:rPr>
            </w:pPr>
            <w:r>
              <w:rPr>
                <w:bCs/>
                <w:color w:val="000000"/>
              </w:rPr>
              <w:t>5</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Январь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Февраль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Март</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Апрель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Май</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Июнь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Июль</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Август</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bottom"/>
          </w:tcPr>
          <w:p>
            <w:pPr>
              <w:pStyle w:val="Normal"/>
              <w:widowControl w:val="false"/>
              <w:jc w:val="center"/>
              <w:rPr>
                <w:b/>
                <w:bCs/>
                <w:color w:val="000000"/>
              </w:rPr>
            </w:pPr>
            <w:r>
              <w:rPr>
                <w:b/>
                <w:bCs/>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Сентябрь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Октябрь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Ноябрь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rPr>
              <w:t>Декабрь</w:t>
            </w:r>
          </w:p>
        </w:tc>
        <w:tc>
          <w:tcPr>
            <w:tcW w:w="1699"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2028"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662"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c>
          <w:tcPr>
            <w:tcW w:w="1846" w:type="dxa"/>
            <w:tcBorders>
              <w:bottom w:val="single" w:sz="4" w:space="0" w:color="000000"/>
              <w:right w:val="single" w:sz="4" w:space="0" w:color="000000"/>
            </w:tcBorders>
            <w:vAlign w:val="center"/>
          </w:tcPr>
          <w:p>
            <w:pPr>
              <w:pStyle w:val="Normal"/>
              <w:widowControl w:val="false"/>
              <w:jc w:val="center"/>
              <w:rPr>
                <w:color w:val="000000"/>
              </w:rPr>
            </w:pPr>
            <w:r>
              <w:rPr>
                <w:color w:val="000000"/>
              </w:rPr>
              <w:t> </w:t>
            </w:r>
          </w:p>
        </w:tc>
      </w:tr>
      <w:tr>
        <w:trPr>
          <w:trHeight w:val="300" w:hRule="atLeast"/>
        </w:trPr>
        <w:tc>
          <w:tcPr>
            <w:tcW w:w="2121" w:type="dxa"/>
            <w:tcBorders>
              <w:left w:val="single" w:sz="4" w:space="0" w:color="000000"/>
              <w:bottom w:val="single" w:sz="4" w:space="0" w:color="000000"/>
              <w:right w:val="single" w:sz="4" w:space="0" w:color="000000"/>
            </w:tcBorders>
            <w:vAlign w:val="center"/>
          </w:tcPr>
          <w:p>
            <w:pPr>
              <w:pStyle w:val="Normal"/>
              <w:widowControl w:val="false"/>
              <w:rPr>
                <w:b/>
                <w:bCs/>
                <w:color w:val="000000"/>
              </w:rPr>
            </w:pPr>
            <w:r>
              <w:rPr>
                <w:b/>
                <w:bCs/>
                <w:color w:val="000000"/>
              </w:rPr>
              <w:t>Итого:</w:t>
            </w:r>
          </w:p>
        </w:tc>
        <w:tc>
          <w:tcPr>
            <w:tcW w:w="1699"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2028"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662" w:type="dxa"/>
            <w:tcBorders>
              <w:bottom w:val="single" w:sz="4" w:space="0" w:color="000000"/>
              <w:right w:val="single" w:sz="4" w:space="0" w:color="000000"/>
            </w:tcBorders>
            <w:vAlign w:val="center"/>
          </w:tcPr>
          <w:p>
            <w:pPr>
              <w:pStyle w:val="Normal"/>
              <w:widowControl w:val="false"/>
              <w:jc w:val="center"/>
              <w:rPr>
                <w:bCs/>
                <w:color w:val="000000"/>
              </w:rPr>
            </w:pPr>
            <w:r>
              <w:rPr>
                <w:bCs/>
                <w:color w:val="000000"/>
              </w:rPr>
              <w:t> </w:t>
            </w:r>
          </w:p>
        </w:tc>
        <w:tc>
          <w:tcPr>
            <w:tcW w:w="1846" w:type="dxa"/>
            <w:tcBorders>
              <w:bottom w:val="single" w:sz="4" w:space="0" w:color="000000"/>
              <w:right w:val="single" w:sz="4" w:space="0" w:color="000000"/>
            </w:tcBorders>
            <w:vAlign w:val="center"/>
          </w:tcPr>
          <w:p>
            <w:pPr>
              <w:pStyle w:val="Normal"/>
              <w:widowControl w:val="false"/>
              <w:jc w:val="center"/>
              <w:rPr>
                <w:b/>
                <w:bCs/>
                <w:color w:val="000000"/>
              </w:rPr>
            </w:pPr>
            <w:r>
              <w:rPr>
                <w:b/>
                <w:bCs/>
                <w:color w:val="000000"/>
              </w:rPr>
              <w:t> </w:t>
            </w:r>
          </w:p>
        </w:tc>
      </w:tr>
    </w:tbl>
    <w:p>
      <w:pPr>
        <w:pStyle w:val="Normal"/>
        <w:tabs>
          <w:tab w:val="clear" w:pos="709"/>
          <w:tab w:val="left" w:pos="426" w:leader="none"/>
        </w:tabs>
        <w:rPr>
          <w:rFonts w:eastAsia="Calibri"/>
          <w:b/>
          <w:bCs/>
          <w:iCs/>
          <w:lang w:val="x-none" w:eastAsia="x-none"/>
        </w:rPr>
      </w:pPr>
      <w:r>
        <w:rPr>
          <w:rFonts w:eastAsia="Calibri"/>
          <w:b/>
          <w:bCs/>
          <w:iCs/>
          <w:lang w:val="x-none" w:eastAsia="x-none"/>
        </w:rPr>
      </w:r>
    </w:p>
    <w:p>
      <w:pPr>
        <w:pStyle w:val="Normal"/>
        <w:spacing w:before="0" w:after="0"/>
        <w:ind w:firstLine="426"/>
        <w:contextualSpacing/>
        <w:jc w:val="center"/>
        <w:rPr>
          <w:rFonts w:eastAsia="Calibri"/>
          <w:b/>
          <w:lang w:eastAsia="x-none"/>
        </w:rPr>
      </w:pPr>
      <w:r>
        <w:rPr>
          <w:rFonts w:eastAsia="Calibri"/>
          <w:b/>
        </w:rPr>
        <w:t xml:space="preserve">4. </w:t>
      </w:r>
      <w:r>
        <w:rPr>
          <w:b/>
        </w:rPr>
        <w:t>Приложения</w:t>
      </w:r>
    </w:p>
    <w:p>
      <w:pPr>
        <w:pStyle w:val="Normal"/>
        <w:spacing w:before="0" w:after="0"/>
        <w:ind w:firstLine="426"/>
        <w:contextualSpacing/>
        <w:jc w:val="center"/>
        <w:rPr>
          <w:b/>
        </w:rPr>
      </w:pPr>
      <w:r>
        <w:rPr>
          <w:b/>
        </w:rPr>
      </w:r>
    </w:p>
    <w:p>
      <w:pPr>
        <w:pStyle w:val="Normal"/>
        <w:jc w:val="both"/>
        <w:rPr>
          <w:rFonts w:eastAsia="Calibri"/>
          <w:b/>
          <w:lang w:eastAsia="x-none"/>
        </w:rPr>
      </w:pPr>
      <w:r>
        <w:rPr/>
        <w:t>Приложение № 1. Соглашение о конфиденциальности</w:t>
      </w:r>
      <w:r>
        <w:rPr>
          <w:bCs/>
        </w:rPr>
        <w:t>.</w:t>
      </w:r>
    </w:p>
    <w:p>
      <w:pPr>
        <w:pStyle w:val="Normal"/>
        <w:jc w:val="both"/>
        <w:rPr>
          <w:rFonts w:eastAsia="Calibri"/>
          <w:b/>
          <w:lang w:eastAsia="x-none"/>
        </w:rPr>
      </w:pPr>
      <w:r>
        <w:rPr/>
        <w:t xml:space="preserve">Приложение №2. Анкета. </w:t>
      </w:r>
    </w:p>
    <w:p>
      <w:pPr>
        <w:pStyle w:val="Normal"/>
        <w:jc w:val="both"/>
        <w:rPr>
          <w:rFonts w:eastAsia="Calibri"/>
          <w:b/>
          <w:lang w:eastAsia="x-none"/>
        </w:rPr>
      </w:pPr>
      <w:r>
        <w:rPr/>
        <w:t>Приложение №3. Согласие на обработку персональных данных.</w:t>
      </w:r>
    </w:p>
    <w:p>
      <w:pPr>
        <w:pStyle w:val="Normal"/>
        <w:jc w:val="both"/>
        <w:rPr>
          <w:rFonts w:eastAsia="Calibri"/>
          <w:b/>
          <w:lang w:eastAsia="x-none"/>
        </w:rPr>
      </w:pPr>
      <w:r>
        <w:rPr>
          <w:bCs/>
        </w:rPr>
        <w:t>Приложение №4. Дислокация постов  охраны.</w:t>
      </w:r>
    </w:p>
    <w:p>
      <w:pPr>
        <w:pStyle w:val="Normal"/>
        <w:tabs>
          <w:tab w:val="clear" w:pos="709"/>
          <w:tab w:val="left" w:pos="284" w:leader="none"/>
        </w:tabs>
        <w:jc w:val="both"/>
        <w:rPr>
          <w:bCs/>
        </w:rPr>
      </w:pPr>
      <w:r>
        <w:rPr>
          <w:bCs/>
        </w:rPr>
      </w:r>
    </w:p>
    <w:p>
      <w:pPr>
        <w:pStyle w:val="Normal"/>
        <w:jc w:val="both"/>
        <w:rPr>
          <w:bCs/>
        </w:rPr>
      </w:pPr>
      <w:r>
        <w:rPr>
          <w:bCs/>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r>
        <w:br w:type="page"/>
      </w:r>
    </w:p>
    <w:p>
      <w:pPr>
        <w:pStyle w:val="Normal"/>
        <w:shd w:val="clear" w:color="auto" w:fill="FFFFFF"/>
        <w:ind w:right="14" w:firstLine="567"/>
        <w:jc w:val="right"/>
        <w:rPr>
          <w:rFonts w:eastAsia="Calibri"/>
          <w:bCs/>
          <w:lang w:eastAsia="en-US"/>
        </w:rPr>
      </w:pPr>
      <w:r>
        <w:rPr>
          <w:rFonts w:eastAsia="Calibri"/>
          <w:bCs/>
          <w:lang w:eastAsia="en-US"/>
        </w:rPr>
        <w:t>Приложение №1</w:t>
      </w:r>
    </w:p>
    <w:p>
      <w:pPr>
        <w:pStyle w:val="Normal"/>
        <w:ind w:left="5812" w:hanging="0"/>
        <w:jc w:val="right"/>
        <w:rPr>
          <w:rFonts w:eastAsia="Calibri"/>
          <w:b/>
          <w:lang w:eastAsia="x-none"/>
        </w:rPr>
      </w:pPr>
      <w:r>
        <w:rPr>
          <w:rFonts w:eastAsia="Calibri"/>
          <w:lang w:eastAsia="en-US"/>
        </w:rPr>
        <w:t xml:space="preserve">к Техническим требованиям </w:t>
      </w:r>
      <w:r>
        <w:rPr>
          <w:rFonts w:eastAsia="Calibri"/>
          <w:bCs/>
          <w:lang w:eastAsia="en-US"/>
        </w:rPr>
        <w:t xml:space="preserve">на закупку </w:t>
      </w:r>
      <w:r>
        <w:rPr>
          <w:rFonts w:eastAsia="Calibri"/>
          <w:color w:val="000000"/>
          <w:lang w:eastAsia="en-US"/>
        </w:rPr>
        <w:t>оказания услуг</w:t>
      </w:r>
    </w:p>
    <w:p>
      <w:pPr>
        <w:pStyle w:val="Normal"/>
        <w:ind w:firstLine="709"/>
        <w:jc w:val="right"/>
        <w:rPr>
          <w:rFonts w:eastAsia="Calibri"/>
          <w:lang w:eastAsia="en-US"/>
        </w:rPr>
      </w:pPr>
      <w:r>
        <w:rPr>
          <w:rFonts w:eastAsia="Calibri"/>
          <w:lang w:eastAsia="en-US"/>
        </w:rPr>
        <w:t>ОКПД2 84.</w:t>
      </w:r>
      <w:r>
        <w:rPr>
          <w:rFonts w:eastAsia="Calibri"/>
          <w:bCs/>
          <w:lang w:eastAsia="en-US"/>
        </w:rPr>
        <w:t>24 Услуги</w:t>
      </w:r>
      <w:r>
        <w:rPr>
          <w:rFonts w:eastAsia="Calibri"/>
          <w:lang w:eastAsia="en-US"/>
        </w:rPr>
        <w:t xml:space="preserve"> по охране </w:t>
      </w:r>
    </w:p>
    <w:p>
      <w:pPr>
        <w:pStyle w:val="Normal"/>
        <w:jc w:val="right"/>
        <w:rPr>
          <w:rFonts w:eastAsia="Calibri"/>
          <w:lang w:eastAsia="en-US"/>
        </w:rPr>
      </w:pPr>
      <w:r>
        <w:rPr>
          <w:rFonts w:eastAsia="Calibri"/>
          <w:iCs/>
          <w:color w:val="000000"/>
          <w:lang w:eastAsia="en-US"/>
        </w:rPr>
        <w:t xml:space="preserve">и антитеррористической </w:t>
      </w:r>
    </w:p>
    <w:p>
      <w:pPr>
        <w:pStyle w:val="Normal"/>
        <w:ind w:firstLine="709"/>
        <w:jc w:val="right"/>
        <w:rPr>
          <w:rFonts w:eastAsia="Calibri"/>
          <w:lang w:eastAsia="en-US"/>
        </w:rPr>
      </w:pPr>
      <w:r>
        <w:rPr>
          <w:rFonts w:eastAsia="Calibri"/>
          <w:iCs/>
          <w:color w:val="000000"/>
          <w:lang w:eastAsia="en-US"/>
        </w:rPr>
        <w:t xml:space="preserve">защищенности складской инфраструктуры </w:t>
      </w:r>
    </w:p>
    <w:p>
      <w:pPr>
        <w:pStyle w:val="Normal"/>
        <w:ind w:firstLine="709"/>
        <w:jc w:val="right"/>
        <w:rPr>
          <w:rFonts w:eastAsia="Calibri"/>
          <w:lang w:eastAsia="en-US"/>
        </w:rPr>
      </w:pPr>
      <w:r>
        <w:rPr>
          <w:rFonts w:eastAsia="Calibri"/>
          <w:iCs/>
          <w:color w:val="000000"/>
          <w:lang w:eastAsia="en-US"/>
        </w:rPr>
        <w:t>складской инфраструктуры</w:t>
      </w:r>
    </w:p>
    <w:p>
      <w:pPr>
        <w:pStyle w:val="Normal"/>
        <w:ind w:firstLine="709"/>
        <w:jc w:val="right"/>
        <w:rPr>
          <w:rFonts w:eastAsia="Calibri"/>
          <w:lang w:eastAsia="en-US"/>
        </w:rPr>
      </w:pPr>
      <w:r>
        <w:rPr>
          <w:rFonts w:eastAsia="Calibri"/>
          <w:lang w:eastAsia="en-US"/>
        </w:rPr>
        <w:t>филиала ПАО «РусГидро»-«Северо-</w:t>
      </w:r>
    </w:p>
    <w:p>
      <w:pPr>
        <w:pStyle w:val="Normal"/>
        <w:ind w:firstLine="709"/>
        <w:jc w:val="right"/>
        <w:rPr>
          <w:rFonts w:eastAsia="Calibri"/>
          <w:lang w:eastAsia="en-US"/>
        </w:rPr>
      </w:pPr>
      <w:r>
        <w:rPr>
          <w:rFonts w:eastAsia="Calibri"/>
          <w:lang w:eastAsia="en-US"/>
        </w:rPr>
        <w:t>Осетинский филиал»</w:t>
      </w:r>
    </w:p>
    <w:p>
      <w:pPr>
        <w:pStyle w:val="Normal"/>
        <w:jc w:val="center"/>
        <w:rPr>
          <w:rFonts w:eastAsia="Calibri"/>
          <w:b/>
          <w:lang w:eastAsia="en-US"/>
        </w:rPr>
      </w:pPr>
      <w:r>
        <w:rPr>
          <w:rFonts w:eastAsia="Calibri"/>
          <w:b/>
          <w:lang w:eastAsia="en-US"/>
        </w:rPr>
        <w:t>СОГЛАШЕНИЕ</w:t>
      </w:r>
    </w:p>
    <w:p>
      <w:pPr>
        <w:pStyle w:val="Normal"/>
        <w:jc w:val="center"/>
        <w:rPr>
          <w:rFonts w:eastAsia="Calibri"/>
          <w:b/>
          <w:lang w:eastAsia="en-US"/>
        </w:rPr>
      </w:pPr>
      <w:r>
        <w:rPr>
          <w:rFonts w:eastAsia="Calibri"/>
          <w:b/>
          <w:lang w:eastAsia="en-US"/>
        </w:rPr>
        <w:t>О КОНФИДЕНЦИАЛЬНОСТИ</w:t>
      </w:r>
    </w:p>
    <w:p>
      <w:pPr>
        <w:pStyle w:val="Normal"/>
        <w:ind w:right="-2" w:hanging="0"/>
        <w:jc w:val="center"/>
        <w:rPr>
          <w:rFonts w:eastAsia="Calibri"/>
          <w:lang w:eastAsia="en-US"/>
        </w:rPr>
      </w:pPr>
      <w:r>
        <w:rPr>
          <w:rFonts w:eastAsia="Calibri"/>
          <w:lang w:eastAsia="en-US"/>
        </w:rPr>
        <w:t>г. Владикавказ________                                             «___» ___________ 20___г.</w:t>
      </w:r>
    </w:p>
    <w:p>
      <w:pPr>
        <w:pStyle w:val="Normal"/>
        <w:ind w:right="68" w:firstLine="709"/>
        <w:jc w:val="center"/>
        <w:rPr>
          <w:rFonts w:eastAsia="Calibri"/>
          <w:lang w:eastAsia="en-US"/>
        </w:rPr>
      </w:pPr>
      <w:r>
        <w:rPr>
          <w:rFonts w:eastAsia="Calibri"/>
          <w:lang w:eastAsia="en-US"/>
        </w:rPr>
      </w:r>
    </w:p>
    <w:p>
      <w:pPr>
        <w:pStyle w:val="Normal"/>
        <w:ind w:firstLine="708"/>
        <w:jc w:val="both"/>
        <w:rPr>
          <w:rFonts w:eastAsia="Calibri"/>
          <w:b/>
          <w:lang w:eastAsia="x-none"/>
        </w:rPr>
      </w:pPr>
      <w:r>
        <w:rPr>
          <w:b/>
          <w:lang w:eastAsia="en-US"/>
        </w:rPr>
        <w:t>Публичное акционерное общество «Федеральная гидрогенерирующая компания - РусГидро» (ПАО «РусГидро»)</w:t>
      </w:r>
      <w:r>
        <w:rPr>
          <w:lang w:eastAsia="en-US"/>
        </w:rPr>
        <w:t xml:space="preserve"> (далее – «Передающая сторона»), в лице ______________________________, с одной стороны, и _________________________________________________________ (далее – «Принимающая сторона»), в лице _______________________, действующего на основании _____________________________________, с другой стороны,</w:t>
      </w:r>
    </w:p>
    <w:p>
      <w:pPr>
        <w:pStyle w:val="Normal"/>
        <w:ind w:firstLine="709"/>
        <w:jc w:val="both"/>
        <w:rPr>
          <w:lang w:eastAsia="en-US"/>
        </w:rPr>
      </w:pPr>
      <w:r>
        <w:rPr>
          <w:lang w:eastAsia="en-US"/>
        </w:rPr>
        <w:t>совместно в дальнейшем именуемые «Стороны», а по отдельности – «Сторона», заключили настоящее Соглашение о нижеследующем:</w:t>
      </w:r>
    </w:p>
    <w:p>
      <w:pPr>
        <w:pStyle w:val="Normal"/>
        <w:ind w:right="68" w:firstLine="709"/>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left="0" w:hanging="0"/>
        <w:jc w:val="center"/>
        <w:rPr>
          <w:b/>
          <w:lang w:eastAsia="en-US"/>
        </w:rPr>
      </w:pPr>
      <w:r>
        <w:rPr>
          <w:b/>
          <w:lang w:eastAsia="en-US"/>
        </w:rPr>
        <w:t>ПРЕДМЕТ СОГЛАШЕНИЯ</w:t>
      </w:r>
    </w:p>
    <w:p>
      <w:pPr>
        <w:pStyle w:val="Normal"/>
        <w:numPr>
          <w:ilvl w:val="1"/>
          <w:numId w:val="2"/>
        </w:numPr>
        <w:tabs>
          <w:tab w:val="clear" w:pos="709"/>
          <w:tab w:val="left" w:pos="1276" w:leader="none"/>
        </w:tabs>
        <w:ind w:left="0" w:firstLine="567"/>
        <w:jc w:val="both"/>
        <w:rPr>
          <w:lang w:eastAsia="en-US"/>
        </w:rPr>
      </w:pPr>
      <w:r>
        <w:rPr>
          <w:lang w:eastAsia="en-US"/>
        </w:rPr>
        <w:t>Предметом настоящего Соглашения является порядок и условия использования и защиты конфиденциальности информации, указанной в пунктах 1.3. и 1.6. Соглашения, передаваемой Передающей стороной Принимающей стороне после заключения настоящего Соглашения (далее – «Информация»).</w:t>
      </w:r>
    </w:p>
    <w:p>
      <w:pPr>
        <w:pStyle w:val="Normal"/>
        <w:numPr>
          <w:ilvl w:val="1"/>
          <w:numId w:val="2"/>
        </w:numPr>
        <w:tabs>
          <w:tab w:val="clear" w:pos="709"/>
          <w:tab w:val="left" w:pos="1276" w:leader="none"/>
        </w:tabs>
        <w:ind w:left="0" w:firstLine="567"/>
        <w:jc w:val="both"/>
        <w:rPr>
          <w:lang w:eastAsia="en-US"/>
        </w:rPr>
      </w:pPr>
      <w:r>
        <w:rPr>
          <w:lang w:eastAsia="en-US"/>
        </w:rPr>
        <w:t>К информации, документам и сведениям, составляющим государственную тайну, настоящее Соглашение не применяется.</w:t>
      </w:r>
    </w:p>
    <w:p>
      <w:pPr>
        <w:pStyle w:val="Normal"/>
        <w:numPr>
          <w:ilvl w:val="1"/>
          <w:numId w:val="2"/>
        </w:numPr>
        <w:tabs>
          <w:tab w:val="clear" w:pos="709"/>
          <w:tab w:val="left" w:pos="1276" w:leader="none"/>
        </w:tabs>
        <w:ind w:left="0" w:firstLine="567"/>
        <w:jc w:val="both"/>
        <w:rPr>
          <w:lang w:eastAsia="en-US"/>
        </w:rPr>
      </w:pPr>
      <w:r>
        <w:rPr>
          <w:lang w:eastAsia="en-US"/>
        </w:rPr>
        <w:t>Под Информацией для целей настоящего Соглашения понимается любая информация, передаваемая Передающей стороной Принимающей стороне в устной либо документарной форме, в виде электронного файла, а также в любом другом виде в процессе проведения переговоров, заключения каких-либо договоров и соглашений или исполнения таких договоров и соглашений между Сторонами, и подлежащая защите по настоящему Соглашению, в отношении которой соблюдаются следующие условия:</w:t>
      </w:r>
    </w:p>
    <w:p>
      <w:pPr>
        <w:pStyle w:val="Normal"/>
        <w:numPr>
          <w:ilvl w:val="0"/>
          <w:numId w:val="3"/>
        </w:numPr>
        <w:tabs>
          <w:tab w:val="clear" w:pos="709"/>
          <w:tab w:val="left" w:pos="851" w:leader="none"/>
          <w:tab w:val="left" w:pos="1276" w:leader="none"/>
        </w:tabs>
        <w:ind w:left="0" w:firstLine="709"/>
        <w:jc w:val="both"/>
        <w:rPr>
          <w:rFonts w:eastAsia="Calibri"/>
          <w:b/>
          <w:lang w:eastAsia="x-none"/>
        </w:rPr>
      </w:pPr>
      <w:r>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Normal"/>
        <w:numPr>
          <w:ilvl w:val="0"/>
          <w:numId w:val="3"/>
        </w:numPr>
        <w:tabs>
          <w:tab w:val="clear" w:pos="709"/>
          <w:tab w:val="left" w:pos="851" w:leader="none"/>
          <w:tab w:val="left" w:pos="1276" w:leader="none"/>
        </w:tabs>
        <w:ind w:left="0" w:firstLine="709"/>
        <w:jc w:val="both"/>
        <w:rPr>
          <w:rFonts w:eastAsia="Calibri"/>
          <w:b/>
          <w:lang w:eastAsia="x-none"/>
        </w:rPr>
      </w:pPr>
      <w:r>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1"/>
          <w:numId w:val="2"/>
        </w:numPr>
        <w:tabs>
          <w:tab w:val="clear" w:pos="709"/>
          <w:tab w:val="left" w:pos="1276" w:leader="none"/>
        </w:tabs>
        <w:ind w:left="0" w:firstLine="567"/>
        <w:jc w:val="both"/>
        <w:rPr>
          <w:lang w:eastAsia="en-US"/>
        </w:rPr>
      </w:pPr>
      <w:r>
        <w:rPr>
          <w:lang w:eastAsia="en-US"/>
        </w:rPr>
        <w:t>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numPr>
          <w:ilvl w:val="1"/>
          <w:numId w:val="2"/>
        </w:numPr>
        <w:tabs>
          <w:tab w:val="clear" w:pos="709"/>
          <w:tab w:val="left" w:pos="1276" w:leader="none"/>
        </w:tabs>
        <w:ind w:left="0" w:firstLine="567"/>
        <w:jc w:val="both"/>
        <w:rPr>
          <w:lang w:eastAsia="en-US"/>
        </w:rPr>
      </w:pPr>
      <w:r>
        <w:rPr>
          <w:lang w:eastAsia="en-U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numPr>
          <w:ilvl w:val="1"/>
          <w:numId w:val="2"/>
        </w:numPr>
        <w:tabs>
          <w:tab w:val="clear" w:pos="709"/>
          <w:tab w:val="left" w:pos="1276" w:leader="none"/>
        </w:tabs>
        <w:ind w:left="0" w:firstLine="567"/>
        <w:jc w:val="both"/>
        <w:rPr>
          <w:lang w:eastAsia="en-US"/>
        </w:rPr>
      </w:pPr>
      <w:r>
        <w:rPr>
          <w:lang w:eastAsia="en-US"/>
        </w:rPr>
        <w:t>Информация, подлежащая сохранению в тайне и неразглашению в соответствии с настоящим Соглашением, включает в себя, без ограничения приведенным перечнем:</w:t>
      </w:r>
    </w:p>
    <w:p>
      <w:pPr>
        <w:pStyle w:val="Normal"/>
        <w:numPr>
          <w:ilvl w:val="2"/>
          <w:numId w:val="2"/>
        </w:numPr>
        <w:tabs>
          <w:tab w:val="clear" w:pos="709"/>
          <w:tab w:val="left" w:pos="1276" w:leader="none"/>
        </w:tabs>
        <w:ind w:left="0" w:firstLine="1141"/>
        <w:jc w:val="both"/>
        <w:rPr>
          <w:lang w:eastAsia="en-US"/>
        </w:rPr>
      </w:pPr>
      <w:r>
        <w:rPr>
          <w:lang w:eastAsia="en-US"/>
        </w:rPr>
        <w:t>финансовую отчетность;</w:t>
      </w:r>
    </w:p>
    <w:p>
      <w:pPr>
        <w:pStyle w:val="Normal"/>
        <w:numPr>
          <w:ilvl w:val="2"/>
          <w:numId w:val="2"/>
        </w:numPr>
        <w:tabs>
          <w:tab w:val="clear" w:pos="709"/>
          <w:tab w:val="left" w:pos="1276" w:leader="none"/>
        </w:tabs>
        <w:ind w:left="0" w:firstLine="1141"/>
        <w:jc w:val="both"/>
        <w:rPr>
          <w:lang w:eastAsia="en-US"/>
        </w:rPr>
      </w:pPr>
      <w:r>
        <w:rPr>
          <w:lang w:eastAsia="en-US"/>
        </w:rPr>
        <w:t>учетные регистры бухгалтерского учета;</w:t>
      </w:r>
    </w:p>
    <w:p>
      <w:pPr>
        <w:pStyle w:val="Normal"/>
        <w:numPr>
          <w:ilvl w:val="2"/>
          <w:numId w:val="2"/>
        </w:numPr>
        <w:tabs>
          <w:tab w:val="clear" w:pos="709"/>
          <w:tab w:val="left" w:pos="1276" w:leader="none"/>
        </w:tabs>
        <w:ind w:left="0" w:firstLine="1141"/>
        <w:jc w:val="both"/>
        <w:rPr>
          <w:lang w:eastAsia="en-US"/>
        </w:rPr>
      </w:pPr>
      <w:r>
        <w:rPr>
          <w:lang w:eastAsia="en-US"/>
        </w:rPr>
        <w:t>бизнес-планы;</w:t>
      </w:r>
    </w:p>
    <w:p>
      <w:pPr>
        <w:pStyle w:val="Normal"/>
        <w:numPr>
          <w:ilvl w:val="2"/>
          <w:numId w:val="2"/>
        </w:numPr>
        <w:tabs>
          <w:tab w:val="clear" w:pos="709"/>
          <w:tab w:val="left" w:pos="1276" w:leader="none"/>
        </w:tabs>
        <w:ind w:left="0" w:firstLine="1141"/>
        <w:jc w:val="both"/>
        <w:rPr>
          <w:lang w:eastAsia="en-US"/>
        </w:rPr>
      </w:pPr>
      <w:r>
        <w:rPr>
          <w:lang w:eastAsia="en-US"/>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Normal"/>
        <w:numPr>
          <w:ilvl w:val="2"/>
          <w:numId w:val="2"/>
        </w:numPr>
        <w:tabs>
          <w:tab w:val="clear" w:pos="709"/>
          <w:tab w:val="left" w:pos="1276" w:leader="none"/>
        </w:tabs>
        <w:ind w:left="0" w:firstLine="1141"/>
        <w:jc w:val="both"/>
        <w:rPr>
          <w:lang w:eastAsia="en-US"/>
        </w:rPr>
      </w:pPr>
      <w:r>
        <w:rPr>
          <w:lang w:eastAsia="en-US"/>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Normal"/>
        <w:numPr>
          <w:ilvl w:val="2"/>
          <w:numId w:val="2"/>
        </w:numPr>
        <w:tabs>
          <w:tab w:val="clear" w:pos="709"/>
          <w:tab w:val="left" w:pos="1276" w:leader="none"/>
        </w:tabs>
        <w:ind w:left="0" w:firstLine="1141"/>
        <w:jc w:val="both"/>
        <w:rPr>
          <w:lang w:eastAsia="en-US"/>
        </w:rPr>
      </w:pPr>
      <w:r>
        <w:rPr>
          <w:lang w:eastAsia="en-US"/>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Normal"/>
        <w:numPr>
          <w:ilvl w:val="2"/>
          <w:numId w:val="2"/>
        </w:numPr>
        <w:tabs>
          <w:tab w:val="clear" w:pos="709"/>
          <w:tab w:val="left" w:pos="1276" w:leader="none"/>
        </w:tabs>
        <w:ind w:left="0" w:firstLine="1141"/>
        <w:jc w:val="both"/>
        <w:rPr>
          <w:lang w:eastAsia="en-US"/>
        </w:rPr>
      </w:pPr>
      <w:r>
        <w:rPr>
          <w:lang w:eastAsia="en-US"/>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сведения о поставщиках оборудования, сырья и материалов, а также сведения о покупателях продукции и их аффилированных лицах;</w:t>
      </w:r>
    </w:p>
    <w:p>
      <w:pPr>
        <w:pStyle w:val="Normal"/>
        <w:numPr>
          <w:ilvl w:val="2"/>
          <w:numId w:val="2"/>
        </w:numPr>
        <w:tabs>
          <w:tab w:val="clear" w:pos="709"/>
          <w:tab w:val="left" w:pos="1276" w:leader="none"/>
        </w:tabs>
        <w:ind w:left="0" w:firstLine="1141"/>
        <w:jc w:val="both"/>
        <w:rPr>
          <w:lang w:eastAsia="en-US"/>
        </w:rPr>
      </w:pPr>
      <w:r>
        <w:rPr>
          <w:lang w:eastAsia="en-US"/>
        </w:rPr>
        <w:t>сведения об объемах производства и/или реализации продукции и услуг Передающей стороны или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1"/>
          <w:numId w:val="2"/>
        </w:numPr>
        <w:tabs>
          <w:tab w:val="clear" w:pos="709"/>
          <w:tab w:val="left" w:pos="1276" w:leader="none"/>
        </w:tabs>
        <w:ind w:left="0" w:firstLine="567"/>
        <w:jc w:val="both"/>
        <w:rPr>
          <w:lang w:eastAsia="en-US"/>
        </w:rPr>
      </w:pPr>
      <w:r>
        <w:rPr>
          <w:lang w:eastAsia="en-US"/>
        </w:rPr>
        <w:t>К Информации, подлежащей защите и неразглашению в соответствии с настоящим Соглашением, не относится следующая информация:</w:t>
      </w:r>
    </w:p>
    <w:p>
      <w:pPr>
        <w:pStyle w:val="Normal"/>
        <w:numPr>
          <w:ilvl w:val="2"/>
          <w:numId w:val="2"/>
        </w:numPr>
        <w:tabs>
          <w:tab w:val="clear" w:pos="709"/>
          <w:tab w:val="left" w:pos="1276" w:leader="none"/>
        </w:tabs>
        <w:ind w:left="0" w:firstLine="1141"/>
        <w:jc w:val="both"/>
        <w:rPr>
          <w:lang w:eastAsia="en-US"/>
        </w:rPr>
      </w:pPr>
      <w:r>
        <w:rPr>
          <w:lang w:eastAsia="en-US"/>
        </w:rPr>
        <w:t>сведения, содержащиеся в сообщениях и отчетах, официально опубликованных Передающей стороной или ее аффилированными лицами в соответствии с требованиями о раскрытии информации, установленными законодательством Российской Федерации;</w:t>
      </w:r>
    </w:p>
    <w:p>
      <w:pPr>
        <w:pStyle w:val="Normal"/>
        <w:numPr>
          <w:ilvl w:val="2"/>
          <w:numId w:val="2"/>
        </w:numPr>
        <w:tabs>
          <w:tab w:val="clear" w:pos="709"/>
          <w:tab w:val="left" w:pos="1276" w:leader="none"/>
        </w:tabs>
        <w:ind w:left="0" w:firstLine="1141"/>
        <w:jc w:val="both"/>
        <w:rPr>
          <w:lang w:eastAsia="en-US"/>
        </w:rPr>
      </w:pPr>
      <w:r>
        <w:rPr>
          <w:lang w:eastAsia="en-US"/>
        </w:rPr>
        <w:t>сведения, содержащиеся в официальных отчетах, сообщениях, пресс-релизах, а также рекламных сообщениях Передающей стороны или ее аффилированных лиц;</w:t>
      </w:r>
    </w:p>
    <w:p>
      <w:pPr>
        <w:pStyle w:val="Normal"/>
        <w:numPr>
          <w:ilvl w:val="2"/>
          <w:numId w:val="2"/>
        </w:numPr>
        <w:tabs>
          <w:tab w:val="clear" w:pos="709"/>
          <w:tab w:val="left" w:pos="1276" w:leader="none"/>
        </w:tabs>
        <w:ind w:left="0" w:firstLine="1141"/>
        <w:jc w:val="both"/>
        <w:rPr>
          <w:lang w:eastAsia="en-US"/>
        </w:rPr>
      </w:pPr>
      <w:r>
        <w:rPr>
          <w:lang w:eastAsia="en-US"/>
        </w:rPr>
        <w:t>сведения, опубликованные в средствах массовой информации по инициативе третьих лиц в соответствии с законодательством Российской Федерации;</w:t>
      </w:r>
    </w:p>
    <w:p>
      <w:pPr>
        <w:pStyle w:val="Normal"/>
        <w:numPr>
          <w:ilvl w:val="2"/>
          <w:numId w:val="2"/>
        </w:numPr>
        <w:tabs>
          <w:tab w:val="clear" w:pos="709"/>
          <w:tab w:val="left" w:pos="1276" w:leader="none"/>
        </w:tabs>
        <w:ind w:left="0" w:firstLine="1141"/>
        <w:jc w:val="both"/>
        <w:rPr>
          <w:lang w:eastAsia="en-US"/>
        </w:rPr>
      </w:pPr>
      <w:r>
        <w:rPr>
          <w:lang w:eastAsia="en-US"/>
        </w:rPr>
        <w:t>сведения, в отношении которых Передающая сторона дала предварительное письменное согласие на передачу Информации третьим лицам;</w:t>
      </w:r>
    </w:p>
    <w:p>
      <w:pPr>
        <w:pStyle w:val="Normal"/>
        <w:numPr>
          <w:ilvl w:val="2"/>
          <w:numId w:val="2"/>
        </w:numPr>
        <w:tabs>
          <w:tab w:val="clear" w:pos="709"/>
          <w:tab w:val="left" w:pos="1276" w:leader="none"/>
        </w:tabs>
        <w:ind w:left="0" w:firstLine="1141"/>
        <w:jc w:val="both"/>
        <w:rPr>
          <w:lang w:eastAsia="en-US"/>
        </w:rPr>
      </w:pPr>
      <w:r>
        <w:rPr>
          <w:lang w:eastAsia="en-US"/>
        </w:rPr>
        <w:t>сведения, которые должны быть раскрыты в соответствии с законодательством Российской Федерации по предъявлению законного требования правоохранительным, судебным, надзорным или иным компетентным органом, с уведомлением Передающей стороны о наличии такого требования;</w:t>
      </w:r>
    </w:p>
    <w:p>
      <w:pPr>
        <w:pStyle w:val="Normal"/>
        <w:numPr>
          <w:ilvl w:val="2"/>
          <w:numId w:val="2"/>
        </w:numPr>
        <w:tabs>
          <w:tab w:val="clear" w:pos="709"/>
          <w:tab w:val="left" w:pos="1276" w:leader="none"/>
        </w:tabs>
        <w:ind w:left="0" w:firstLine="1141"/>
        <w:jc w:val="both"/>
        <w:rPr>
          <w:lang w:eastAsia="en-US"/>
        </w:rPr>
      </w:pPr>
      <w:r>
        <w:rPr>
          <w:lang w:eastAsia="en-US"/>
        </w:rPr>
        <w:t>сведения, которые не могут являться конфиденциальной информацией в соответствии с действующим законодательством Российской Федерации.</w:t>
      </w:r>
    </w:p>
    <w:p>
      <w:pPr>
        <w:pStyle w:val="Normal"/>
        <w:numPr>
          <w:ilvl w:val="0"/>
          <w:numId w:val="2"/>
        </w:numPr>
        <w:tabs>
          <w:tab w:val="clear" w:pos="709"/>
          <w:tab w:val="left" w:pos="284" w:leader="none"/>
        </w:tabs>
        <w:ind w:left="0" w:hanging="0"/>
        <w:jc w:val="both"/>
        <w:rPr>
          <w:b/>
          <w:lang w:eastAsia="en-US"/>
        </w:rPr>
      </w:pPr>
      <w:r>
        <w:rPr>
          <w:b/>
          <w:lang w:eastAsia="en-US"/>
        </w:rPr>
        <w:t>ОБЯЗАТЕЛЬСТВА СТОРОН</w:t>
      </w:r>
    </w:p>
    <w:p>
      <w:pPr>
        <w:pStyle w:val="Normal"/>
        <w:numPr>
          <w:ilvl w:val="1"/>
          <w:numId w:val="2"/>
        </w:numPr>
        <w:tabs>
          <w:tab w:val="clear" w:pos="709"/>
          <w:tab w:val="left" w:pos="1276" w:leader="none"/>
        </w:tabs>
        <w:ind w:left="0" w:firstLine="567"/>
        <w:jc w:val="both"/>
        <w:rPr>
          <w:lang w:eastAsia="en-US"/>
        </w:rPr>
      </w:pPr>
      <w:r>
        <w:rPr>
          <w:lang w:eastAsia="en-US"/>
        </w:rPr>
        <w:t>Принимающая сторона обязуется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Передающей стороны, если иное не предусмотрено законодательством Российской Федерации.</w:t>
      </w:r>
    </w:p>
    <w:p>
      <w:pPr>
        <w:pStyle w:val="Normal"/>
        <w:numPr>
          <w:ilvl w:val="1"/>
          <w:numId w:val="2"/>
        </w:numPr>
        <w:tabs>
          <w:tab w:val="clear" w:pos="709"/>
          <w:tab w:val="left" w:pos="1276" w:leader="none"/>
        </w:tabs>
        <w:ind w:left="0" w:firstLine="567"/>
        <w:jc w:val="both"/>
        <w:rPr>
          <w:lang w:eastAsia="en-US"/>
        </w:rPr>
      </w:pPr>
      <w:r>
        <w:rPr>
          <w:lang w:eastAsia="en-US"/>
        </w:rPr>
        <w:t>Для защиты Информации Принимающая сторона обязуется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настоящего Соглашения и в течение 5 (пяти) лет после прекращения его действия.</w:t>
      </w:r>
    </w:p>
    <w:p>
      <w:pPr>
        <w:pStyle w:val="Normal"/>
        <w:numPr>
          <w:ilvl w:val="1"/>
          <w:numId w:val="2"/>
        </w:numPr>
        <w:tabs>
          <w:tab w:val="clear" w:pos="709"/>
          <w:tab w:val="left" w:pos="1276" w:leader="none"/>
        </w:tabs>
        <w:ind w:left="0" w:firstLine="567"/>
        <w:jc w:val="both"/>
        <w:rPr>
          <w:lang w:eastAsia="en-US"/>
        </w:rPr>
      </w:pPr>
      <w:r>
        <w:rPr>
          <w:lang w:eastAsia="en-US"/>
        </w:rPr>
        <w:t>Принимающая сторона обязуется:</w:t>
      </w:r>
    </w:p>
    <w:p>
      <w:pPr>
        <w:pStyle w:val="Normal"/>
        <w:numPr>
          <w:ilvl w:val="2"/>
          <w:numId w:val="2"/>
        </w:numPr>
        <w:tabs>
          <w:tab w:val="clear" w:pos="709"/>
          <w:tab w:val="left" w:pos="1276" w:leader="none"/>
        </w:tabs>
        <w:ind w:left="0" w:firstLine="1141"/>
        <w:jc w:val="both"/>
        <w:rPr>
          <w:lang w:eastAsia="en-US"/>
        </w:rPr>
      </w:pPr>
      <w:r>
        <w:rPr>
          <w:lang w:eastAsia="en-US"/>
        </w:rPr>
        <w:t>использовать Информацию исключительно для целей, для которых она был предоставлена;</w:t>
      </w:r>
    </w:p>
    <w:p>
      <w:pPr>
        <w:pStyle w:val="Normal"/>
        <w:numPr>
          <w:ilvl w:val="2"/>
          <w:numId w:val="2"/>
        </w:numPr>
        <w:tabs>
          <w:tab w:val="clear" w:pos="709"/>
          <w:tab w:val="left" w:pos="1276" w:leader="none"/>
        </w:tabs>
        <w:ind w:left="0" w:firstLine="1141"/>
        <w:jc w:val="both"/>
        <w:rPr>
          <w:lang w:eastAsia="en-US"/>
        </w:rPr>
      </w:pPr>
      <w:r>
        <w:rPr>
          <w:lang w:eastAsia="en-US"/>
        </w:rPr>
        <w:t>не осуществлять действий (бездействия), результатом которых может быть несанкционированное раскрытие Информации третьим лицам;</w:t>
      </w:r>
    </w:p>
    <w:p>
      <w:pPr>
        <w:pStyle w:val="Normal"/>
        <w:numPr>
          <w:ilvl w:val="2"/>
          <w:numId w:val="2"/>
        </w:numPr>
        <w:tabs>
          <w:tab w:val="clear" w:pos="709"/>
          <w:tab w:val="left" w:pos="1276" w:leader="none"/>
        </w:tabs>
        <w:ind w:left="0" w:firstLine="1141"/>
        <w:jc w:val="both"/>
        <w:rPr>
          <w:lang w:eastAsia="en-US"/>
        </w:rPr>
      </w:pPr>
      <w:r>
        <w:rPr>
          <w:lang w:eastAsia="en-U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ей содействие, которое потребует Передающая сторона для предотвращения несанкционированного раскрытия;</w:t>
      </w:r>
    </w:p>
    <w:p>
      <w:pPr>
        <w:pStyle w:val="Normal"/>
        <w:numPr>
          <w:ilvl w:val="2"/>
          <w:numId w:val="2"/>
        </w:numPr>
        <w:tabs>
          <w:tab w:val="clear" w:pos="709"/>
          <w:tab w:val="left" w:pos="1276" w:leader="none"/>
        </w:tabs>
        <w:ind w:left="0" w:firstLine="1141"/>
        <w:jc w:val="both"/>
        <w:rPr>
          <w:rFonts w:eastAsia="Calibri"/>
          <w:b/>
          <w:lang w:eastAsia="x-none"/>
        </w:rPr>
      </w:pPr>
      <w:r>
        <w:rPr>
          <w:lang w:eastAsia="en-US"/>
        </w:rPr>
        <w:t>по требованию Передающей стороны уничтожить всю Информацию, которую будет невозможно передать Передающей стороне по ее запросу или которая будет находиться на технических средствах Принимающей стороны. При этом Передающая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numPr>
          <w:ilvl w:val="2"/>
          <w:numId w:val="2"/>
        </w:numPr>
        <w:tabs>
          <w:tab w:val="clear" w:pos="709"/>
          <w:tab w:val="left" w:pos="1276" w:leader="none"/>
        </w:tabs>
        <w:ind w:left="0" w:firstLine="1141"/>
        <w:jc w:val="both"/>
        <w:rPr>
          <w:lang w:eastAsia="en-US"/>
        </w:rPr>
      </w:pPr>
      <w:r>
        <w:rPr>
          <w:lang w:eastAsia="en-US"/>
        </w:rPr>
        <w:t>раскрывать Информацию только своим сотрудникам и акционерам, членам Совета Директоров и аудиторам только в случае служебной необходимости в объеме, требуемом для исполнения Сторонами своих обязательств по отношению друг к другу или требуемом для исполнения такими лицами своих обязанностей, оставаясь ответственной за действия таких лиц, как за свои собственные;</w:t>
      </w:r>
    </w:p>
    <w:p>
      <w:pPr>
        <w:pStyle w:val="Normal"/>
        <w:numPr>
          <w:ilvl w:val="2"/>
          <w:numId w:val="2"/>
        </w:numPr>
        <w:tabs>
          <w:tab w:val="clear" w:pos="709"/>
          <w:tab w:val="left" w:pos="1276" w:leader="none"/>
        </w:tabs>
        <w:ind w:left="0" w:firstLine="1141"/>
        <w:jc w:val="both"/>
        <w:rPr>
          <w:lang w:eastAsia="en-US"/>
        </w:rPr>
      </w:pPr>
      <w:r>
        <w:rPr>
          <w:lang w:eastAsia="en-US"/>
        </w:rPr>
        <w:t>не разглашать третьим лицам факта передачи или получения Информации.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 xml:space="preserve">ОТВЕТСТВЕННОСТЬ СТОРОН </w:t>
      </w:r>
    </w:p>
    <w:p>
      <w:pPr>
        <w:pStyle w:val="Normal"/>
        <w:numPr>
          <w:ilvl w:val="1"/>
          <w:numId w:val="2"/>
        </w:numPr>
        <w:tabs>
          <w:tab w:val="clear" w:pos="709"/>
          <w:tab w:val="left" w:pos="1276" w:leader="none"/>
        </w:tabs>
        <w:ind w:left="0" w:firstLine="567"/>
        <w:jc w:val="both"/>
        <w:rPr>
          <w:lang w:eastAsia="en-US"/>
        </w:rPr>
      </w:pPr>
      <w:r>
        <w:rPr>
          <w:lang w:eastAsia="en-US"/>
        </w:rPr>
        <w:t>Сторона, нарушившая условия настоящего Соглашения, возмещает другой Стороне все понесенные расходы и убытки, вызванные таким нарушением, в течение 10 (десяти) календарных дней с даты получения соответствующего требования.</w:t>
      </w:r>
    </w:p>
    <w:p>
      <w:pPr>
        <w:pStyle w:val="Normal"/>
        <w:ind w:right="68" w:firstLine="567"/>
        <w:jc w:val="both"/>
        <w:rPr>
          <w:rFonts w:eastAsia="Calibri"/>
          <w:b/>
          <w:u w:val="single"/>
          <w:lang w:eastAsia="en-US"/>
        </w:rPr>
      </w:pPr>
      <w:r>
        <w:rPr>
          <w:rFonts w:eastAsia="Calibri"/>
          <w:b/>
          <w:u w:val="single"/>
          <w:lang w:eastAsia="en-US"/>
        </w:rPr>
      </w:r>
    </w:p>
    <w:p>
      <w:pPr>
        <w:pStyle w:val="Normal"/>
        <w:numPr>
          <w:ilvl w:val="0"/>
          <w:numId w:val="2"/>
        </w:numPr>
        <w:tabs>
          <w:tab w:val="clear" w:pos="709"/>
          <w:tab w:val="left" w:pos="284" w:leader="none"/>
        </w:tabs>
        <w:ind w:left="0" w:firstLine="567"/>
        <w:jc w:val="both"/>
        <w:rPr>
          <w:b/>
          <w:lang w:eastAsia="en-US"/>
        </w:rPr>
      </w:pPr>
      <w:r>
        <w:rPr>
          <w:b/>
          <w:lang w:eastAsia="en-US"/>
        </w:rPr>
        <w:t>СРОК ДЕЙСТВИЯ СОГЛАШЕНИЯ</w:t>
      </w:r>
    </w:p>
    <w:p>
      <w:pPr>
        <w:pStyle w:val="Normal"/>
        <w:numPr>
          <w:ilvl w:val="1"/>
          <w:numId w:val="2"/>
        </w:numPr>
        <w:tabs>
          <w:tab w:val="clear" w:pos="709"/>
          <w:tab w:val="left" w:pos="1276" w:leader="none"/>
        </w:tabs>
        <w:ind w:left="0" w:firstLine="567"/>
        <w:jc w:val="both"/>
        <w:rPr>
          <w:lang w:eastAsia="en-US"/>
        </w:rPr>
      </w:pPr>
      <w:r>
        <w:rPr>
          <w:lang w:eastAsia="en-US"/>
        </w:rPr>
        <w:t>Настоящее Соглашение вступает в силу с даты подписания и действует в течение 3 (трех) лет.</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bCs/>
          <w:lang w:eastAsia="en-US"/>
        </w:rPr>
      </w:pPr>
      <w:r>
        <w:rPr>
          <w:b/>
          <w:bCs/>
          <w:lang w:eastAsia="en-US"/>
        </w:rPr>
        <w:t>ИНСАЙДЕРСКАЯ ОГОВОРКА</w:t>
      </w:r>
    </w:p>
    <w:p>
      <w:pPr>
        <w:pStyle w:val="Normal"/>
        <w:tabs>
          <w:tab w:val="clear" w:pos="709"/>
          <w:tab w:val="left" w:pos="0" w:leader="none"/>
        </w:tabs>
        <w:ind w:firstLine="567"/>
        <w:jc w:val="both"/>
        <w:rPr>
          <w:lang w:eastAsia="en-US"/>
        </w:rPr>
      </w:pPr>
      <w:r>
        <w:rPr>
          <w:lang w:eastAsia="en-US"/>
        </w:rPr>
        <w:t>5.1. Под инсайдерской информацией (далее – «Инсайдерская информация») для целей Договора понимается любая информация, передаваемая Передающей стороной  в устной либо документарной форме Принимающей стороне, в виде электронного файла, в любом другом виде, а также полученная Принимающей стороной самостоятельно в ходе визитов на место оказания услуг/выполнения работ, иную территорию Предающей стороны в процессе проведения переговоров, заключения и исполнения Договора, в отношении которой соблюдаются следующие условия:</w:t>
      </w:r>
    </w:p>
    <w:p>
      <w:pPr>
        <w:pStyle w:val="Normal"/>
        <w:ind w:firstLine="567"/>
        <w:jc w:val="both"/>
        <w:rPr>
          <w:bCs/>
          <w:lang w:eastAsia="en-US"/>
        </w:rPr>
      </w:pPr>
      <w:r>
        <w:rPr>
          <w:bCs/>
          <w:lang w:eastAsia="en-US"/>
        </w:rPr>
        <w:t xml:space="preserve">- данная Инсайдерская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ind w:firstLine="567"/>
        <w:jc w:val="both"/>
        <w:rPr>
          <w:bCs/>
          <w:lang w:eastAsia="en-US"/>
        </w:rPr>
      </w:pPr>
      <w:r>
        <w:rPr>
          <w:bCs/>
          <w:lang w:eastAsia="en-US"/>
        </w:rPr>
        <w:t xml:space="preserve">- распространение или раскрытие данной Инсайдерской информации может оказать существенное влияние на цены эмиссионных ценных бумаг Передающей стороны; </w:t>
      </w:r>
    </w:p>
    <w:p>
      <w:pPr>
        <w:pStyle w:val="Normal"/>
        <w:ind w:firstLine="567"/>
        <w:jc w:val="both"/>
        <w:rPr>
          <w:bCs/>
          <w:lang w:eastAsia="en-US"/>
        </w:rPr>
      </w:pPr>
      <w:r>
        <w:rPr>
          <w:bCs/>
          <w:lang w:eastAsia="en-US"/>
        </w:rPr>
        <w:t>- данная Инсайдерская информация относится к информации, включенной в перечень инсайдерской информации, указанный в статье 3 Федерального закона Российской Федерации от 27.07.2010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pPr>
        <w:pStyle w:val="Normal"/>
        <w:tabs>
          <w:tab w:val="clear" w:pos="709"/>
          <w:tab w:val="left" w:pos="0" w:leader="none"/>
        </w:tabs>
        <w:ind w:firstLine="567"/>
        <w:jc w:val="both"/>
        <w:rPr>
          <w:lang w:eastAsia="en-US"/>
        </w:rPr>
      </w:pPr>
      <w:r>
        <w:rPr>
          <w:lang w:eastAsia="en-US"/>
        </w:rPr>
        <w:t xml:space="preserve">5.2. В отношении Инсайдерской информации Принимающая сторона обязуется незамедлительно, но в любом случае не позднее следующего рабочего дня после получения Принимающей стороны доступа к любой Инсайдерской информации предоставить Передающей стороне список сотрудников Принимающей стороны, субисполнителей и иных лиц, которые получат доступ к Инсайдерской информации в целях исполнения обязательств по Договору, а также подтвердить тот факт, что указанные лица приняли на себя обязательство об исполнении законодательства Российской Федерации о противодействии неправомерному использованию инсайдерской информации Передающей стороны по форме, размещенной на официальном сайте ПАО «РусГидро» в сети Интернет. </w:t>
      </w:r>
    </w:p>
    <w:p>
      <w:pPr>
        <w:pStyle w:val="Normal"/>
        <w:tabs>
          <w:tab w:val="clear" w:pos="709"/>
          <w:tab w:val="left" w:pos="0" w:leader="none"/>
        </w:tabs>
        <w:ind w:firstLine="567"/>
        <w:jc w:val="both"/>
        <w:rPr>
          <w:lang w:eastAsia="en-US"/>
        </w:rPr>
      </w:pPr>
      <w:r>
        <w:rPr>
          <w:lang w:eastAsia="en-US"/>
        </w:rPr>
        <w:t>5.3. Принимающая сторона также обязуется уведомлять Передающую сторону о совершаемых сделках с ценными бумагами Передающей стороны в соответствии с требованиями законодательства Российской Федерации и Положения об инсайдерской информации Передающей стороны размещенного на официальном сайте ПАО «РусГидро» в сети Интернет.</w:t>
      </w:r>
    </w:p>
    <w:p>
      <w:pPr>
        <w:pStyle w:val="Normal"/>
        <w:tabs>
          <w:tab w:val="clear" w:pos="709"/>
          <w:tab w:val="left" w:pos="0" w:leader="none"/>
        </w:tabs>
        <w:ind w:firstLine="567"/>
        <w:jc w:val="both"/>
        <w:rPr>
          <w:lang w:eastAsia="en-US"/>
        </w:rPr>
      </w:pPr>
      <w:r>
        <w:rPr>
          <w:lang w:eastAsia="en-US"/>
        </w:rPr>
      </w:r>
    </w:p>
    <w:p>
      <w:pPr>
        <w:pStyle w:val="Normal"/>
        <w:tabs>
          <w:tab w:val="clear" w:pos="709"/>
          <w:tab w:val="left" w:pos="0"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РАЗРЕШЕНИЕ СПОРОВ</w:t>
      </w:r>
    </w:p>
    <w:p>
      <w:pPr>
        <w:pStyle w:val="Normal"/>
        <w:numPr>
          <w:ilvl w:val="1"/>
          <w:numId w:val="2"/>
        </w:numPr>
        <w:tabs>
          <w:tab w:val="clear" w:pos="709"/>
          <w:tab w:val="left" w:pos="1276" w:leader="none"/>
        </w:tabs>
        <w:ind w:left="0" w:firstLine="567"/>
        <w:jc w:val="both"/>
        <w:rPr>
          <w:lang w:eastAsia="en-US"/>
        </w:rPr>
      </w:pPr>
      <w:r>
        <w:rPr>
          <w:lang w:eastAsia="en-US"/>
        </w:rPr>
        <w:t>Все споры из Соглашения, в том числе связанные с его заключением, изменением, исполнением, нарушением, прекращением и действительностью, Стороны будут стремиться решать путем переговоров.</w:t>
      </w:r>
    </w:p>
    <w:p>
      <w:pPr>
        <w:pStyle w:val="Normal"/>
        <w:numPr>
          <w:ilvl w:val="1"/>
          <w:numId w:val="2"/>
        </w:numPr>
        <w:tabs>
          <w:tab w:val="clear" w:pos="709"/>
          <w:tab w:val="left" w:pos="1276" w:leader="none"/>
        </w:tabs>
        <w:ind w:left="0" w:firstLine="567"/>
        <w:jc w:val="both"/>
        <w:rPr>
          <w:lang w:eastAsia="en-US"/>
        </w:rPr>
      </w:pPr>
      <w:r>
        <w:rPr>
          <w:lang w:eastAsia="en-US"/>
        </w:rPr>
        <w:t>При невозможности разрешения спора, указанного в п. 6.1. Соглашения, путем переговоров в течение 30 (тридцати) календарных дней с даты его возникновения, спор разрешается в Арбитражном суде в соответствии с материальным правом Российской Федерации.</w:t>
      </w:r>
    </w:p>
    <w:p>
      <w:pPr>
        <w:pStyle w:val="Normal"/>
        <w:tabs>
          <w:tab w:val="clear" w:pos="709"/>
          <w:tab w:val="left" w:pos="567"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ПРОЧИЕ УСЛОВИЯ</w:t>
      </w:r>
    </w:p>
    <w:p>
      <w:pPr>
        <w:pStyle w:val="Normal"/>
        <w:numPr>
          <w:ilvl w:val="1"/>
          <w:numId w:val="2"/>
        </w:numPr>
        <w:tabs>
          <w:tab w:val="clear" w:pos="709"/>
          <w:tab w:val="left" w:pos="1276" w:leader="none"/>
        </w:tabs>
        <w:ind w:left="0" w:firstLine="567"/>
        <w:jc w:val="both"/>
        <w:rPr>
          <w:lang w:eastAsia="en-US"/>
        </w:rPr>
      </w:pPr>
      <w:r>
        <w:rPr>
          <w:lang w:eastAsia="en-US"/>
        </w:rPr>
        <w:t>Все приложения, изменения и дополнения к настоящему Соглашению действительны при условии, что они совершены в письменной форме в виде единого документа и подписаны обеими Сторонами. Приложения, изменения и дополнения, оформленные надлежащим образом, являются неотъемлемой частью настоящего Соглашения.</w:t>
      </w:r>
    </w:p>
    <w:p>
      <w:pPr>
        <w:pStyle w:val="Normal"/>
        <w:numPr>
          <w:ilvl w:val="1"/>
          <w:numId w:val="2"/>
        </w:numPr>
        <w:tabs>
          <w:tab w:val="clear" w:pos="709"/>
          <w:tab w:val="left" w:pos="1276" w:leader="none"/>
        </w:tabs>
        <w:ind w:left="0" w:firstLine="567"/>
        <w:jc w:val="both"/>
        <w:rPr>
          <w:lang w:eastAsia="en-US"/>
        </w:rPr>
      </w:pPr>
      <w:r>
        <w:rPr>
          <w:lang w:eastAsia="en-US"/>
        </w:rPr>
        <w:t>Передача прав и обязанностей по настоящему Соглашению третьим лицам осуществляется путем письменной договоренности Сторон.</w:t>
      </w:r>
    </w:p>
    <w:p>
      <w:pPr>
        <w:pStyle w:val="Normal"/>
        <w:numPr>
          <w:ilvl w:val="1"/>
          <w:numId w:val="2"/>
        </w:numPr>
        <w:tabs>
          <w:tab w:val="clear" w:pos="709"/>
          <w:tab w:val="left" w:pos="1276" w:leader="none"/>
        </w:tabs>
        <w:ind w:left="0" w:firstLine="567"/>
        <w:jc w:val="both"/>
        <w:rPr>
          <w:lang w:eastAsia="en-US"/>
        </w:rPr>
      </w:pPr>
      <w:r>
        <w:rPr>
          <w:lang w:eastAsia="en-US"/>
        </w:rPr>
        <w:t>Настоящее Соглашение составлено в двух оригинальных экземплярах, имеющих равную юридическую силу, по одному экземпляру для каждой из Сторон.</w:t>
      </w:r>
    </w:p>
    <w:p>
      <w:pPr>
        <w:pStyle w:val="Normal"/>
        <w:numPr>
          <w:ilvl w:val="1"/>
          <w:numId w:val="2"/>
        </w:numPr>
        <w:tabs>
          <w:tab w:val="clear" w:pos="709"/>
          <w:tab w:val="left" w:pos="1276" w:leader="none"/>
        </w:tabs>
        <w:ind w:left="0" w:firstLine="567"/>
        <w:jc w:val="both"/>
        <w:rPr>
          <w:lang w:eastAsia="en-US"/>
        </w:rPr>
      </w:pPr>
      <w:r>
        <w:rPr>
          <w:lang w:eastAsia="en-US"/>
        </w:rPr>
        <w:t>Передача Информации, содержащей сведения ограниченного доступа осуществляется по акту приема-передачи.</w:t>
      </w:r>
    </w:p>
    <w:p>
      <w:pPr>
        <w:pStyle w:val="Normal"/>
        <w:tabs>
          <w:tab w:val="clear" w:pos="709"/>
          <w:tab w:val="left" w:pos="1276" w:leader="none"/>
        </w:tabs>
        <w:jc w:val="both"/>
        <w:rPr>
          <w:lang w:eastAsia="en-US"/>
        </w:rPr>
      </w:pPr>
      <w:r>
        <w:rPr>
          <w:lang w:eastAsia="en-US"/>
        </w:rPr>
      </w:r>
    </w:p>
    <w:p>
      <w:pPr>
        <w:pStyle w:val="Normal"/>
        <w:numPr>
          <w:ilvl w:val="0"/>
          <w:numId w:val="2"/>
        </w:numPr>
        <w:tabs>
          <w:tab w:val="clear" w:pos="709"/>
          <w:tab w:val="left" w:pos="284" w:leader="none"/>
        </w:tabs>
        <w:ind w:left="0" w:hanging="0"/>
        <w:jc w:val="both"/>
        <w:rPr>
          <w:b/>
          <w:lang w:eastAsia="en-US"/>
        </w:rPr>
      </w:pPr>
      <w:r>
        <w:rPr>
          <w:b/>
          <w:lang w:eastAsia="en-US"/>
        </w:rPr>
        <w:t>ЮРИДИЧЕСКИЕ АДРЕСА И РЕКВИЗИТЫ СТОРОН:</w:t>
      </w:r>
    </w:p>
    <w:p>
      <w:pPr>
        <w:pStyle w:val="Normal"/>
        <w:jc w:val="both"/>
        <w:rPr>
          <w:b/>
          <w:lang w:eastAsia="en-US"/>
        </w:rPr>
      </w:pPr>
      <w:r>
        <w:rPr>
          <w:b/>
          <w:lang w:eastAsia="en-US"/>
        </w:rPr>
      </w:r>
    </w:p>
    <w:tbl>
      <w:tblPr>
        <w:tblW w:w="960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638"/>
        <w:gridCol w:w="4967"/>
      </w:tblGrid>
      <w:tr>
        <w:trPr/>
        <w:tc>
          <w:tcPr>
            <w:tcW w:w="4638" w:type="dxa"/>
            <w:tcBorders/>
          </w:tcPr>
          <w:p>
            <w:pPr>
              <w:pStyle w:val="Normal"/>
              <w:widowControl w:val="false"/>
              <w:ind w:right="68" w:hanging="0"/>
              <w:jc w:val="both"/>
              <w:rPr>
                <w:rFonts w:eastAsia="Calibri"/>
                <w:b/>
                <w:lang w:eastAsia="en-US"/>
              </w:rPr>
            </w:pPr>
            <w:r>
              <w:rPr>
                <w:rFonts w:eastAsia="Calibri"/>
                <w:b/>
                <w:lang w:eastAsia="en-US"/>
              </w:rPr>
              <w:t>Передающая сторона:</w:t>
            </w:r>
          </w:p>
          <w:p>
            <w:pPr>
              <w:pStyle w:val="Normal"/>
              <w:widowControl w:val="false"/>
              <w:ind w:right="68" w:hanging="0"/>
              <w:jc w:val="both"/>
              <w:rPr>
                <w:rFonts w:eastAsia="Calibri"/>
                <w:b/>
                <w:lang w:eastAsia="en-US"/>
              </w:rPr>
            </w:pPr>
            <w:r>
              <w:rPr>
                <w:rFonts w:eastAsia="Calibri"/>
                <w:b/>
                <w:lang w:eastAsia="en-US"/>
              </w:rPr>
            </w:r>
          </w:p>
        </w:tc>
        <w:tc>
          <w:tcPr>
            <w:tcW w:w="4967" w:type="dxa"/>
            <w:tcBorders/>
          </w:tcPr>
          <w:p>
            <w:pPr>
              <w:pStyle w:val="Normal"/>
              <w:widowControl w:val="false"/>
              <w:ind w:right="68" w:firstLine="709"/>
              <w:jc w:val="both"/>
              <w:rPr>
                <w:rFonts w:eastAsia="Calibri"/>
                <w:b/>
                <w:lang w:eastAsia="en-US"/>
              </w:rPr>
            </w:pPr>
            <w:r>
              <w:rPr>
                <w:rFonts w:eastAsia="Calibri"/>
                <w:b/>
                <w:lang w:eastAsia="en-US"/>
              </w:rPr>
              <w:t>Принимающая сторона:</w:t>
            </w:r>
          </w:p>
          <w:p>
            <w:pPr>
              <w:pStyle w:val="Normal"/>
              <w:widowControl w:val="false"/>
              <w:ind w:right="68" w:firstLine="709"/>
              <w:jc w:val="both"/>
              <w:rPr>
                <w:rFonts w:eastAsia="Calibri"/>
                <w:b/>
                <w:lang w:eastAsia="en-US"/>
              </w:rPr>
            </w:pPr>
            <w:r>
              <w:rPr>
                <w:rFonts w:eastAsia="Calibri"/>
                <w:b/>
                <w:lang w:eastAsia="en-US"/>
              </w:rPr>
            </w:r>
          </w:p>
        </w:tc>
      </w:tr>
      <w:tr>
        <w:trPr/>
        <w:tc>
          <w:tcPr>
            <w:tcW w:w="4638" w:type="dxa"/>
            <w:tcBorders/>
          </w:tcPr>
          <w:p>
            <w:pPr>
              <w:pStyle w:val="Normal"/>
              <w:widowControl w:val="false"/>
              <w:ind w:right="115" w:hanging="0"/>
              <w:jc w:val="both"/>
              <w:rPr>
                <w:rFonts w:eastAsia="Calibri"/>
                <w:lang w:eastAsia="en-US"/>
              </w:rPr>
            </w:pPr>
            <w:r>
              <w:rPr>
                <w:rFonts w:eastAsia="Calibri"/>
                <w:lang w:eastAsia="en-US"/>
              </w:rPr>
              <w:t>_____________________</w:t>
            </w:r>
          </w:p>
          <w:p>
            <w:pPr>
              <w:pStyle w:val="Normal"/>
              <w:widowControl w:val="false"/>
              <w:ind w:right="115" w:firstLine="709"/>
              <w:jc w:val="both"/>
              <w:rPr>
                <w:rFonts w:eastAsia="Calibri"/>
                <w:lang w:eastAsia="en-US"/>
              </w:rPr>
            </w:pPr>
            <w:r>
              <w:rPr>
                <w:rFonts w:eastAsia="Calibri"/>
                <w:lang w:eastAsia="en-US"/>
              </w:rPr>
            </w:r>
          </w:p>
          <w:p>
            <w:pPr>
              <w:pStyle w:val="Normal"/>
              <w:widowControl w:val="false"/>
              <w:ind w:right="115" w:hanging="0"/>
              <w:jc w:val="both"/>
              <w:rPr>
                <w:rFonts w:eastAsia="Calibri"/>
                <w:lang w:eastAsia="en-US"/>
              </w:rPr>
            </w:pPr>
            <w:r>
              <w:rPr>
                <w:rFonts w:eastAsia="Calibri"/>
                <w:lang w:eastAsia="en-US"/>
              </w:rPr>
              <w:t>_____________/________________/</w:t>
            </w:r>
          </w:p>
        </w:tc>
        <w:tc>
          <w:tcPr>
            <w:tcW w:w="4967" w:type="dxa"/>
            <w:tcBorders/>
          </w:tcPr>
          <w:p>
            <w:pPr>
              <w:pStyle w:val="Normal"/>
              <w:widowControl w:val="false"/>
              <w:ind w:right="115" w:hanging="0"/>
              <w:jc w:val="both"/>
              <w:rPr>
                <w:rFonts w:eastAsia="Calibri"/>
                <w:lang w:eastAsia="en-US"/>
              </w:rPr>
            </w:pPr>
            <w:r>
              <w:rPr>
                <w:rFonts w:eastAsia="Calibri"/>
                <w:lang w:eastAsia="en-US"/>
              </w:rPr>
              <w:t>_______________________________</w:t>
            </w:r>
          </w:p>
          <w:p>
            <w:pPr>
              <w:pStyle w:val="Normal"/>
              <w:widowControl w:val="false"/>
              <w:ind w:right="115" w:hanging="0"/>
              <w:jc w:val="both"/>
              <w:rPr>
                <w:rFonts w:eastAsia="Calibri"/>
                <w:lang w:eastAsia="en-US"/>
              </w:rPr>
            </w:pPr>
            <w:r>
              <w:rPr>
                <w:rFonts w:eastAsia="Calibri"/>
                <w:lang w:eastAsia="en-US"/>
              </w:rPr>
            </w:r>
          </w:p>
          <w:p>
            <w:pPr>
              <w:pStyle w:val="Normal"/>
              <w:widowControl w:val="false"/>
              <w:ind w:right="115" w:hanging="0"/>
              <w:jc w:val="both"/>
              <w:rPr>
                <w:rFonts w:eastAsia="Calibri"/>
                <w:lang w:eastAsia="en-US"/>
              </w:rPr>
            </w:pPr>
            <w:r>
              <w:rPr>
                <w:rFonts w:eastAsia="Calibri"/>
                <w:lang w:eastAsia="en-US"/>
              </w:rPr>
              <w:t>________________/_______________/</w:t>
            </w:r>
          </w:p>
        </w:tc>
      </w:tr>
    </w:tbl>
    <w:p>
      <w:pPr>
        <w:pStyle w:val="Normal"/>
        <w:ind w:left="4536" w:hanging="0"/>
        <w:jc w:val="right"/>
        <w:rPr>
          <w:rFonts w:eastAsia="Calibri"/>
          <w:lang w:eastAsia="en-US"/>
        </w:rPr>
      </w:pPr>
      <w:r>
        <w:br w:type="page"/>
      </w:r>
      <w:r>
        <w:rPr>
          <w:rFonts w:eastAsia="Calibri"/>
          <w:lang w:eastAsia="en-US"/>
        </w:rPr>
        <w:t>Приложение №2</w:t>
      </w:r>
    </w:p>
    <w:p>
      <w:pPr>
        <w:pStyle w:val="Normal"/>
        <w:ind w:left="5812" w:hanging="0"/>
        <w:jc w:val="right"/>
        <w:rPr>
          <w:rFonts w:eastAsia="Calibri"/>
          <w:b/>
          <w:lang w:eastAsia="x-none"/>
        </w:rPr>
      </w:pPr>
      <w:r>
        <w:rPr>
          <w:rFonts w:eastAsia="Calibri"/>
          <w:lang w:eastAsia="en-US"/>
        </w:rPr>
        <w:t xml:space="preserve">к Техническим требованиям </w:t>
      </w:r>
      <w:r>
        <w:rPr>
          <w:rFonts w:eastAsia="Calibri"/>
          <w:bCs/>
          <w:lang w:eastAsia="en-US"/>
        </w:rPr>
        <w:t xml:space="preserve">на закупку </w:t>
      </w:r>
      <w:r>
        <w:rPr>
          <w:rFonts w:eastAsia="Calibri"/>
          <w:color w:val="000000"/>
          <w:lang w:eastAsia="en-US"/>
        </w:rPr>
        <w:t>оказания услуг</w:t>
      </w:r>
    </w:p>
    <w:p>
      <w:pPr>
        <w:pStyle w:val="Normal"/>
        <w:ind w:left="4536" w:hanging="0"/>
        <w:jc w:val="right"/>
        <w:rPr>
          <w:rFonts w:eastAsia="Calibri"/>
          <w:lang w:eastAsia="en-US"/>
        </w:rPr>
      </w:pPr>
      <w:r>
        <w:rPr>
          <w:rFonts w:eastAsia="Calibri"/>
          <w:lang w:eastAsia="en-US"/>
        </w:rPr>
        <w:t xml:space="preserve">ОКПД2 84.24 Услуги по </w:t>
      </w:r>
    </w:p>
    <w:p>
      <w:pPr>
        <w:pStyle w:val="Normal"/>
        <w:ind w:left="4536" w:hanging="0"/>
        <w:jc w:val="right"/>
        <w:rPr>
          <w:rFonts w:eastAsia="Calibri"/>
          <w:lang w:eastAsia="en-US"/>
        </w:rPr>
      </w:pPr>
      <w:r>
        <w:rPr>
          <w:rFonts w:eastAsia="Calibri"/>
          <w:lang w:eastAsia="en-US"/>
        </w:rPr>
        <w:t>охране</w:t>
      </w:r>
      <w:r>
        <w:rPr>
          <w:rFonts w:eastAsia="Calibri"/>
          <w:iCs/>
          <w:color w:val="000000"/>
          <w:lang w:eastAsia="en-US"/>
        </w:rPr>
        <w:t xml:space="preserve"> и антитеррористической </w:t>
      </w:r>
    </w:p>
    <w:p>
      <w:pPr>
        <w:pStyle w:val="Normal"/>
        <w:ind w:left="4536" w:hanging="0"/>
        <w:jc w:val="right"/>
        <w:rPr>
          <w:rFonts w:eastAsia="Calibri"/>
          <w:lang w:eastAsia="en-US"/>
        </w:rPr>
      </w:pPr>
      <w:r>
        <w:rPr>
          <w:rFonts w:eastAsia="Calibri"/>
          <w:iCs/>
          <w:color w:val="000000"/>
          <w:lang w:eastAsia="en-US"/>
        </w:rPr>
        <w:t xml:space="preserve">защищенности складской инфраструктуры </w:t>
      </w:r>
    </w:p>
    <w:p>
      <w:pPr>
        <w:pStyle w:val="Normal"/>
        <w:ind w:firstLine="5670"/>
        <w:jc w:val="right"/>
        <w:rPr>
          <w:rFonts w:eastAsia="Calibri"/>
          <w:lang w:eastAsia="en-US"/>
        </w:rPr>
      </w:pPr>
      <w:r>
        <w:rPr>
          <w:rFonts w:eastAsia="Calibri"/>
          <w:lang w:eastAsia="en-US"/>
        </w:rPr>
        <w:t>филиала ПАО «РусГидро»-</w:t>
      </w:r>
    </w:p>
    <w:p>
      <w:pPr>
        <w:pStyle w:val="Normal"/>
        <w:ind w:firstLine="5670"/>
        <w:jc w:val="right"/>
        <w:rPr>
          <w:rFonts w:eastAsia="Calibri"/>
          <w:lang w:eastAsia="en-US"/>
        </w:rPr>
      </w:pPr>
      <w:r>
        <w:rPr>
          <w:rFonts w:eastAsia="Calibri"/>
          <w:lang w:eastAsia="en-US"/>
        </w:rPr>
        <w:t>«Северо-Осетинский филиал»</w:t>
      </w:r>
    </w:p>
    <w:p>
      <w:pPr>
        <w:pStyle w:val="Normal"/>
        <w:ind w:firstLine="5670"/>
        <w:rPr>
          <w:rFonts w:eastAsia="Calibri"/>
          <w:b/>
          <w:lang w:eastAsia="en-US"/>
        </w:rPr>
      </w:pPr>
      <w:r>
        <w:rPr/>
      </w:r>
    </w:p>
    <w:p>
      <w:pPr>
        <w:pStyle w:val="Normal"/>
        <w:widowControl/>
        <w:suppressAutoHyphens w:val="true"/>
        <w:bidi w:val="0"/>
        <w:spacing w:before="0" w:after="0"/>
        <w:ind w:left="0" w:right="0" w:hanging="0"/>
        <w:jc w:val="center"/>
        <w:rPr>
          <w:rFonts w:eastAsia="Calibri"/>
          <w:b/>
          <w:lang w:eastAsia="en-US"/>
        </w:rPr>
      </w:pPr>
      <w:r>
        <w:rPr>
          <w:rFonts w:eastAsia="Calibri"/>
          <w:b/>
          <w:lang w:eastAsia="en-US"/>
        </w:rPr>
        <w:t>АНКЕТА (форма)</w:t>
      </w:r>
    </w:p>
    <w:tbl>
      <w:tblPr>
        <w:tblW w:w="970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903"/>
        <w:gridCol w:w="1801"/>
      </w:tblGrid>
      <w:tr>
        <w:trPr/>
        <w:tc>
          <w:tcPr>
            <w:tcW w:w="7903" w:type="dxa"/>
            <w:tcBorders>
              <w:right w:val="single" w:sz="4" w:space="0" w:color="000000"/>
            </w:tcBorders>
          </w:tcPr>
          <w:p>
            <w:pPr>
              <w:pStyle w:val="Normal"/>
              <w:widowControl w:val="false"/>
              <w:rPr>
                <w:rFonts w:eastAsia="Calibri"/>
                <w:lang w:eastAsia="en-US"/>
              </w:rPr>
            </w:pPr>
            <w:r>
              <w:rPr>
                <w:rFonts w:eastAsia="Calibri"/>
                <w:lang w:eastAsia="en-US"/>
              </w:rPr>
            </w:r>
          </w:p>
          <w:p>
            <w:pPr>
              <w:pStyle w:val="Normal"/>
              <w:widowControl w:val="false"/>
              <w:numPr>
                <w:ilvl w:val="0"/>
                <w:numId w:val="0"/>
              </w:numPr>
              <w:tabs>
                <w:tab w:val="clear" w:pos="709"/>
                <w:tab w:val="left" w:pos="284" w:leader="none"/>
              </w:tabs>
              <w:ind w:hanging="0"/>
              <w:rPr>
                <w:rFonts w:eastAsia="Calibri"/>
                <w:lang w:eastAsia="en-US"/>
              </w:rPr>
            </w:pPr>
            <w:r>
              <w:rPr>
                <w:rFonts w:eastAsia="Calibri"/>
                <w:lang w:eastAsia="en-US"/>
              </w:rPr>
              <w:t>Фамилия      ______________________________________________</w:t>
            </w:r>
          </w:p>
          <w:p>
            <w:pPr>
              <w:pStyle w:val="Normal"/>
              <w:widowControl w:val="false"/>
              <w:rPr>
                <w:rFonts w:eastAsia="Calibri"/>
                <w:lang w:eastAsia="en-US"/>
              </w:rPr>
            </w:pPr>
            <w:r>
              <w:rPr>
                <w:rFonts w:eastAsia="Calibri"/>
                <w:lang w:eastAsia="en-US"/>
              </w:rPr>
              <w:t>Имя                   ______________________________________________</w:t>
            </w:r>
          </w:p>
          <w:p>
            <w:pPr>
              <w:pStyle w:val="Normal"/>
              <w:widowControl w:val="false"/>
              <w:rPr>
                <w:rFonts w:eastAsia="Calibri"/>
                <w:lang w:eastAsia="en-US"/>
              </w:rPr>
            </w:pPr>
            <w:r>
              <w:rPr>
                <w:rFonts w:eastAsia="Calibri"/>
                <w:lang w:eastAsia="en-US"/>
              </w:rPr>
              <w:t>Отчество           ______________________________________________</w:t>
            </w:r>
          </w:p>
          <w:p>
            <w:pPr>
              <w:pStyle w:val="Normal"/>
              <w:widowControl w:val="false"/>
              <w:rPr>
                <w:rFonts w:eastAsia="Calibri"/>
                <w:lang w:eastAsia="en-US"/>
              </w:rPr>
            </w:pPr>
            <w:r>
              <w:rPr>
                <w:rFonts w:eastAsia="Calibri"/>
                <w:lang w:eastAsia="en-US"/>
              </w:rPr>
              <w:t>Должность __________________________________________________</w:t>
            </w:r>
          </w:p>
          <w:p>
            <w:pPr>
              <w:pStyle w:val="Normal"/>
              <w:widowControl w:val="false"/>
              <w:rPr>
                <w:rFonts w:eastAsia="Calibri"/>
                <w:lang w:eastAsia="en-US"/>
              </w:rPr>
            </w:pPr>
            <w:r>
              <w:rPr>
                <w:rFonts w:eastAsia="Calibri"/>
                <w:lang w:eastAsia="en-US"/>
              </w:rPr>
              <w:t>Организация ________________________________________________</w:t>
            </w:r>
          </w:p>
        </w:tc>
        <w:tc>
          <w:tcPr>
            <w:tcW w:w="18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lang w:eastAsia="en-US"/>
              </w:rPr>
            </w:pPr>
            <w:r>
              <w:rPr>
                <w:rFonts w:eastAsia="Calibri"/>
                <w:lang w:eastAsia="en-US"/>
              </w:rPr>
              <w:t>Место</w:t>
            </w:r>
          </w:p>
          <w:p>
            <w:pPr>
              <w:pStyle w:val="Normal"/>
              <w:widowControl w:val="false"/>
              <w:jc w:val="center"/>
              <w:rPr>
                <w:rFonts w:eastAsia="Calibri"/>
                <w:lang w:eastAsia="en-US"/>
              </w:rPr>
            </w:pPr>
            <w:r>
              <w:rPr>
                <w:rFonts w:eastAsia="Calibri"/>
                <w:lang w:eastAsia="en-US"/>
              </w:rPr>
              <w:t>для</w:t>
            </w:r>
          </w:p>
          <w:p>
            <w:pPr>
              <w:pStyle w:val="Normal"/>
              <w:widowControl w:val="false"/>
              <w:jc w:val="center"/>
              <w:rPr>
                <w:rFonts w:eastAsia="Calibri"/>
                <w:lang w:eastAsia="en-US"/>
              </w:rPr>
            </w:pPr>
            <w:r>
              <w:rPr>
                <w:rFonts w:eastAsia="Calibri"/>
                <w:lang w:eastAsia="en-US"/>
              </w:rPr>
              <w:t>фотографии</w:t>
            </w:r>
          </w:p>
        </w:tc>
      </w:tr>
    </w:tbl>
    <w:p>
      <w:pPr>
        <w:pStyle w:val="Normal"/>
        <w:rPr>
          <w:rFonts w:eastAsia="Calibri"/>
          <w:lang w:eastAsia="en-US"/>
        </w:rPr>
      </w:pPr>
      <w:r>
        <w:rPr>
          <w:rFonts w:eastAsia="Calibri"/>
          <w:lang w:eastAsia="en-US"/>
        </w:rPr>
        <w:t>2. Изменялась ли фамилия, имя или отчество, если да, то указать их, а также когда, где и по какой причине ___________________________________________________________________</w:t>
      </w:r>
    </w:p>
    <w:p>
      <w:pPr>
        <w:pStyle w:val="Normal"/>
        <w:rPr>
          <w:rFonts w:eastAsia="Calibri"/>
          <w:lang w:eastAsia="en-US"/>
        </w:rPr>
      </w:pPr>
      <w:r>
        <w:rPr>
          <w:rFonts w:eastAsia="Calibri"/>
          <w:lang w:eastAsia="en-US"/>
        </w:rPr>
        <w:t>3. Число, месяц и год рождения  ____________________________________________________</w:t>
      </w:r>
    </w:p>
    <w:p>
      <w:pPr>
        <w:pStyle w:val="Normal"/>
        <w:rPr>
          <w:rFonts w:eastAsia="Calibri"/>
          <w:lang w:eastAsia="en-US"/>
        </w:rPr>
      </w:pPr>
      <w:r>
        <w:rPr>
          <w:rFonts w:eastAsia="Calibri"/>
          <w:lang w:eastAsia="en-US"/>
        </w:rPr>
        <w:t>4. Место рождения _______________________________________________________________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(населенный пункт, район, область, край, республика)</w:t>
      </w:r>
    </w:p>
    <w:p>
      <w:pPr>
        <w:pStyle w:val="Normal"/>
        <w:rPr>
          <w:rFonts w:eastAsia="Calibri"/>
          <w:lang w:eastAsia="en-US"/>
        </w:rPr>
      </w:pPr>
      <w:r>
        <w:rPr>
          <w:rFonts w:eastAsia="Calibri"/>
          <w:lang w:eastAsia="en-US"/>
        </w:rPr>
        <w:t>5. Гражданство__________________________________________________________________</w:t>
      </w:r>
    </w:p>
    <w:p>
      <w:pPr>
        <w:pStyle w:val="Normal"/>
        <w:ind w:left="1560" w:hanging="0"/>
        <w:jc w:val="center"/>
        <w:rPr>
          <w:rFonts w:eastAsia="Calibri"/>
          <w:i/>
          <w:i/>
          <w:vertAlign w:val="superscript"/>
          <w:lang w:eastAsia="en-US"/>
        </w:rPr>
      </w:pPr>
      <w:r>
        <w:rPr>
          <w:rFonts w:eastAsia="Calibri"/>
          <w:i/>
          <w:vertAlign w:val="superscript"/>
          <w:lang w:eastAsia="en-US"/>
        </w:rPr>
        <w:t>(если изменялось, то указать, когда и по какой причине)</w:t>
      </w:r>
    </w:p>
    <w:p>
      <w:pPr>
        <w:pStyle w:val="Normal"/>
        <w:rPr>
          <w:rFonts w:eastAsia="Calibri"/>
          <w:lang w:eastAsia="en-US"/>
        </w:rPr>
      </w:pPr>
      <w:r>
        <w:rPr>
          <w:rFonts w:eastAsia="Calibri"/>
          <w:lang w:eastAsia="en-US"/>
        </w:rPr>
        <w:t>6. Образование, специальность и квалификация по диплому 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(когда и какие учебные заведения окончили)</w:t>
      </w:r>
    </w:p>
    <w:p>
      <w:pPr>
        <w:pStyle w:val="Normal"/>
        <w:rPr>
          <w:rFonts w:eastAsia="Calibri"/>
          <w:lang w:eastAsia="en-US"/>
        </w:rPr>
      </w:pPr>
      <w:r>
        <w:rPr>
          <w:rFonts w:eastAsia="Calibri"/>
          <w:lang w:eastAsia="en-US"/>
        </w:rPr>
        <w:t>7. Адрес фактического места жительства: ____________________________________________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rPr>
          <w:rFonts w:eastAsia="Calibri"/>
          <w:lang w:eastAsia="en-US"/>
        </w:rPr>
      </w:pPr>
      <w:r>
        <w:rPr>
          <w:rFonts w:eastAsia="Calibri"/>
          <w:lang w:eastAsia="en-US"/>
        </w:rPr>
        <w:t>9. Адрес регистрации по месту жительства и/или месту пребывания: ________________________________________________________________________________</w:t>
      </w:r>
    </w:p>
    <w:p>
      <w:pPr>
        <w:pStyle w:val="Normal"/>
        <w:rPr>
          <w:rFonts w:eastAsia="Calibri"/>
          <w:lang w:eastAsia="en-US"/>
        </w:rPr>
      </w:pPr>
      <w:r>
        <w:rPr>
          <w:rFonts w:eastAsia="Calibri"/>
          <w:lang w:eastAsia="en-US"/>
        </w:rPr>
        <w:t>10. Паспорт или документ, его заменяющий __________________________________________</w:t>
      </w:r>
    </w:p>
    <w:p>
      <w:pPr>
        <w:pStyle w:val="Normal"/>
        <w:rPr>
          <w:rFonts w:eastAsia="Calibri"/>
          <w:lang w:eastAsia="en-US"/>
        </w:rPr>
      </w:pPr>
      <w:r>
        <w:rPr>
          <w:rFonts w:eastAsia="Calibri"/>
          <w:lang w:eastAsia="en-US"/>
        </w:rPr>
        <w:t>________________________________________________________________________________</w:t>
      </w:r>
    </w:p>
    <w:p>
      <w:pPr>
        <w:pStyle w:val="Normal"/>
        <w:jc w:val="center"/>
        <w:rPr>
          <w:rFonts w:eastAsia="Calibri"/>
          <w:i/>
          <w:i/>
          <w:vertAlign w:val="superscript"/>
          <w:lang w:eastAsia="en-US"/>
        </w:rPr>
      </w:pPr>
      <w:r>
        <w:rPr>
          <w:rFonts w:eastAsia="Calibri"/>
          <w:i/>
          <w:vertAlign w:val="superscript"/>
          <w:lang w:eastAsia="en-US"/>
        </w:rPr>
        <w:t>(номер, серия, кем и когда выдан)</w:t>
      </w:r>
    </w:p>
    <w:p>
      <w:pPr>
        <w:pStyle w:val="Normal"/>
        <w:ind w:firstLine="567"/>
        <w:rPr>
          <w:rFonts w:eastAsia="Calibri"/>
          <w:lang w:eastAsia="en-US"/>
        </w:rPr>
      </w:pPr>
      <w:r>
        <w:rPr>
          <w:rFonts w:eastAsia="Calibri"/>
          <w:lang w:eastAsia="en-US"/>
        </w:rPr>
        <w:t>Настоящим, в соответствии с Федеральным законом от 27.07.2006 №152 «О персональных данных» даю согласие филиалу ПАО «РусГидро» - «Северо-Осетинский филиал», расположенному по адресу: Российская Федерация, РСО-Алания, г. Владикавказ, ул. В.Абаева, 63, на обработку моих персональных данных, а именно: фамилия, имя, отчество, фотография, дата рождения, адрес фактического места жительства, адреса регистрации по месту жительства, сведения об образовании, профессии (должности), сведения о месте работы, паспортных данных.</w:t>
      </w:r>
    </w:p>
    <w:p>
      <w:pPr>
        <w:pStyle w:val="Normal"/>
        <w:ind w:firstLine="567"/>
        <w:rPr>
          <w:rFonts w:eastAsia="Calibri"/>
          <w:lang w:eastAsia="en-US"/>
        </w:rPr>
      </w:pPr>
      <w:r>
        <w:rPr>
          <w:rFonts w:eastAsia="Calibri"/>
          <w:lang w:eastAsia="en-US"/>
        </w:rPr>
        <w:t>Целью обработки персональных данных работников подрядных организаций и посетителей Филиала является обеспечение пропускного режима.</w:t>
      </w:r>
    </w:p>
    <w:p>
      <w:pPr>
        <w:pStyle w:val="Normal"/>
        <w:ind w:firstLine="567"/>
        <w:rPr>
          <w:rFonts w:eastAsia="Calibri"/>
          <w:lang w:eastAsia="en-US"/>
        </w:rPr>
      </w:pPr>
      <w:r>
        <w:rPr>
          <w:rFonts w:eastAsia="Calibri"/>
          <w:lang w:eastAsia="en-US"/>
        </w:rPr>
        <w:t>Подписывая данную анкету даю согласие на совершение следующих действий (операций) с моими персональными данными: сбор, систематизацию, накопление, хранение, уточнение (обновление, изменение), использование, передачу (в том числе предоставление определенному кругу третьих лиц для достижения вышеуказанных целей), блокирование, удаление, уничтожение, осуществляемых как с использованием средств автоматизации (автоматизированная обработка), так и без использования таких средств (неавтоматизированная обработка).</w:t>
      </w:r>
    </w:p>
    <w:p>
      <w:pPr>
        <w:pStyle w:val="Normal"/>
        <w:ind w:firstLine="567"/>
        <w:rPr>
          <w:rFonts w:eastAsia="Calibri"/>
          <w:lang w:eastAsia="en-US"/>
        </w:rPr>
      </w:pPr>
      <w:r>
        <w:rPr>
          <w:rFonts w:eastAsia="Calibri"/>
          <w:lang w:eastAsia="en-US"/>
        </w:rPr>
        <w:t>Я подтверждаю, что ознакомлен с требованиями законодательства Российской Федерации, устанавливающими порядок обработки персональных данных, а также с моими правами и обязанностями в этой области.</w:t>
      </w:r>
    </w:p>
    <w:p>
      <w:pPr>
        <w:pStyle w:val="Normal"/>
        <w:ind w:firstLine="567"/>
        <w:rPr>
          <w:rFonts w:eastAsia="Calibri"/>
          <w:lang w:eastAsia="en-US"/>
        </w:rPr>
      </w:pPr>
      <w:r>
        <w:rPr>
          <w:rFonts w:eastAsia="Calibri"/>
          <w:lang w:eastAsia="en-US"/>
        </w:rPr>
        <w:t>Согласие вступает в силу со дня его подписания на период не менее чем срок хранения документов, установленных архивным законодательством. Согласие (анкета) может быть отозвано мною в любое время на основании моего письменного заявления.</w:t>
      </w:r>
    </w:p>
    <w:p>
      <w:pPr>
        <w:pStyle w:val="Normal"/>
        <w:ind w:firstLine="567"/>
        <w:rPr>
          <w:rFonts w:eastAsia="Calibri"/>
          <w:b/>
          <w:i/>
          <w:i/>
          <w:lang w:eastAsia="en-US"/>
        </w:rPr>
      </w:pPr>
      <w:r>
        <w:rPr>
          <w:rFonts w:eastAsia="Calibri"/>
          <w:b/>
          <w:i/>
          <w:lang w:eastAsia="en-US"/>
        </w:rPr>
        <w:t>Я подтверждаю, что вся информация, указанная мною в настоящей анкете, предоставлена добровольно и является достоверной.</w:t>
      </w:r>
    </w:p>
    <w:p>
      <w:pPr>
        <w:pStyle w:val="Normal"/>
        <w:rPr>
          <w:rFonts w:eastAsia="Calibri"/>
          <w:lang w:eastAsia="en-US"/>
        </w:rPr>
      </w:pPr>
      <w:r>
        <w:rPr>
          <w:rFonts w:eastAsia="Calibri"/>
          <w:lang w:eastAsia="en-US"/>
        </w:rPr>
        <w:t>_____________________________</w:t>
        <w:tab/>
        <w:t xml:space="preserve">  </w:t>
        <w:tab/>
        <w:tab/>
        <w:tab/>
        <w:tab/>
        <w:tab/>
        <w:t>____________________</w:t>
      </w:r>
    </w:p>
    <w:p>
      <w:pPr>
        <w:pStyle w:val="Normal"/>
        <w:rPr>
          <w:rFonts w:eastAsia="Calibri"/>
          <w:vertAlign w:val="superscript"/>
          <w:lang w:eastAsia="en-US"/>
        </w:rPr>
      </w:pPr>
      <w:r>
        <w:rPr>
          <w:rFonts w:eastAsia="Calibri"/>
          <w:vertAlign w:val="superscript"/>
          <w:lang w:eastAsia="en-US"/>
        </w:rPr>
        <w:t xml:space="preserve">                                                                 </w:t>
      </w:r>
      <w:r>
        <w:rPr>
          <w:rFonts w:eastAsia="Calibri"/>
          <w:vertAlign w:val="superscript"/>
          <w:lang w:eastAsia="en-US"/>
        </w:rPr>
        <w:t>(ФИО)</w:t>
        <w:tab/>
        <w:t xml:space="preserve">                                                                                                    </w:t>
        <w:tab/>
        <w:tab/>
        <w:tab/>
        <w:tab/>
        <w:tab/>
        <w:t xml:space="preserve">(Подпись)          </w:t>
      </w:r>
    </w:p>
    <w:p>
      <w:pPr>
        <w:pStyle w:val="Normal"/>
        <w:rPr>
          <w:rFonts w:eastAsia="Calibri"/>
          <w:lang w:eastAsia="en-US"/>
        </w:rPr>
      </w:pPr>
      <w:r>
        <w:rPr>
          <w:rFonts w:eastAsia="Calibri"/>
          <w:lang w:eastAsia="en-US"/>
        </w:rPr>
        <w:t>«___» ___________ 20__ г.</w:t>
      </w:r>
    </w:p>
    <w:p>
      <w:pPr>
        <w:pStyle w:val="Normal"/>
        <w:rPr>
          <w:rFonts w:eastAsia="Calibri"/>
          <w:vertAlign w:val="superscript"/>
          <w:lang w:eastAsia="en-US"/>
        </w:rPr>
      </w:pPr>
      <w:r>
        <w:rPr>
          <w:rFonts w:eastAsia="Calibri"/>
          <w:vertAlign w:val="superscript"/>
          <w:lang w:eastAsia="en-US"/>
        </w:rPr>
        <w:t xml:space="preserve">                                                          </w:t>
      </w:r>
      <w:r>
        <w:rPr>
          <w:rFonts w:eastAsia="Calibri"/>
          <w:vertAlign w:val="superscript"/>
          <w:lang w:eastAsia="en-US"/>
        </w:rPr>
        <w:t>(Дата)</w:t>
      </w:r>
      <w:r>
        <w:br w:type="page"/>
      </w:r>
    </w:p>
    <w:p>
      <w:pPr>
        <w:pStyle w:val="Normal"/>
        <w:ind w:left="4536" w:hanging="0"/>
        <w:jc w:val="right"/>
        <w:rPr>
          <w:rFonts w:eastAsia="Calibri"/>
          <w:lang w:eastAsia="en-US"/>
        </w:rPr>
      </w:pPr>
      <w:r>
        <w:rPr>
          <w:rFonts w:eastAsia="Calibri"/>
          <w:lang w:eastAsia="en-US"/>
        </w:rPr>
        <w:t>Приложение №3</w:t>
      </w:r>
    </w:p>
    <w:p>
      <w:pPr>
        <w:pStyle w:val="Normal"/>
        <w:ind w:left="5812" w:hanging="0"/>
        <w:jc w:val="right"/>
        <w:rPr>
          <w:rFonts w:eastAsia="Calibri"/>
          <w:b/>
          <w:lang w:eastAsia="x-none"/>
        </w:rPr>
      </w:pPr>
      <w:r>
        <w:rPr>
          <w:rFonts w:eastAsia="Calibri"/>
          <w:lang w:eastAsia="en-US"/>
        </w:rPr>
        <w:t xml:space="preserve">к Техническим требованиям </w:t>
      </w:r>
      <w:r>
        <w:rPr>
          <w:rFonts w:eastAsia="Calibri"/>
          <w:bCs/>
          <w:lang w:eastAsia="en-US"/>
        </w:rPr>
        <w:t xml:space="preserve">на закупку </w:t>
      </w:r>
      <w:r>
        <w:rPr>
          <w:rFonts w:eastAsia="Calibri"/>
          <w:color w:val="000000"/>
          <w:lang w:eastAsia="en-US"/>
        </w:rPr>
        <w:t>оказания услуг</w:t>
      </w:r>
    </w:p>
    <w:p>
      <w:pPr>
        <w:pStyle w:val="Normal"/>
        <w:ind w:left="4536" w:hanging="0"/>
        <w:jc w:val="right"/>
        <w:rPr>
          <w:rFonts w:eastAsia="Calibri"/>
          <w:b/>
          <w:lang w:eastAsia="en-US"/>
        </w:rPr>
      </w:pPr>
      <w:r>
        <w:rPr>
          <w:rFonts w:eastAsia="Calibri"/>
          <w:lang w:eastAsia="en-US"/>
        </w:rPr>
        <w:t>«</w:t>
      </w:r>
      <w:r>
        <w:rPr>
          <w:rFonts w:eastAsia="Calibri"/>
          <w:bCs/>
          <w:lang w:eastAsia="en-US"/>
        </w:rPr>
        <w:t>ОКПД2 84.24 Услуги</w:t>
      </w:r>
      <w:r>
        <w:rPr>
          <w:rFonts w:eastAsia="Calibri"/>
          <w:color w:val="000000"/>
          <w:lang w:eastAsia="en-US"/>
        </w:rPr>
        <w:t xml:space="preserve"> по охране и антитеррористической защищенности </w:t>
      </w:r>
      <w:r>
        <w:rPr>
          <w:rFonts w:eastAsia="Calibri"/>
          <w:iCs/>
          <w:color w:val="000000"/>
          <w:lang w:eastAsia="en-US"/>
        </w:rPr>
        <w:t xml:space="preserve">складской инфраструктуры </w:t>
      </w:r>
      <w:r>
        <w:rPr>
          <w:rFonts w:eastAsia="Calibri"/>
          <w:color w:val="000000"/>
          <w:lang w:eastAsia="en-US"/>
        </w:rPr>
        <w:t>филиала ПАО «РусГидро»-«Северо-Осетинский филиал»</w:t>
      </w:r>
    </w:p>
    <w:p>
      <w:pPr>
        <w:pStyle w:val="Normal"/>
        <w:numPr>
          <w:ilvl w:val="0"/>
          <w:numId w:val="0"/>
        </w:numPr>
        <w:jc w:val="center"/>
        <w:outlineLvl w:val="0"/>
        <w:rPr>
          <w:rFonts w:eastAsia="Calibri"/>
          <w:b/>
          <w:lang w:eastAsia="en-US"/>
        </w:rPr>
      </w:pPr>
      <w:r>
        <w:rPr>
          <w:rFonts w:eastAsia="Calibri"/>
          <w:b/>
          <w:lang w:eastAsia="en-US"/>
        </w:rPr>
        <w:t>Согласие на обработку персональных данных (форма)</w:t>
      </w:r>
    </w:p>
    <w:p>
      <w:pPr>
        <w:pStyle w:val="Normal"/>
        <w:numPr>
          <w:ilvl w:val="0"/>
          <w:numId w:val="0"/>
        </w:numPr>
        <w:outlineLvl w:val="0"/>
        <w:rPr>
          <w:rFonts w:eastAsia="Calibri"/>
          <w:b/>
          <w:lang w:eastAsia="en-US"/>
        </w:rPr>
      </w:pPr>
      <w:r>
        <w:rPr>
          <w:rFonts w:eastAsia="Calibri"/>
          <w:b/>
          <w:lang w:eastAsia="en-US"/>
        </w:rPr>
      </w:r>
    </w:p>
    <w:p>
      <w:pPr>
        <w:pStyle w:val="Normal"/>
        <w:rPr>
          <w:rFonts w:eastAsia="Calibri"/>
          <w:lang w:eastAsia="en-US"/>
        </w:rPr>
      </w:pPr>
      <w:r>
        <w:rPr>
          <w:rFonts w:eastAsia="Calibri"/>
          <w:lang w:eastAsia="en-US"/>
        </w:rPr>
      </w:r>
    </w:p>
    <w:p>
      <w:pPr>
        <w:pStyle w:val="Normal"/>
        <w:widowControl w:val="false"/>
        <w:textAlignment w:val="baseline"/>
        <w:rPr>
          <w:rFonts w:eastAsia="Calibri"/>
          <w:b/>
          <w:lang w:eastAsia="x-none"/>
        </w:rPr>
      </w:pPr>
      <w:bookmarkStart w:id="4" w:name="_Toc371578780"/>
      <w:bookmarkStart w:id="5" w:name="_Toc371577629"/>
      <w:r>
        <w:rPr>
          <w:rFonts w:eastAsia="Calibri"/>
          <w:lang w:eastAsia="en-US"/>
        </w:rPr>
        <w:t>Я,________________________________________________________________</w:t>
      </w:r>
      <w:bookmarkEnd w:id="4"/>
      <w:bookmarkEnd w:id="5"/>
      <w:r>
        <w:rPr>
          <w:rFonts w:eastAsia="Calibri"/>
          <w:lang w:eastAsia="en-US"/>
        </w:rPr>
        <w:t>______________</w:t>
      </w:r>
    </w:p>
    <w:p>
      <w:pPr>
        <w:pStyle w:val="Normal"/>
        <w:widowControl w:val="false"/>
        <w:jc w:val="center"/>
        <w:textAlignment w:val="baseline"/>
        <w:rPr>
          <w:rFonts w:eastAsia="Calibri"/>
          <w:vertAlign w:val="superscript"/>
          <w:lang w:eastAsia="en-US"/>
        </w:rPr>
      </w:pPr>
      <w:bookmarkStart w:id="6" w:name="_Toc371578781"/>
      <w:bookmarkStart w:id="7" w:name="_Toc371577630"/>
      <w:r>
        <w:rPr>
          <w:rFonts w:eastAsia="Calibri"/>
          <w:vertAlign w:val="superscript"/>
          <w:lang w:eastAsia="en-US"/>
        </w:rPr>
        <w:t>(полностью фамилия, имя, отчество)</w:t>
      </w:r>
      <w:bookmarkEnd w:id="6"/>
      <w:bookmarkEnd w:id="7"/>
    </w:p>
    <w:p>
      <w:pPr>
        <w:pStyle w:val="Normal"/>
        <w:widowControl w:val="false"/>
        <w:jc w:val="center"/>
        <w:textAlignment w:val="baseline"/>
        <w:rPr>
          <w:rFonts w:eastAsia="Calibri"/>
          <w:b/>
          <w:lang w:eastAsia="x-none"/>
        </w:rPr>
      </w:pPr>
      <w:bookmarkStart w:id="8" w:name="_Toc371578782"/>
      <w:bookmarkStart w:id="9" w:name="_Toc371577631"/>
      <w:r>
        <w:rPr>
          <w:rFonts w:eastAsia="Calibri"/>
          <w:lang w:eastAsia="en-US"/>
        </w:rPr>
        <w:t>________________________________________________________</w:t>
      </w:r>
      <w:r>
        <w:rPr>
          <w:rFonts w:eastAsia="Calibri"/>
          <w:lang w:eastAsia="en-US"/>
        </w:rPr>
        <w:t>______________</w:t>
      </w:r>
      <w:r>
        <w:rPr>
          <w:rFonts w:eastAsia="Calibri"/>
          <w:lang w:eastAsia="en-US"/>
        </w:rPr>
        <w:t>__________</w:t>
      </w:r>
      <w:bookmarkEnd w:id="8"/>
      <w:bookmarkEnd w:id="9"/>
      <w:r>
        <w:rPr>
          <w:rFonts w:eastAsia="Calibri"/>
          <w:lang w:eastAsia="en-US"/>
        </w:rPr>
        <w:t>__________________</w:t>
      </w:r>
    </w:p>
    <w:p>
      <w:pPr>
        <w:pStyle w:val="Normal"/>
        <w:widowControl w:val="false"/>
        <w:jc w:val="center"/>
        <w:textAlignment w:val="baseline"/>
        <w:rPr>
          <w:rFonts w:eastAsia="Calibri"/>
          <w:vertAlign w:val="superscript"/>
          <w:lang w:eastAsia="en-US"/>
        </w:rPr>
      </w:pPr>
      <w:bookmarkStart w:id="10" w:name="_Toc371578783"/>
      <w:bookmarkStart w:id="11" w:name="_Toc371577632"/>
      <w:r>
        <w:rPr>
          <w:rFonts w:eastAsia="Calibri"/>
          <w:vertAlign w:val="superscript"/>
          <w:lang w:eastAsia="en-US"/>
        </w:rPr>
        <w:t>(дата, месяц, год и место рождения)</w:t>
      </w:r>
      <w:bookmarkEnd w:id="10"/>
      <w:bookmarkEnd w:id="11"/>
    </w:p>
    <w:p>
      <w:pPr>
        <w:pStyle w:val="Normal"/>
        <w:widowControl w:val="false"/>
        <w:jc w:val="center"/>
        <w:textAlignment w:val="baseline"/>
        <w:rPr>
          <w:rFonts w:eastAsia="Calibri"/>
          <w:lang w:eastAsia="en-US"/>
        </w:rPr>
      </w:pPr>
      <w:bookmarkStart w:id="12" w:name="_Toc371578786"/>
      <w:bookmarkStart w:id="13" w:name="_Toc371577635"/>
      <w:r>
        <w:rPr>
          <w:rFonts w:eastAsia="Calibri"/>
          <w:lang w:eastAsia="en-US"/>
        </w:rPr>
        <w:t>____________________________________________________________________________________</w:t>
      </w:r>
    </w:p>
    <w:p>
      <w:pPr>
        <w:pStyle w:val="Normal"/>
        <w:widowControl w:val="false"/>
        <w:jc w:val="center"/>
        <w:textAlignment w:val="baseline"/>
        <w:rPr>
          <w:rFonts w:eastAsia="Calibri"/>
          <w:b/>
          <w:lang w:eastAsia="x-none"/>
        </w:rPr>
      </w:pPr>
      <w:r>
        <w:rPr>
          <w:rFonts w:eastAsia="Calibri"/>
          <w:vertAlign w:val="superscript"/>
          <w:lang w:eastAsia="en-US"/>
        </w:rPr>
        <w:t xml:space="preserve">(основной документ, удостоверяющий личность, с указанием серии, номера, даты выдачи, </w:t>
      </w:r>
      <w:r>
        <w:rPr>
          <w:rFonts w:eastAsia="Calibri"/>
          <w:lang w:eastAsia="en-US"/>
        </w:rPr>
        <w:t>____________________________________________________________________________________</w:t>
      </w:r>
      <w:bookmarkEnd w:id="12"/>
      <w:bookmarkEnd w:id="13"/>
      <w:r>
        <w:rPr>
          <w:rFonts w:eastAsia="Calibri"/>
          <w:lang w:eastAsia="en-US"/>
        </w:rPr>
        <w:t>_</w:t>
      </w:r>
    </w:p>
    <w:p>
      <w:pPr>
        <w:pStyle w:val="Normal"/>
        <w:widowControl w:val="false"/>
        <w:jc w:val="center"/>
        <w:textAlignment w:val="baseline"/>
        <w:rPr>
          <w:rFonts w:eastAsia="Calibri"/>
          <w:vertAlign w:val="superscript"/>
          <w:lang w:eastAsia="en-US"/>
        </w:rPr>
      </w:pPr>
      <w:bookmarkStart w:id="14" w:name="_Toc371578787"/>
      <w:bookmarkStart w:id="15" w:name="_Toc371577636"/>
      <w:r>
        <w:rPr>
          <w:rFonts w:eastAsia="Calibri"/>
          <w:vertAlign w:val="superscript"/>
          <w:lang w:eastAsia="en-US"/>
        </w:rPr>
        <w:t>выдавшего органа, кода подразделения)</w:t>
      </w:r>
      <w:bookmarkEnd w:id="14"/>
      <w:bookmarkEnd w:id="15"/>
    </w:p>
    <w:p>
      <w:pPr>
        <w:pStyle w:val="Normal"/>
        <w:widowControl w:val="false"/>
        <w:jc w:val="center"/>
        <w:textAlignment w:val="baseline"/>
        <w:rPr>
          <w:rFonts w:eastAsia="Calibri"/>
          <w:lang w:eastAsia="en-US"/>
        </w:rPr>
      </w:pPr>
      <w:bookmarkStart w:id="16" w:name="_Toc371578788"/>
      <w:bookmarkStart w:id="17" w:name="_Toc371577637"/>
      <w:r>
        <w:rPr>
          <w:rFonts w:eastAsia="Calibri"/>
          <w:lang w:eastAsia="en-US"/>
        </w:rPr>
        <w:t>____________________________________________________________________________________,</w:t>
      </w:r>
      <w:bookmarkEnd w:id="16"/>
      <w:bookmarkEnd w:id="17"/>
    </w:p>
    <w:p>
      <w:pPr>
        <w:pStyle w:val="Normal"/>
        <w:widowControl w:val="false"/>
        <w:jc w:val="center"/>
        <w:textAlignment w:val="baseline"/>
        <w:rPr>
          <w:rFonts w:eastAsia="Calibri"/>
          <w:vertAlign w:val="superscript"/>
          <w:lang w:eastAsia="en-US"/>
        </w:rPr>
      </w:pPr>
      <w:bookmarkStart w:id="18" w:name="_Toc371578789"/>
      <w:bookmarkStart w:id="19" w:name="_Toc371577638"/>
      <w:r>
        <w:rPr>
          <w:rFonts w:eastAsia="Calibri"/>
          <w:vertAlign w:val="superscript"/>
          <w:lang w:eastAsia="en-US"/>
        </w:rPr>
        <w:t>(зарегистрированный по адресу)</w:t>
      </w:r>
      <w:bookmarkEnd w:id="18"/>
      <w:bookmarkEnd w:id="19"/>
    </w:p>
    <w:p>
      <w:pPr>
        <w:pStyle w:val="Normal"/>
        <w:widowControl w:val="false"/>
        <w:jc w:val="both"/>
        <w:textAlignment w:val="baseline"/>
        <w:rPr>
          <w:rFonts w:eastAsia="Calibri"/>
          <w:b/>
          <w:lang w:eastAsia="x-none"/>
        </w:rPr>
      </w:pPr>
      <w:bookmarkStart w:id="20" w:name="_Toc371578790"/>
      <w:bookmarkStart w:id="21" w:name="_Toc371577639"/>
      <w:r>
        <w:rPr>
          <w:rFonts w:eastAsia="Calibri"/>
          <w:lang w:eastAsia="en-US"/>
        </w:rPr>
        <w:t xml:space="preserve">в соответствии с законодательством Российской Федерации, в том числе Федеральным законом от 27.07.2006 № 152-ФЗ «О персональных данных», даю свое согласие </w:t>
      </w:r>
      <w:r>
        <w:rPr>
          <w:rFonts w:eastAsia="Calibri"/>
          <w:i/>
          <w:lang w:eastAsia="en-US"/>
        </w:rPr>
        <w:t xml:space="preserve">ПАО «__________________» (сокращенное наименование: _____________, место нахождения: </w:t>
      </w:r>
      <w:r>
        <w:rPr>
          <w:rFonts w:eastAsia="Calibri"/>
          <w:i/>
          <w:shd w:fill="BFBFBF" w:val="clear"/>
          <w:lang w:eastAsia="en-US"/>
        </w:rPr>
        <w:t>680000, г. Хабаровск ул. Фрунзе, д. 49, ИНН: 1234567899 - пример</w:t>
      </w:r>
      <w:r>
        <w:rPr>
          <w:rFonts w:eastAsia="Calibri"/>
          <w:i/>
          <w:lang w:eastAsia="en-US"/>
        </w:rPr>
        <w:t>)</w:t>
      </w:r>
      <w:r>
        <w:rPr>
          <w:rFonts w:eastAsia="Calibri"/>
          <w:lang w:eastAsia="en-US"/>
        </w:rPr>
        <w:t xml:space="preserve"> </w:t>
      </w:r>
      <w:bookmarkStart w:id="22" w:name="Par0"/>
      <w:bookmarkEnd w:id="22"/>
      <w:r>
        <w:rPr>
          <w:rFonts w:eastAsia="Calibri"/>
          <w:lang w:eastAsia="en-US"/>
        </w:rPr>
        <w:t>на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следующих категорий персональных данных в документальной и/или электронной форме: фамилия, имя, отчество, дата, месяц, год и место рождения, пол, гражданство, адрес регистрации/места жительства, основной документ, удостоверяющий личность (серия, номер, дата выдачи, выдавший орган), номер телефона, адрес электронной почты.</w:t>
      </w:r>
    </w:p>
    <w:p>
      <w:pPr>
        <w:pStyle w:val="Normal"/>
        <w:widowControl w:val="false"/>
        <w:ind w:firstLine="709"/>
        <w:textAlignment w:val="baseline"/>
        <w:rPr>
          <w:rFonts w:eastAsia="Calibri"/>
          <w:lang w:eastAsia="en-US"/>
        </w:rPr>
      </w:pPr>
      <w:r>
        <w:rPr>
          <w:rFonts w:eastAsia="Calibri"/>
          <w:lang w:eastAsia="en-US"/>
        </w:rPr>
        <w:t>Согласие дается мною для следующих целей:</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обеспечение соблюдения законов и иных нормативных правовых актов Российской Федерации по обеспечению безопасности на объектах топливно-энергетического комплекса;</w:t>
      </w:r>
    </w:p>
    <w:p>
      <w:pPr>
        <w:pStyle w:val="Normal"/>
        <w:widowControl w:val="false"/>
        <w:ind w:firstLine="709"/>
        <w:jc w:val="both"/>
        <w:textAlignment w:val="baseline"/>
        <w:rPr>
          <w:rFonts w:eastAsia="Calibri"/>
          <w:lang w:eastAsia="en-US"/>
        </w:rPr>
      </w:pPr>
      <w:r>
        <w:rPr>
          <w:rFonts w:eastAsia="Calibri"/>
          <w:lang w:eastAsia="en-US"/>
        </w:rPr>
        <w:t>•</w:t>
      </w:r>
      <w:r>
        <w:rPr>
          <w:rFonts w:eastAsia="Calibri"/>
          <w:lang w:eastAsia="en-US"/>
        </w:rPr>
        <w:tab/>
        <w:t>предоставление (передачи) сведений в органы ФСБ и МВД России с целью осуществления проверочных мероприятий для обеспечения безопасности на объектах топливно-энергетического комплекса, необходимых для выполнения моей трудовой функции.</w:t>
      </w:r>
      <w:bookmarkEnd w:id="20"/>
      <w:bookmarkEnd w:id="21"/>
    </w:p>
    <w:p>
      <w:pPr>
        <w:pStyle w:val="Normal"/>
        <w:widowControl w:val="false"/>
        <w:ind w:firstLine="709"/>
        <w:jc w:val="both"/>
        <w:textAlignment w:val="baseline"/>
        <w:rPr>
          <w:rFonts w:eastAsia="Calibri"/>
          <w:lang w:eastAsia="en-US"/>
        </w:rPr>
      </w:pPr>
      <w:r>
        <w:rPr>
          <w:rFonts w:eastAsia="Calibri"/>
          <w:lang w:eastAsia="en-US"/>
        </w:rPr>
        <w:t xml:space="preserve">Согласие действует на срок до «____» _________ 20___ г. и может быть отозвано в письменной форме субъектом персональных данных в указанный срок его действия. </w:t>
      </w:r>
    </w:p>
    <w:p>
      <w:pPr>
        <w:pStyle w:val="Normal"/>
        <w:widowControl w:val="false"/>
        <w:textAlignment w:val="baseline"/>
        <w:rPr>
          <w:rFonts w:eastAsia="Calibri"/>
          <w:lang w:eastAsia="en-US"/>
        </w:rPr>
      </w:pPr>
      <w:r>
        <w:rPr>
          <w:rFonts w:eastAsia="Calibri"/>
          <w:lang w:eastAsia="en-US"/>
        </w:rPr>
      </w:r>
    </w:p>
    <w:p>
      <w:pPr>
        <w:pStyle w:val="Normal"/>
        <w:spacing w:before="0" w:after="0"/>
        <w:ind w:left="720" w:hanging="0"/>
        <w:contextualSpacing/>
        <w:rPr>
          <w:rFonts w:eastAsia="Calibri"/>
          <w:lang w:eastAsia="en-US"/>
        </w:rPr>
      </w:pPr>
      <w:r>
        <w:rPr>
          <w:rFonts w:eastAsia="Calibri"/>
          <w:lang w:eastAsia="en-US"/>
        </w:rPr>
      </w:r>
    </w:p>
    <w:p>
      <w:pPr>
        <w:pStyle w:val="Normal"/>
        <w:spacing w:before="0" w:after="0"/>
        <w:ind w:left="720" w:hanging="0"/>
        <w:contextualSpacing/>
        <w:rPr>
          <w:rFonts w:eastAsia="Calibri"/>
          <w:lang w:eastAsia="en-US"/>
        </w:rPr>
      </w:pPr>
      <w:r>
        <w:rPr>
          <w:rFonts w:eastAsia="Calibri"/>
          <w:lang w:eastAsia="en-US"/>
        </w:rPr>
      </w:r>
    </w:p>
    <w:p>
      <w:pPr>
        <w:pStyle w:val="Normal"/>
        <w:spacing w:before="0" w:after="0"/>
        <w:contextualSpacing/>
        <w:rPr>
          <w:rFonts w:eastAsia="Calibri"/>
          <w:lang w:eastAsia="en-US"/>
        </w:rPr>
      </w:pPr>
      <w:bookmarkStart w:id="23" w:name="_Toc371578799"/>
      <w:bookmarkStart w:id="24" w:name="_Toc371577648"/>
      <w:r>
        <w:rPr>
          <w:rFonts w:eastAsia="Calibri"/>
          <w:lang w:eastAsia="en-US"/>
        </w:rPr>
        <w:t xml:space="preserve">______________                                                     </w:t>
        <w:tab/>
        <w:tab/>
        <w:tab/>
        <w:t>___________________________</w:t>
      </w:r>
      <w:bookmarkEnd w:id="23"/>
      <w:bookmarkEnd w:id="24"/>
    </w:p>
    <w:p>
      <w:pPr>
        <w:pStyle w:val="Normal"/>
        <w:rPr>
          <w:rFonts w:eastAsia="Calibri"/>
          <w:b/>
          <w:lang w:eastAsia="x-none"/>
        </w:rPr>
      </w:pPr>
      <w:r>
        <w:rPr>
          <w:rFonts w:eastAsia="Calibri"/>
          <w:vertAlign w:val="superscript"/>
          <w:lang w:eastAsia="en-US"/>
        </w:rPr>
        <w:t xml:space="preserve">         </w:t>
      </w:r>
      <w:r>
        <w:rPr>
          <w:rFonts w:eastAsia="Calibri"/>
          <w:vertAlign w:val="superscript"/>
          <w:lang w:eastAsia="en-US"/>
        </w:rPr>
        <w:t>(дата)</w:t>
        <w:tab/>
        <w:tab/>
        <w:tab/>
        <w:tab/>
        <w:tab/>
        <w:tab/>
        <w:t xml:space="preserve">                                             </w:t>
        <w:tab/>
        <w:tab/>
        <w:t>(подпись)</w:t>
      </w:r>
      <w:r>
        <w:rPr>
          <w:rFonts w:eastAsia="Calibri"/>
        </w:rPr>
        <w:t xml:space="preserve"> </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r>
        <w:br w:type="page"/>
      </w:r>
    </w:p>
    <w:p>
      <w:pPr>
        <w:pStyle w:val="Normal"/>
        <w:ind w:left="4536" w:hanging="0"/>
        <w:jc w:val="right"/>
        <w:rPr>
          <w:rFonts w:eastAsia="Calibri"/>
          <w:b/>
          <w:lang w:eastAsia="x-none"/>
        </w:rPr>
      </w:pPr>
      <w:r>
        <w:rPr>
          <w:rFonts w:eastAsia="Calibri"/>
          <w:lang w:eastAsia="en-US"/>
        </w:rPr>
        <w:t>Приложение №4</w:t>
      </w:r>
    </w:p>
    <w:p>
      <w:pPr>
        <w:pStyle w:val="Normal"/>
        <w:ind w:left="5812" w:hanging="0"/>
        <w:jc w:val="right"/>
        <w:rPr>
          <w:rFonts w:eastAsia="Calibri"/>
          <w:b/>
          <w:lang w:eastAsia="x-none"/>
        </w:rPr>
      </w:pPr>
      <w:r>
        <w:rPr>
          <w:rFonts w:eastAsia="Calibri"/>
          <w:lang w:eastAsia="en-US"/>
        </w:rPr>
        <w:t xml:space="preserve">к Техническим требованиям </w:t>
      </w:r>
      <w:r>
        <w:rPr>
          <w:rFonts w:eastAsia="Calibri"/>
          <w:bCs/>
          <w:lang w:eastAsia="en-US"/>
        </w:rPr>
        <w:t xml:space="preserve">на закупку </w:t>
      </w:r>
      <w:r>
        <w:rPr>
          <w:rFonts w:eastAsia="Calibri"/>
          <w:color w:val="000000"/>
          <w:lang w:eastAsia="en-US"/>
        </w:rPr>
        <w:t>оказания услуг</w:t>
      </w:r>
    </w:p>
    <w:p>
      <w:pPr>
        <w:pStyle w:val="Normal"/>
        <w:ind w:left="4536" w:hanging="0"/>
        <w:jc w:val="right"/>
        <w:rPr>
          <w:rFonts w:eastAsia="Calibri"/>
          <w:b/>
          <w:lang w:eastAsia="x-none"/>
        </w:rPr>
      </w:pPr>
      <w:r>
        <w:rPr>
          <w:rFonts w:eastAsia="Calibri"/>
          <w:lang w:eastAsia="en-US"/>
        </w:rPr>
        <w:t>ОКПД2 84.24 Услуги по охране складской инфраструктуры (производственной</w:t>
      </w:r>
      <w:r>
        <w:rPr>
          <w:rFonts w:eastAsia="Calibri"/>
          <w:iCs/>
          <w:color w:val="000000"/>
          <w:lang w:eastAsia="en-US"/>
        </w:rPr>
        <w:t xml:space="preserve"> базы)</w:t>
      </w:r>
      <w:r>
        <w:rPr>
          <w:rFonts w:eastAsia="Calibri"/>
          <w:lang w:eastAsia="en-US"/>
        </w:rPr>
        <w:t xml:space="preserve"> филиала ПАО «РусГидро»-«Северо-Осетинский филиал»</w:t>
      </w:r>
    </w:p>
    <w:p>
      <w:pPr>
        <w:pStyle w:val="Normal"/>
        <w:rPr>
          <w:rFonts w:eastAsia="Calibri"/>
        </w:rPr>
      </w:pPr>
      <w:r>
        <w:rPr>
          <w:rFonts w:eastAsia="Calibri"/>
        </w:rPr>
      </w:r>
    </w:p>
    <w:p>
      <w:pPr>
        <w:pStyle w:val="Normal"/>
        <w:rPr>
          <w:rFonts w:eastAsia="Calibri"/>
        </w:rPr>
      </w:pPr>
      <w:r>
        <w:rPr>
          <w:rFonts w:eastAsia="Calibri"/>
        </w:rPr>
      </w:r>
    </w:p>
    <w:p>
      <w:pPr>
        <w:pStyle w:val="Normal"/>
        <w:rPr>
          <w:rFonts w:eastAsia="Calibri"/>
        </w:rPr>
      </w:pPr>
      <w:r>
        <w:rPr>
          <w:rFonts w:eastAsia="Calibri"/>
        </w:rPr>
      </w:r>
    </w:p>
    <w:p>
      <w:pPr>
        <w:pStyle w:val="Normal"/>
        <w:jc w:val="center"/>
        <w:rPr>
          <w:rFonts w:eastAsia="Calibri"/>
        </w:rPr>
      </w:pPr>
      <w:r>
        <w:rPr>
          <w:rFonts w:eastAsia="Calibri"/>
        </w:rPr>
        <w:t>Дислокация постов охраны</w:t>
      </w:r>
    </w:p>
    <w:p>
      <w:pPr>
        <w:pStyle w:val="Normal"/>
        <w:jc w:val="center"/>
        <w:rPr>
          <w:rFonts w:eastAsia="Calibri"/>
        </w:rPr>
      </w:pPr>
      <w:r>
        <w:rPr>
          <w:rFonts w:eastAsia="Calibri"/>
        </w:rPr>
      </w:r>
    </w:p>
    <w:tbl>
      <w:tblPr>
        <w:tblW w:w="9798"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1101"/>
        <w:gridCol w:w="3402"/>
        <w:gridCol w:w="1414"/>
        <w:gridCol w:w="1267"/>
        <w:gridCol w:w="2614"/>
      </w:tblGrid>
      <w:tr>
        <w:trPr>
          <w:trHeight w:val="76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sz w:val="22"/>
                <w:szCs w:val="22"/>
              </w:rPr>
              <w:t xml:space="preserve">№ </w:t>
            </w:r>
            <w:r>
              <w:rPr>
                <w:b/>
                <w:sz w:val="22"/>
                <w:szCs w:val="22"/>
              </w:rPr>
              <w:t>поста</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bCs/>
                <w:sz w:val="22"/>
                <w:szCs w:val="22"/>
              </w:rPr>
              <w:t>Месторасположение поста,  зона его ответственности</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sz w:val="22"/>
                <w:szCs w:val="22"/>
              </w:rPr>
              <w:t>Режим службы поста</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sz w:val="22"/>
                <w:szCs w:val="22"/>
              </w:rPr>
              <w:t>Численность постовых</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b/>
                <w:sz w:val="22"/>
                <w:szCs w:val="22"/>
              </w:rPr>
              <w:t>Оснащение поста оружием, спецсредствами и средствами связи</w:t>
            </w:r>
          </w:p>
        </w:tc>
      </w:tr>
      <w:tr>
        <w:trPr>
          <w:trHeight w:val="296" w:hRule="atLeast"/>
        </w:trPr>
        <w:tc>
          <w:tcPr>
            <w:tcW w:w="110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34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14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3</w:t>
            </w:r>
          </w:p>
        </w:tc>
        <w:tc>
          <w:tcPr>
            <w:tcW w:w="126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c>
          <w:tcPr>
            <w:tcW w:w="26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5</w:t>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№1.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№1.</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rFonts w:eastAsia="Calibri"/>
                <w:sz w:val="22"/>
                <w:szCs w:val="22"/>
                <w:lang w:eastAsia="en-US"/>
              </w:rPr>
              <w:t xml:space="preserve">Служебное огнестрельное нарезное короткоствольное оружие и патроны к нему или </w:t>
            </w:r>
            <w:r>
              <w:rPr>
                <w:rFonts w:eastAsia="Calibri"/>
                <w:color w:val="000000"/>
                <w:sz w:val="22"/>
                <w:szCs w:val="22"/>
                <w:shd w:fill="FFFFFF" w:val="clear"/>
                <w:lang w:eastAsia="en-US"/>
              </w:rPr>
              <w:t xml:space="preserve">огнестрельное гладкоствольное длинноствольное оружие и патроны к нему (по согласованию с заказчиком) </w:t>
            </w:r>
            <w:r>
              <w:rPr>
                <w:rFonts w:eastAsia="Calibri"/>
                <w:sz w:val="22"/>
                <w:szCs w:val="22"/>
                <w:lang w:eastAsia="en-US"/>
              </w:rPr>
              <w:t>в соответствии с действующим законодательством РФ — 1 ед.;</w:t>
            </w:r>
          </w:p>
          <w:p>
            <w:pPr>
              <w:pStyle w:val="Normal"/>
              <w:widowControl w:val="false"/>
              <w:rPr>
                <w:sz w:val="22"/>
                <w:szCs w:val="22"/>
              </w:rPr>
            </w:pPr>
            <w:r>
              <w:rPr>
                <w:sz w:val="22"/>
                <w:szCs w:val="22"/>
              </w:rPr>
            </w:r>
          </w:p>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t>металлодетектор – 1 шт.</w:t>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№2.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№1.</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rFonts w:eastAsia="Calibri"/>
                <w:lang w:eastAsia="en-US"/>
              </w:rPr>
              <w:t xml:space="preserve">Служебное огнестрельное нарезное короткоствольное оружие и патроны к нему или </w:t>
            </w:r>
            <w:r>
              <w:rPr>
                <w:rFonts w:eastAsia="Calibri"/>
                <w:color w:val="000000"/>
                <w:shd w:fill="FFFFFF" w:val="clear"/>
                <w:lang w:eastAsia="en-US"/>
              </w:rPr>
              <w:t xml:space="preserve">огнестрельное гладкоствольное длинноствольное оружие и патроны к нему (по согласованию с заказчиком) </w:t>
            </w:r>
            <w:r>
              <w:rPr>
                <w:rFonts w:eastAsia="Calibri"/>
                <w:lang w:eastAsia="en-US"/>
              </w:rPr>
              <w:t>в соответствии с действующим законодательством РФ — 1 ед.;</w:t>
            </w:r>
          </w:p>
          <w:p>
            <w:pPr>
              <w:pStyle w:val="Normal"/>
              <w:widowControl w:val="false"/>
              <w:rPr>
                <w:sz w:val="22"/>
                <w:szCs w:val="22"/>
              </w:rPr>
            </w:pPr>
            <w:r>
              <w:rPr>
                <w:sz w:val="22"/>
                <w:szCs w:val="22"/>
              </w:rPr>
            </w:r>
          </w:p>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№3.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№1.</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с 08:00 по 08:00</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№4.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№1.</w:t>
            </w:r>
          </w:p>
          <w:p>
            <w:pPr>
              <w:pStyle w:val="Normal"/>
              <w:widowControl w:val="false"/>
              <w:rPr>
                <w:sz w:val="22"/>
                <w:szCs w:val="22"/>
              </w:rPr>
            </w:pPr>
            <w:r>
              <w:rPr>
                <w:bCs/>
                <w:sz w:val="22"/>
                <w:szCs w:val="22"/>
              </w:rPr>
              <w:t xml:space="preserve">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w:t>
            </w:r>
          </w:p>
          <w:p>
            <w:pPr>
              <w:pStyle w:val="Normal"/>
              <w:widowControl w:val="false"/>
              <w:rPr>
                <w:sz w:val="22"/>
                <w:szCs w:val="22"/>
              </w:rPr>
            </w:pPr>
            <w:r>
              <w:rPr>
                <w:bCs/>
                <w:sz w:val="22"/>
                <w:szCs w:val="22"/>
              </w:rPr>
              <w:t>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t>металлодетектор – 1 шт.</w:t>
            </w:r>
          </w:p>
        </w:tc>
      </w:tr>
      <w:tr>
        <w:trPr>
          <w:trHeight w:val="2284"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№5.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№2.</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t xml:space="preserve">Служебное огнестрельное нарезное короткоствольное оружие и патроны к нему или </w:t>
            </w:r>
            <w:r>
              <w:rPr>
                <w:color w:val="000000"/>
                <w:shd w:fill="FFFFFF" w:val="clear"/>
              </w:rPr>
              <w:t xml:space="preserve">огнестрельное гладкоствольное длинноствольное оружие и патроны к нему (по согласованию с заказчиком) </w:t>
            </w:r>
            <w:r>
              <w:rPr/>
              <w:t>в соответствии с действующим законодательством РФ — 1 ед.;</w:t>
            </w:r>
          </w:p>
          <w:p>
            <w:pPr>
              <w:pStyle w:val="Normal"/>
              <w:widowControl w:val="false"/>
              <w:rPr>
                <w:sz w:val="22"/>
                <w:szCs w:val="22"/>
              </w:rPr>
            </w:pPr>
            <w:r>
              <w:rPr>
                <w:sz w:val="22"/>
                <w:szCs w:val="22"/>
              </w:rPr>
            </w:r>
          </w:p>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№6.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№2.</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r>
          </w:p>
        </w:tc>
      </w:tr>
      <w:tr>
        <w:trPr>
          <w:trHeight w:val="843" w:hRule="atLeast"/>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Пост №7. </w:t>
            </w:r>
            <w:r>
              <w:rPr>
                <w:bCs/>
                <w:sz w:val="22"/>
                <w:szCs w:val="22"/>
              </w:rPr>
              <w:t>Суточный</w:t>
            </w:r>
          </w:p>
        </w:tc>
        <w:tc>
          <w:tcPr>
            <w:tcW w:w="34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b/>
                <w:bCs/>
                <w:sz w:val="22"/>
                <w:szCs w:val="22"/>
              </w:rPr>
              <w:t>Центральный въезд на территорию №2.</w:t>
            </w:r>
          </w:p>
          <w:p>
            <w:pPr>
              <w:pStyle w:val="Normal"/>
              <w:widowControl w:val="false"/>
              <w:rPr>
                <w:sz w:val="22"/>
                <w:szCs w:val="22"/>
              </w:rPr>
            </w:pPr>
            <w:r>
              <w:rPr>
                <w:bCs/>
                <w:sz w:val="22"/>
                <w:szCs w:val="22"/>
              </w:rPr>
              <w:t>Охране подлежат объекты (здания и сооружения,  имеющие надземную и/или подземную части, включающие в себя помещения, сети инженерно-технического обеспечения и системы (оборудование) инженерно-технического обеспечения, а также, прилегающая к ним территория, земельные участки, входящие в охраняемый периметр), персонал и посетители объекта, движимое и недвижимое имущество Заказчика и третьих лиц, расположенное на территории производственной базы на законных основаниях (по договору аренды, договору подряда, договору возмездного оказания услуг, договору хранения, по иному согласованию между третьими лицами и Заказчиком), автотранспортные средства, находящиеся на территории производственной базы.</w:t>
            </w:r>
          </w:p>
        </w:tc>
        <w:tc>
          <w:tcPr>
            <w:tcW w:w="14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с 08:00 по 08:00 </w:t>
            </w:r>
          </w:p>
          <w:p>
            <w:pPr>
              <w:pStyle w:val="Normal"/>
              <w:widowControl w:val="false"/>
              <w:jc w:val="center"/>
              <w:rPr>
                <w:sz w:val="22"/>
                <w:szCs w:val="22"/>
              </w:rPr>
            </w:pPr>
            <w:r>
              <w:rPr>
                <w:sz w:val="22"/>
                <w:szCs w:val="22"/>
              </w:rPr>
              <w:t>ежедневно с режимом работы сутки через трое</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1 человек</w:t>
            </w:r>
          </w:p>
        </w:tc>
        <w:tc>
          <w:tcPr>
            <w:tcW w:w="26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Палка резиновая - 1 шт.;</w:t>
            </w:r>
          </w:p>
          <w:p>
            <w:pPr>
              <w:pStyle w:val="Normal"/>
              <w:widowControl w:val="false"/>
              <w:rPr>
                <w:sz w:val="22"/>
                <w:szCs w:val="22"/>
              </w:rPr>
            </w:pPr>
            <w:r>
              <w:rPr>
                <w:sz w:val="22"/>
                <w:szCs w:val="22"/>
              </w:rPr>
              <w:t>наручники - 1 шт.;</w:t>
            </w:r>
          </w:p>
          <w:p>
            <w:pPr>
              <w:pStyle w:val="Normal"/>
              <w:widowControl w:val="false"/>
              <w:rPr>
                <w:sz w:val="22"/>
                <w:szCs w:val="22"/>
              </w:rPr>
            </w:pPr>
            <w:r>
              <w:rPr>
                <w:sz w:val="22"/>
                <w:szCs w:val="22"/>
              </w:rPr>
              <w:t>электрический фонарь - 1 шт.;</w:t>
            </w:r>
          </w:p>
          <w:p>
            <w:pPr>
              <w:pStyle w:val="Normal"/>
              <w:widowControl w:val="false"/>
              <w:rPr>
                <w:sz w:val="22"/>
                <w:szCs w:val="22"/>
              </w:rPr>
            </w:pPr>
            <w:r>
              <w:rPr>
                <w:sz w:val="22"/>
                <w:szCs w:val="22"/>
              </w:rPr>
              <w:t>радиостанция - 1 шт.;</w:t>
            </w:r>
          </w:p>
          <w:p>
            <w:pPr>
              <w:pStyle w:val="Normal"/>
              <w:widowControl w:val="false"/>
              <w:rPr>
                <w:sz w:val="22"/>
                <w:szCs w:val="22"/>
              </w:rPr>
            </w:pPr>
            <w:r>
              <w:rPr>
                <w:sz w:val="22"/>
                <w:szCs w:val="22"/>
              </w:rPr>
              <w:t>мобильная связь - 1 шт.</w:t>
            </w:r>
          </w:p>
          <w:p>
            <w:pPr>
              <w:pStyle w:val="Normal"/>
              <w:widowControl w:val="false"/>
              <w:rPr>
                <w:sz w:val="22"/>
                <w:szCs w:val="22"/>
              </w:rPr>
            </w:pPr>
            <w:r>
              <w:rPr>
                <w:sz w:val="22"/>
                <w:szCs w:val="22"/>
              </w:rPr>
              <w:t>электрошокер – 1 шт.</w:t>
            </w:r>
          </w:p>
          <w:p>
            <w:pPr>
              <w:pStyle w:val="Normal"/>
              <w:widowControl w:val="false"/>
              <w:rPr>
                <w:sz w:val="22"/>
                <w:szCs w:val="22"/>
              </w:rPr>
            </w:pPr>
            <w:r>
              <w:rPr>
                <w:sz w:val="22"/>
                <w:szCs w:val="22"/>
              </w:rPr>
              <w:t>металлодетектор – 1 шт.</w:t>
            </w:r>
          </w:p>
        </w:tc>
      </w:tr>
      <w:tr>
        <w:trPr>
          <w:trHeight w:val="843" w:hRule="atLeast"/>
        </w:trPr>
        <w:tc>
          <w:tcPr>
            <w:tcW w:w="9798"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t>Примечание: Для осуществления охраны территории №1и территории №2 производственной базы (складской инфраструктуры) необходимо 7 круглосуточных постов охраны, с ежесуточной нормой выставления личного состава в количестве 7 человек, из них 3 поста вооруженные (2 вооруженных на территорию №1 и 1 вооруженный на территорию №2), с режимом работы сутки через трое.</w:t>
            </w:r>
          </w:p>
        </w:tc>
      </w:tr>
    </w:tbl>
    <w:p>
      <w:pPr>
        <w:pStyle w:val="Normal"/>
        <w:rPr>
          <w:rFonts w:eastAsia="Calibri"/>
        </w:rPr>
      </w:pPr>
      <w:r>
        <w:rPr>
          <w:rFonts w:eastAsia="Calibri"/>
        </w:rPr>
      </w:r>
    </w:p>
    <w:p>
      <w:pPr>
        <w:pStyle w:val="Normal"/>
        <w:spacing w:before="0" w:after="0"/>
        <w:contextualSpacing/>
        <w:rPr>
          <w:rFonts w:eastAsia="Calibri"/>
          <w:b/>
          <w:lang w:eastAsia="x-none"/>
        </w:rPr>
      </w:pPr>
      <w:r>
        <w:rPr>
          <w:rFonts w:eastAsia="Calibri"/>
          <w:b/>
          <w:lang w:eastAsia="x-none"/>
        </w:rPr>
      </w:r>
    </w:p>
    <w:p>
      <w:pPr>
        <w:pStyle w:val="Normal"/>
        <w:rPr>
          <w:rFonts w:eastAsia="Calibri"/>
          <w:b/>
          <w:lang w:eastAsia="x-none"/>
        </w:rPr>
      </w:pPr>
      <w:r>
        <w:rPr>
          <w:rFonts w:eastAsia="Calibri"/>
          <w:b/>
          <w:lang w:eastAsia="x-none"/>
        </w:rPr>
      </w:r>
    </w:p>
    <w:p>
      <w:pPr>
        <w:pStyle w:val="Normal"/>
        <w:rPr>
          <w:rFonts w:eastAsia="Calibri"/>
          <w:b/>
          <w:lang w:eastAsia="x-none"/>
        </w:rPr>
      </w:pPr>
      <w:r>
        <w:rPr/>
      </w:r>
    </w:p>
    <w:sectPr>
      <w:headerReference w:type="default" r:id="rId5"/>
      <w:headerReference w:type="first" r:id="rId6"/>
      <w:type w:val="nextPage"/>
      <w:pgSz w:w="11906" w:h="16838"/>
      <w:pgMar w:left="1418" w:right="851" w:gutter="0" w:header="284" w:top="992" w:footer="0" w:bottom="27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Normal"/>
      <w:rPr>
        <w:sz w:val="12"/>
        <w:szCs w:val="12"/>
      </w:rPr>
    </w:pPr>
    <w:r>
      <w:rPr>
        <w:sz w:val="12"/>
        <w:szCs w:val="1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12</w:t>
    </w:r>
    <w:r>
      <w:rPr/>
      <w:fldChar w:fldCharType="end"/>
    </w:r>
  </w:p>
  <w:p>
    <w:pPr>
      <w:pStyle w:val="Normal"/>
      <w:rPr>
        <w:sz w:val="12"/>
        <w:szCs w:val="12"/>
      </w:rPr>
    </w:pPr>
    <w:r>
      <w:rPr>
        <w:sz w:val="12"/>
        <w:szCs w:val="1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25</w:t>
    </w:r>
    <w:r>
      <w:rPr/>
      <w:fldChar w:fldCharType="end"/>
    </w:r>
  </w:p>
  <w:p>
    <w:pPr>
      <w:pStyle w:val="Normal"/>
      <w:rPr>
        <w:sz w:val="12"/>
        <w:szCs w:val="12"/>
      </w:rPr>
    </w:pPr>
    <w:r>
      <w:rPr>
        <w:sz w:val="12"/>
        <w:szCs w:val="12"/>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502" w:hanging="360"/>
      </w:pPr>
      <w:rPr>
        <w:b/>
        <w:rFonts w:ascii="Times New Roman" w:hAnsi="Times New Roman" w:eastAsia="Times New Roman" w:cs="Times New Roman"/>
      </w:rPr>
    </w:lvl>
    <w:lvl w:ilvl="1">
      <w:start w:val="1"/>
      <w:numFmt w:val="decimal"/>
      <w:lvlText w:val="%1.%2."/>
      <w:lvlJc w:val="left"/>
      <w:pPr>
        <w:tabs>
          <w:tab w:val="num" w:pos="0"/>
        </w:tabs>
        <w:ind w:left="1283" w:hanging="432"/>
      </w:pPr>
      <w:rPr>
        <w:sz w:val="24"/>
        <w:szCs w:val="28"/>
        <w:color w:val="auto"/>
      </w:rPr>
    </w:lvl>
    <w:lvl w:ilvl="2">
      <w:start w:val="1"/>
      <w:numFmt w:val="decimal"/>
      <w:lvlText w:val="%1.%2.%3."/>
      <w:lvlJc w:val="left"/>
      <w:pPr>
        <w:tabs>
          <w:tab w:val="num" w:pos="0"/>
        </w:tabs>
        <w:ind w:left="135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1996"/>
        </w:tabs>
        <w:ind w:left="1996" w:hanging="360"/>
      </w:pPr>
      <w:rPr>
        <w:rFonts w:ascii="Symbol" w:hAnsi="Symbol" w:cs="Symbol" w:hint="default"/>
      </w:rPr>
    </w:lvl>
    <w:lvl w:ilvl="1">
      <w:start w:val="1"/>
      <w:numFmt w:val="bullet"/>
      <w:lvlText w:val="o"/>
      <w:lvlJc w:val="left"/>
      <w:pPr>
        <w:tabs>
          <w:tab w:val="num" w:pos="2716"/>
        </w:tabs>
        <w:ind w:left="2716" w:hanging="360"/>
      </w:pPr>
      <w:rPr>
        <w:rFonts w:ascii="Courier New" w:hAnsi="Courier New" w:cs="Courier New" w:hint="default"/>
      </w:rPr>
    </w:lvl>
    <w:lvl w:ilvl="2">
      <w:start w:val="1"/>
      <w:numFmt w:val="bullet"/>
      <w:lvlText w:val=""/>
      <w:lvlJc w:val="left"/>
      <w:pPr>
        <w:tabs>
          <w:tab w:val="num" w:pos="3436"/>
        </w:tabs>
        <w:ind w:left="3436" w:hanging="360"/>
      </w:pPr>
      <w:rPr>
        <w:rFonts w:ascii="Wingdings" w:hAnsi="Wingdings" w:cs="Wingdings" w:hint="default"/>
      </w:rPr>
    </w:lvl>
    <w:lvl w:ilvl="3">
      <w:start w:val="1"/>
      <w:numFmt w:val="bullet"/>
      <w:lvlText w:val=""/>
      <w:lvlJc w:val="left"/>
      <w:pPr>
        <w:tabs>
          <w:tab w:val="num" w:pos="4156"/>
        </w:tabs>
        <w:ind w:left="4156" w:hanging="360"/>
      </w:pPr>
      <w:rPr>
        <w:rFonts w:ascii="Symbol" w:hAnsi="Symbol" w:cs="Symbol" w:hint="default"/>
      </w:rPr>
    </w:lvl>
    <w:lvl w:ilvl="4">
      <w:start w:val="1"/>
      <w:numFmt w:val="bullet"/>
      <w:lvlText w:val="o"/>
      <w:lvlJc w:val="left"/>
      <w:pPr>
        <w:tabs>
          <w:tab w:val="num" w:pos="4876"/>
        </w:tabs>
        <w:ind w:left="4876" w:hanging="360"/>
      </w:pPr>
      <w:rPr>
        <w:rFonts w:ascii="Courier New" w:hAnsi="Courier New" w:cs="Courier New" w:hint="default"/>
      </w:rPr>
    </w:lvl>
    <w:lvl w:ilvl="5">
      <w:start w:val="1"/>
      <w:numFmt w:val="bullet"/>
      <w:lvlText w:val=""/>
      <w:lvlJc w:val="left"/>
      <w:pPr>
        <w:tabs>
          <w:tab w:val="num" w:pos="5596"/>
        </w:tabs>
        <w:ind w:left="5596" w:hanging="360"/>
      </w:pPr>
      <w:rPr>
        <w:rFonts w:ascii="Wingdings" w:hAnsi="Wingdings" w:cs="Wingdings" w:hint="default"/>
      </w:rPr>
    </w:lvl>
    <w:lvl w:ilvl="6">
      <w:start w:val="1"/>
      <w:numFmt w:val="bullet"/>
      <w:lvlText w:val=""/>
      <w:lvlJc w:val="left"/>
      <w:pPr>
        <w:tabs>
          <w:tab w:val="num" w:pos="6316"/>
        </w:tabs>
        <w:ind w:left="6316" w:hanging="360"/>
      </w:pPr>
      <w:rPr>
        <w:rFonts w:ascii="Symbol" w:hAnsi="Symbol" w:cs="Symbol" w:hint="default"/>
      </w:rPr>
    </w:lvl>
    <w:lvl w:ilvl="7">
      <w:start w:val="1"/>
      <w:numFmt w:val="bullet"/>
      <w:lvlText w:val="o"/>
      <w:lvlJc w:val="left"/>
      <w:pPr>
        <w:tabs>
          <w:tab w:val="num" w:pos="7036"/>
        </w:tabs>
        <w:ind w:left="7036" w:hanging="360"/>
      </w:pPr>
      <w:rPr>
        <w:rFonts w:ascii="Courier New" w:hAnsi="Courier New" w:cs="Courier New" w:hint="default"/>
      </w:rPr>
    </w:lvl>
    <w:lvl w:ilvl="8">
      <w:start w:val="1"/>
      <w:numFmt w:val="bullet"/>
      <w:lvlText w:val=""/>
      <w:lvlJc w:val="left"/>
      <w:pPr>
        <w:tabs>
          <w:tab w:val="num" w:pos="7756"/>
        </w:tabs>
        <w:ind w:left="7756" w:hanging="360"/>
      </w:pPr>
      <w:rPr>
        <w:rFonts w:ascii="Wingdings" w:hAnsi="Wingdings" w:cs="Wingdings" w:hint="default"/>
      </w:rPr>
    </w:lvl>
  </w:abstractNum>
  <w:abstractNum w:abstractNumId="4">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lvl w:ilvl="0">
      <w:start w:val="2"/>
      <w:numFmt w:val="decimal"/>
      <w:lvlText w:val="%1."/>
      <w:lvlJc w:val="left"/>
      <w:pPr>
        <w:tabs>
          <w:tab w:val="num" w:pos="0"/>
        </w:tabs>
        <w:ind w:left="540" w:hanging="540"/>
      </w:pPr>
      <w:rPr/>
    </w:lvl>
    <w:lvl w:ilvl="1">
      <w:start w:val="1"/>
      <w:numFmt w:val="decimal"/>
      <w:lvlText w:val="%1.%2."/>
      <w:lvlJc w:val="left"/>
      <w:pPr>
        <w:tabs>
          <w:tab w:val="num" w:pos="0"/>
        </w:tabs>
        <w:ind w:left="791" w:hanging="540"/>
      </w:pPr>
      <w:rPr/>
    </w:lvl>
    <w:lvl w:ilvl="2">
      <w:start w:val="2"/>
      <w:numFmt w:val="decimal"/>
      <w:lvlText w:val="%1.%2.%3."/>
      <w:lvlJc w:val="left"/>
      <w:pPr>
        <w:tabs>
          <w:tab w:val="num" w:pos="0"/>
        </w:tabs>
        <w:ind w:left="1222" w:hanging="720"/>
      </w:pPr>
      <w:rPr/>
    </w:lvl>
    <w:lvl w:ilvl="3">
      <w:start w:val="1"/>
      <w:numFmt w:val="decimal"/>
      <w:lvlText w:val="%1.%2.%3.%4."/>
      <w:lvlJc w:val="left"/>
      <w:pPr>
        <w:tabs>
          <w:tab w:val="num" w:pos="0"/>
        </w:tabs>
        <w:ind w:left="1473" w:hanging="720"/>
      </w:pPr>
      <w:rPr/>
    </w:lvl>
    <w:lvl w:ilvl="4">
      <w:start w:val="1"/>
      <w:numFmt w:val="decimal"/>
      <w:lvlText w:val="%1.%2.%3.%4.%5."/>
      <w:lvlJc w:val="left"/>
      <w:pPr>
        <w:tabs>
          <w:tab w:val="num" w:pos="0"/>
        </w:tabs>
        <w:ind w:left="2084" w:hanging="1080"/>
      </w:pPr>
      <w:rPr/>
    </w:lvl>
    <w:lvl w:ilvl="5">
      <w:start w:val="1"/>
      <w:numFmt w:val="decimal"/>
      <w:lvlText w:val="%1.%2.%3.%4.%5.%6."/>
      <w:lvlJc w:val="left"/>
      <w:pPr>
        <w:tabs>
          <w:tab w:val="num" w:pos="0"/>
        </w:tabs>
        <w:ind w:left="2335" w:hanging="1080"/>
      </w:pPr>
      <w:rPr/>
    </w:lvl>
    <w:lvl w:ilvl="6">
      <w:start w:val="1"/>
      <w:numFmt w:val="decimal"/>
      <w:lvlText w:val="%1.%2.%3.%4.%5.%6.%7."/>
      <w:lvlJc w:val="left"/>
      <w:pPr>
        <w:tabs>
          <w:tab w:val="num" w:pos="0"/>
        </w:tabs>
        <w:ind w:left="2946" w:hanging="1440"/>
      </w:pPr>
      <w:rPr/>
    </w:lvl>
    <w:lvl w:ilvl="7">
      <w:start w:val="1"/>
      <w:numFmt w:val="decimal"/>
      <w:lvlText w:val="%1.%2.%3.%4.%5.%6.%7.%8."/>
      <w:lvlJc w:val="left"/>
      <w:pPr>
        <w:tabs>
          <w:tab w:val="num" w:pos="0"/>
        </w:tabs>
        <w:ind w:left="3197" w:hanging="1440"/>
      </w:pPr>
      <w:rPr/>
    </w:lvl>
    <w:lvl w:ilvl="8">
      <w:start w:val="1"/>
      <w:numFmt w:val="decimal"/>
      <w:lvlText w:val="%1.%2.%3.%4.%5.%6.%7.%8.%9."/>
      <w:lvlJc w:val="left"/>
      <w:pPr>
        <w:tabs>
          <w:tab w:val="num" w:pos="0"/>
        </w:tabs>
        <w:ind w:left="3808" w:hanging="1800"/>
      </w:pPr>
      <w:rPr/>
    </w:lvl>
  </w:abstractNum>
  <w:abstractNum w:abstractNumId="6">
    <w:lvl w:ilvl="0">
      <w:start w:val="2"/>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Heading1">
    <w:name w:val="Heading 1"/>
    <w:basedOn w:val="Heading3"/>
    <w:next w:val="Normal"/>
    <w:link w:val="11"/>
    <w:qFormat/>
    <w:pPr>
      <w:outlineLvl w:val="0"/>
    </w:pPr>
    <w:rPr>
      <w:sz w:val="28"/>
      <w:szCs w:val="28"/>
    </w:rPr>
  </w:style>
  <w:style w:type="paragraph" w:styleId="Heading3">
    <w:name w:val="Heading 3"/>
    <w:basedOn w:val="Normal"/>
    <w:next w:val="Normal"/>
    <w:link w:val="3"/>
    <w:autoRedefine/>
    <w:qFormat/>
    <w:pPr>
      <w:keepNext w:val="true"/>
      <w:tabs>
        <w:tab w:val="clear" w:pos="709"/>
        <w:tab w:val="left" w:pos="0" w:leader="none"/>
      </w:tabs>
      <w:spacing w:before="120" w:after="60"/>
      <w:ind w:left="1224" w:hanging="0"/>
      <w:outlineLvl w:val="2"/>
    </w:pPr>
    <w:rPr>
      <w:rFonts w:eastAsia="Calibri"/>
      <w:b/>
      <w:lang w:val="x-none" w:eastAsia="x-none"/>
    </w:rPr>
  </w:style>
  <w:style w:type="paragraph" w:styleId="Heading4">
    <w:name w:val="Heading 4"/>
    <w:basedOn w:val="Heading3"/>
    <w:next w:val="Normal"/>
    <w:link w:val="4"/>
    <w:qFormat/>
    <w:pPr>
      <w:outlineLvl w:val="3"/>
    </w:pPr>
    <w:rPr>
      <w:bCs/>
    </w:rPr>
  </w:style>
  <w:style w:type="character" w:styleId="DefaultParagraphFont" w:default="1">
    <w:name w:val="Default Paragraph Font"/>
    <w:uiPriority w:val="1"/>
    <w:semiHidden/>
    <w:unhideWhenUsed/>
    <w:qFormat/>
    <w:rPr/>
  </w:style>
  <w:style w:type="character" w:styleId="Style6" w:customStyle="1">
    <w:name w:val="Нижний колонтитул Знак"/>
    <w:basedOn w:val="DefaultParagraphFont"/>
    <w:qFormat/>
    <w:rPr>
      <w:rFonts w:ascii="Times New Roman" w:hAnsi="Times New Roman" w:eastAsia="Times New Roman" w:cs="Times New Roman"/>
      <w:sz w:val="24"/>
      <w:szCs w:val="24"/>
      <w:lang w:eastAsia="ru-RU"/>
    </w:rPr>
  </w:style>
  <w:style w:type="character" w:styleId="Pagenumber">
    <w:name w:val="page number"/>
    <w:basedOn w:val="DefaultParagraphFont"/>
    <w:qFormat/>
    <w:rPr/>
  </w:style>
  <w:style w:type="character" w:styleId="2" w:customStyle="1">
    <w:name w:val="Стиль2 Знак"/>
    <w:link w:val="21"/>
    <w:qFormat/>
    <w:rPr>
      <w:rFonts w:ascii="Times New Roman" w:hAnsi="Times New Roman" w:eastAsia="Times New Roman" w:cs="Times New Roman"/>
      <w:bCs/>
      <w:kern w:val="2"/>
      <w:sz w:val="24"/>
      <w:szCs w:val="32"/>
      <w:lang w:val="x-none"/>
    </w:rPr>
  </w:style>
  <w:style w:type="character" w:styleId="Style7" w:customStyle="1">
    <w:name w:val="Текст сноски Знак"/>
    <w:basedOn w:val="DefaultParagraphFont"/>
    <w:qFormat/>
    <w:rPr>
      <w:rFonts w:ascii="Times New Roman" w:hAnsi="Times New Roman" w:eastAsia="Calibri" w:cs="Times New Roman"/>
      <w:sz w:val="20"/>
      <w:szCs w:val="20"/>
      <w:lang w:val="en-GB" w:eastAsia="ru-RU"/>
    </w:rPr>
  </w:style>
  <w:style w:type="character" w:styleId="Style8"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Pr>
      <w:vertAlign w:val="superscript"/>
    </w:rPr>
  </w:style>
  <w:style w:type="character" w:styleId="1" w:customStyle="1">
    <w:name w:val="Гиперссылка1"/>
    <w:qFormat/>
    <w:rPr>
      <w:color w:val="0000FF"/>
      <w:u w:val="single"/>
    </w:rPr>
  </w:style>
  <w:style w:type="character" w:styleId="Style9" w:customStyle="1">
    <w:name w:val="Абзац списка Знак"/>
    <w:link w:val="ListParagraph"/>
    <w:uiPriority w:val="34"/>
    <w:qFormat/>
    <w:rPr>
      <w:rFonts w:ascii="Calibri" w:hAnsi="Calibri" w:eastAsia="Calibri" w:cs="Times New Roman"/>
    </w:rPr>
  </w:style>
  <w:style w:type="character" w:styleId="Annotationreference">
    <w:name w:val="annotation reference"/>
    <w:basedOn w:val="DefaultParagraphFont"/>
    <w:qFormat/>
    <w:rPr>
      <w:sz w:val="16"/>
      <w:szCs w:val="16"/>
    </w:rPr>
  </w:style>
  <w:style w:type="character" w:styleId="Style10" w:customStyle="1">
    <w:name w:val="Текст примечания Знак"/>
    <w:basedOn w:val="DefaultParagraphFont"/>
    <w:link w:val="Annotationtext"/>
    <w:qFormat/>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qFormat/>
    <w:rPr>
      <w:rFonts w:ascii="Times New Roman" w:hAnsi="Times New Roman" w:eastAsia="Times New Roman" w:cs="Times New Roman"/>
      <w:b/>
      <w:bCs/>
      <w:sz w:val="20"/>
      <w:szCs w:val="20"/>
      <w:lang w:eastAsia="ru-RU"/>
    </w:rPr>
  </w:style>
  <w:style w:type="character" w:styleId="Style12" w:customStyle="1">
    <w:name w:val="Текст выноски Знак"/>
    <w:basedOn w:val="DefaultParagraphFont"/>
    <w:link w:val="BalloonText"/>
    <w:qFormat/>
    <w:rPr>
      <w:rFonts w:ascii="Segoe UI" w:hAnsi="Segoe UI" w:eastAsia="Times New Roman" w:cs="Segoe UI"/>
      <w:sz w:val="18"/>
      <w:szCs w:val="18"/>
      <w:lang w:eastAsia="ru-RU"/>
    </w:rPr>
  </w:style>
  <w:style w:type="character" w:styleId="Style13" w:customStyle="1">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11" w:customStyle="1">
    <w:name w:val="Заголовок 1 Знак"/>
    <w:basedOn w:val="DefaultParagraphFont"/>
    <w:qFormat/>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Pr>
      <w:rFonts w:ascii="Times New Roman" w:hAnsi="Times New Roman" w:cs="Times New Roman"/>
      <w:b/>
      <w:sz w:val="24"/>
      <w:szCs w:val="24"/>
      <w:lang w:val="x-none" w:eastAsia="x-none"/>
    </w:rPr>
  </w:style>
  <w:style w:type="character" w:styleId="4" w:customStyle="1">
    <w:name w:val="Заголовок 4 Знак"/>
    <w:basedOn w:val="DefaultParagraphFont"/>
    <w:qFormat/>
    <w:rPr>
      <w:rFonts w:ascii="Times New Roman" w:hAnsi="Times New Roman" w:eastAsia="Calibri" w:cs="Times New Roman"/>
      <w:b/>
      <w:bCs/>
      <w:sz w:val="24"/>
      <w:szCs w:val="24"/>
      <w:lang w:val="x-none" w:eastAsia="x-none"/>
    </w:rPr>
  </w:style>
  <w:style w:type="character" w:styleId="Style14" w:customStyle="1">
    <w:name w:val="комментарий"/>
    <w:qFormat/>
    <w:rPr>
      <w:b/>
      <w:i/>
      <w:shd w:fill="FFFF99" w:val="clear"/>
    </w:rPr>
  </w:style>
  <w:style w:type="character" w:styleId="Style15" w:customStyle="1">
    <w:name w:val="Основной текст Знак"/>
    <w:basedOn w:val="DefaultParagraphFont"/>
    <w:qFormat/>
    <w:rPr>
      <w:rFonts w:ascii="Times New Roman" w:hAnsi="Times New Roman" w:eastAsia="Times New Roman" w:cs="Times New Roman"/>
      <w:sz w:val="28"/>
      <w:szCs w:val="20"/>
      <w:lang w:eastAsia="ru-RU"/>
    </w:rPr>
  </w:style>
  <w:style w:type="character" w:styleId="Style16" w:customStyle="1">
    <w:name w:val="Ссылка указателя"/>
    <w:qFormat/>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5"/>
    <w:pPr/>
    <w:rPr>
      <w:sz w:val="28"/>
      <w:szCs w:val="20"/>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Style19" w:customStyle="1">
    <w:name w:val="Колонтитул"/>
    <w:basedOn w:val="Normal"/>
    <w:qFormat/>
    <w:pPr/>
    <w:rPr/>
  </w:style>
  <w:style w:type="paragraph" w:styleId="Footer">
    <w:name w:val="Footer"/>
    <w:basedOn w:val="Normal"/>
    <w:link w:val="Style6"/>
    <w:pPr>
      <w:tabs>
        <w:tab w:val="clear" w:pos="709"/>
        <w:tab w:val="center" w:pos="4677" w:leader="none"/>
        <w:tab w:val="right" w:pos="9355" w:leader="none"/>
      </w:tabs>
    </w:pPr>
    <w:rPr/>
  </w:style>
  <w:style w:type="paragraph" w:styleId="ConsPlusNormal" w:customStyle="1">
    <w:name w:val="ConsPlusNormal"/>
    <w:qFormat/>
    <w:pPr>
      <w:widowControl/>
      <w:suppressAutoHyphens w:val="true"/>
      <w:bidi w:val="0"/>
      <w:spacing w:before="0" w:after="0"/>
      <w:ind w:firstLine="720"/>
      <w:jc w:val="left"/>
    </w:pPr>
    <w:rPr>
      <w:rFonts w:ascii="Arial" w:hAnsi="Arial" w:eastAsia="Times New Roman" w:cs="Arial"/>
      <w:color w:val="auto"/>
      <w:kern w:val="0"/>
      <w:sz w:val="20"/>
      <w:szCs w:val="20"/>
      <w:lang w:eastAsia="ru-RU" w:val="ru-RU" w:bidi="ar-SA"/>
    </w:rPr>
  </w:style>
  <w:style w:type="paragraph" w:styleId="21" w:customStyle="1">
    <w:name w:val="Стиль2"/>
    <w:basedOn w:val="Normal"/>
    <w:link w:val="2"/>
    <w:qFormat/>
    <w:pPr>
      <w:spacing w:lineRule="auto" w:line="276" w:before="120" w:after="120"/>
      <w:ind w:left="709" w:hanging="709"/>
      <w:jc w:val="both"/>
      <w:outlineLvl w:val="0"/>
    </w:pPr>
    <w:rPr>
      <w:bCs/>
      <w:kern w:val="2"/>
      <w:szCs w:val="32"/>
      <w:lang w:val="x-none" w:eastAsia="en-US"/>
    </w:rPr>
  </w:style>
  <w:style w:type="paragraph" w:styleId="ListParagraph">
    <w:name w:val="List Paragraph"/>
    <w:basedOn w:val="Normal"/>
    <w:link w:val="Style9"/>
    <w:uiPriority w:val="34"/>
    <w:qFormat/>
    <w:pPr>
      <w:spacing w:lineRule="auto" w:line="276" w:before="0" w:after="200"/>
      <w:ind w:left="720" w:hanging="0"/>
      <w:contextualSpacing/>
    </w:pPr>
    <w:rPr>
      <w:rFonts w:ascii="Calibri" w:hAnsi="Calibri" w:eastAsia="Calibri"/>
      <w:sz w:val="22"/>
      <w:szCs w:val="22"/>
      <w:lang w:eastAsia="en-US"/>
    </w:rPr>
  </w:style>
  <w:style w:type="paragraph" w:styleId="FootnoteText">
    <w:name w:val="Footnote Text"/>
    <w:basedOn w:val="Normal"/>
    <w:link w:val="Style7"/>
    <w:pPr/>
    <w:rPr>
      <w:rFonts w:eastAsia="Calibri"/>
      <w:sz w:val="20"/>
      <w:szCs w:val="20"/>
      <w:lang w:val="en-GB"/>
    </w:rPr>
  </w:style>
  <w:style w:type="paragraph" w:styleId="12" w:customStyle="1">
    <w:name w:val="Абзац списка1"/>
    <w:basedOn w:val="Normal"/>
    <w:qFormat/>
    <w:pPr>
      <w:spacing w:lineRule="auto" w:line="276" w:before="0" w:after="200"/>
      <w:ind w:left="720" w:hanging="0"/>
      <w:contextualSpacing/>
    </w:pPr>
    <w:rPr>
      <w:rFonts w:ascii="Calibri" w:hAnsi="Calibri"/>
      <w:sz w:val="22"/>
      <w:szCs w:val="22"/>
      <w:lang w:eastAsia="en-US"/>
    </w:rPr>
  </w:style>
  <w:style w:type="paragraph" w:styleId="Annotationtext">
    <w:name w:val="annotation text"/>
    <w:basedOn w:val="Normal"/>
    <w:link w:val="Style10"/>
    <w:qFormat/>
    <w:pPr/>
    <w:rPr>
      <w:sz w:val="20"/>
      <w:szCs w:val="20"/>
    </w:rPr>
  </w:style>
  <w:style w:type="paragraph" w:styleId="Annotationsubject">
    <w:name w:val="annotation subject"/>
    <w:basedOn w:val="Annotationtext"/>
    <w:next w:val="Annotationtext"/>
    <w:link w:val="Style11"/>
    <w:qFormat/>
    <w:pPr/>
    <w:rPr>
      <w:b/>
      <w:bCs/>
    </w:rPr>
  </w:style>
  <w:style w:type="paragraph" w:styleId="BalloonText">
    <w:name w:val="Balloon Text"/>
    <w:basedOn w:val="Normal"/>
    <w:link w:val="Style12"/>
    <w:qFormat/>
    <w:pPr/>
    <w:rPr>
      <w:rFonts w:ascii="Segoe UI" w:hAnsi="Segoe UI" w:cs="Segoe UI"/>
      <w:sz w:val="18"/>
      <w:szCs w:val="18"/>
    </w:rPr>
  </w:style>
  <w:style w:type="paragraph" w:styleId="31" w:customStyle="1">
    <w:name w:val="Знак Знак3"/>
    <w:basedOn w:val="Normal"/>
    <w:qFormat/>
    <w:pPr>
      <w:spacing w:lineRule="exact" w:line="240" w:before="0" w:after="160"/>
    </w:pPr>
    <w:rPr>
      <w:rFonts w:ascii="Verdana" w:hAnsi="Verdana" w:cs="Verdana"/>
      <w:sz w:val="20"/>
      <w:szCs w:val="20"/>
      <w:lang w:val="en-US" w:eastAsia="en-US"/>
    </w:rPr>
  </w:style>
  <w:style w:type="paragraph" w:styleId="TOC1">
    <w:name w:val="TOC 1"/>
    <w:basedOn w:val="Normal"/>
    <w:next w:val="Normal"/>
    <w:autoRedefine/>
    <w:pPr>
      <w:tabs>
        <w:tab w:val="clear" w:pos="709"/>
        <w:tab w:val="left" w:pos="560" w:leader="none"/>
        <w:tab w:val="right" w:pos="9911" w:leader="dot"/>
      </w:tabs>
      <w:spacing w:before="120" w:after="0"/>
    </w:pPr>
    <w:rPr>
      <w:rFonts w:cs="Calibri"/>
      <w:b/>
      <w:bCs/>
      <w:iCs/>
    </w:rPr>
  </w:style>
  <w:style w:type="paragraph" w:styleId="TOC3">
    <w:name w:val="TOC 3"/>
    <w:basedOn w:val="Normal"/>
    <w:next w:val="Normal"/>
    <w:autoRedefine/>
    <w:pPr>
      <w:tabs>
        <w:tab w:val="clear" w:pos="709"/>
        <w:tab w:val="left" w:pos="1400" w:leader="none"/>
        <w:tab w:val="right" w:pos="9911" w:leader="dot"/>
      </w:tabs>
      <w:ind w:left="560" w:firstLine="291"/>
    </w:pPr>
    <w:rPr>
      <w:rFonts w:cs="Calibri"/>
      <w:sz w:val="20"/>
      <w:szCs w:val="20"/>
    </w:rPr>
  </w:style>
  <w:style w:type="paragraph" w:styleId="TOC4">
    <w:name w:val="TOC 4"/>
    <w:basedOn w:val="Normal"/>
    <w:next w:val="Normal"/>
    <w:autoRedefine/>
    <w:pPr>
      <w:ind w:left="840" w:hanging="0"/>
    </w:pPr>
    <w:rPr>
      <w:rFonts w:cs="Calibri"/>
      <w:sz w:val="20"/>
      <w:szCs w:val="20"/>
    </w:rPr>
  </w:style>
  <w:style w:type="paragraph" w:styleId="Header">
    <w:name w:val="Header"/>
    <w:basedOn w:val="Normal"/>
    <w:link w:val="Style13"/>
    <w:pPr>
      <w:tabs>
        <w:tab w:val="clear" w:pos="709"/>
        <w:tab w:val="center" w:pos="4677" w:leader="none"/>
        <w:tab w:val="right" w:pos="9355" w:leader="none"/>
      </w:tabs>
    </w:pPr>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paragraph" w:styleId="Style23" w:customStyle="1">
    <w:name w:val="Таблица"/>
    <w:basedOn w:val="Normal"/>
    <w:qFormat/>
    <w:rsid w:val="00be2e51"/>
    <w:pPr>
      <w:keepNext w:val="true"/>
      <w:suppressAutoHyphens w:val="false"/>
      <w:spacing w:before="60" w:after="60"/>
      <w:jc w:val="center"/>
    </w:pPr>
    <w:rPr>
      <w:rFonts w:eastAsia="Calibri"/>
      <w:b/>
      <w:lang w:val="x-none" w:eastAsia="x-none"/>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2">
    <w:name w:val="Table Grid"/>
    <w:basedOn w:val="a1"/>
    <w:uiPriority w:val="39"/>
    <w:rsid w:val="00be2e51"/>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41320-A157-4B41-8891-09672A4E2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Application>AlterOffice/3.4.0.9$Linux_X86_64 LibreOffice_project/b8daf9e823b1a5463a2f48435ddc2e8696e7d4fc</Application>
  <AppVersion>15.0000</AppVersion>
  <Pages>25</Pages>
  <Words>5205</Words>
  <Characters>37985</Characters>
  <CharactersWithSpaces>43525</CharactersWithSpaces>
  <Paragraphs>594</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2024-10-18T09:49:00Z</dcterms:created>
  <dc:creator>lena</dc:creator>
  <dc:description/>
  <dc:language>ru-RU</dc:language>
  <cp:lastModifiedBy>bekuzarovav@corp.gidroogk.com</cp:lastModifiedBy>
  <cp:lastPrinted>2023-09-13T15:04:00Z</cp:lastPrinted>
  <dcterms:modified xsi:type="dcterms:W3CDTF">2026-08-11T14:03:11Z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