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header9.xml" ContentType="application/vnd.openxmlformats-officedocument.wordprocessingml.header+xml"/>
  <Override PartName="/word/header8.xml" ContentType="application/vnd.openxmlformats-officedocument.wordprocessingml.header+xml"/>
  <Override PartName="/word/header11.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theme/theme1.xml" ContentType="application/vnd.openxmlformats-officedocument.theme+xml"/>
  <Override PartName="/word/header6.xml" ContentType="application/vnd.openxmlformats-officedocument.wordprocessingml.header+xml"/>
  <Override PartName="/word/document.xml" ContentType="application/vnd.openxmlformats-officedocument.wordprocessingml.document.main+xml"/>
  <Override PartName="/word/numbering.xml" ContentType="application/vnd.openxmlformats-officedocument.wordprocessingml.numbering+xml"/>
  <Override PartName="/word/header4.xml" ContentType="application/vnd.openxmlformats-officedocument.wordprocessingml.header+xml"/>
  <Override PartName="/word/fontTable.xml" ContentType="application/vnd.openxmlformats-officedocument.wordprocessingml.fontTable+xml"/>
  <Override PartName="/word/footer5.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styles.xml" ContentType="application/vnd.openxmlformats-officedocument.wordprocessingml.styles+xml"/>
  <Override PartName="/word/header5.xml" ContentType="application/vnd.openxmlformats-officedocument.wordprocessingml.header+xml"/>
  <Override PartName="/word/settings.xml" ContentType="application/vnd.openxmlformats-officedocument.wordprocessingml.settings+xml"/>
  <Override PartName="/word/header1.xml" ContentType="application/vnd.openxmlformats-officedocument.wordprocessingml.header+xml"/>
  <Override PartName="/word/footnotes.xml" ContentType="application/vnd.openxmlformats-officedocument.wordprocessingml.footnotes+xml"/>
  <Override PartName="/word/footer2.xml" ContentType="application/vnd.openxmlformats-officedocument.wordprocessingml.footer+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customXml/item2.xml" ContentType="application/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FFFFFF"/>
        <w:tabs>
          <w:tab w:val="clear" w:pos="708"/>
          <w:tab w:val="left" w:pos="6926" w:leader="none"/>
        </w:tabs>
        <w:ind w:firstLine="709"/>
        <w:jc w:val="center"/>
        <w:rPr>
          <w:bCs/>
          <w:sz w:val="22"/>
          <w:szCs w:val="22"/>
        </w:rPr>
      </w:pPr>
      <w:r>
        <w:rPr>
          <w:bCs/>
          <w:sz w:val="22"/>
          <w:szCs w:val="22"/>
        </w:rPr>
        <w:t xml:space="preserve">                   </w:t>
      </w:r>
      <w:r>
        <w:rPr>
          <w:b/>
          <w:bCs/>
          <w:sz w:val="24"/>
          <w:szCs w:val="24"/>
        </w:rPr>
        <w:t xml:space="preserve">Договор поставки № </w:t>
      </w:r>
    </w:p>
    <w:p>
      <w:pPr>
        <w:pStyle w:val="Normal"/>
        <w:shd w:val="clear" w:color="auto" w:fill="FFFFFF"/>
        <w:ind w:firstLine="709"/>
        <w:rPr>
          <w:b/>
          <w:bCs/>
          <w:sz w:val="24"/>
          <w:szCs w:val="24"/>
        </w:rPr>
      </w:pPr>
      <w:r>
        <w:rPr>
          <w:b/>
          <w:bCs/>
          <w:sz w:val="24"/>
          <w:szCs w:val="24"/>
        </w:rPr>
      </w:r>
    </w:p>
    <w:p>
      <w:pPr>
        <w:pStyle w:val="Normal"/>
        <w:shd w:val="clear" w:color="auto" w:fill="FFFFFF"/>
        <w:tabs>
          <w:tab w:val="clear" w:pos="708"/>
          <w:tab w:val="right" w:pos="9639" w:leader="none"/>
        </w:tabs>
        <w:jc w:val="right"/>
        <w:rPr>
          <w:bCs/>
          <w:sz w:val="24"/>
          <w:szCs w:val="24"/>
        </w:rPr>
      </w:pPr>
      <w:r>
        <w:rPr>
          <w:bCs/>
          <w:sz w:val="24"/>
          <w:szCs w:val="24"/>
        </w:rPr>
        <w:t>г. Москва</w:t>
        <w:tab/>
        <w:t xml:space="preserve">   «» августа 2026г.</w:t>
      </w:r>
    </w:p>
    <w:p>
      <w:pPr>
        <w:pStyle w:val="Normal"/>
        <w:tabs>
          <w:tab w:val="clear" w:pos="708"/>
          <w:tab w:val="right" w:pos="9639" w:leader="none"/>
        </w:tabs>
        <w:ind w:firstLine="709"/>
        <w:jc w:val="right"/>
        <w:rPr>
          <w:bCs/>
          <w:sz w:val="24"/>
          <w:szCs w:val="24"/>
        </w:rPr>
      </w:pPr>
      <w:r>
        <w:rPr>
          <w:bCs/>
          <w:sz w:val="24"/>
          <w:szCs w:val="24"/>
        </w:rPr>
      </w:r>
    </w:p>
    <w:p>
      <w:pPr>
        <w:pStyle w:val="Normal"/>
        <w:shd w:val="clear" w:color="auto" w:fill="FFFFFF"/>
        <w:ind w:firstLine="709"/>
        <w:jc w:val="both"/>
        <w:rPr>
          <w:sz w:val="24"/>
          <w:szCs w:val="24"/>
          <w:lang w:val="x-none"/>
        </w:rPr>
      </w:pPr>
      <w:r>
        <w:rPr>
          <w:b/>
          <w:bCs/>
          <w:sz w:val="24"/>
          <w:szCs w:val="24"/>
          <w:lang w:val="x-none"/>
        </w:rPr>
        <w:t>Акционерное общество «Транспортная компания РусГидро» (АО «ТК РусГидро»)</w:t>
      </w:r>
      <w:r>
        <w:rPr>
          <w:sz w:val="24"/>
          <w:szCs w:val="24"/>
          <w:lang w:val="x-none"/>
        </w:rPr>
        <w:t xml:space="preserve">, (далее - «Покупатель»), в лице директора Центрального филиала АО «ТК РусГидро», действующего на основании машиночитаемой доверенности (МЧД)  </w:t>
      </w:r>
      <w:r>
        <w:rPr>
          <w:sz w:val="24"/>
          <w:szCs w:val="24"/>
        </w:rPr>
        <w:t>№</w:t>
      </w:r>
      <w:r>
        <w:rPr>
          <w:sz w:val="26"/>
          <w:szCs w:val="26"/>
          <w:lang w:val="x-none"/>
        </w:rPr>
        <w:t xml:space="preserve">, с одной стороны, </w:t>
      </w:r>
      <w:r>
        <w:rPr>
          <w:sz w:val="24"/>
          <w:szCs w:val="24"/>
          <w:lang w:val="x-none"/>
        </w:rPr>
        <w:t xml:space="preserve"> и , Общество с ограниченной ответственностью )(далее - «Поставщик»), в лице  действующего на основании Устава, с другой стороны, совместно в дальнейшем именуемые «Стороны», а по отдельности – «Сторона», по результатам проведенной Покупателем неконкурентной процедуры по лоту №  и на основании протокола     заключили настоящий договор поставки (далее – «Договор») о нижеследующем:</w:t>
      </w:r>
    </w:p>
    <w:p>
      <w:pPr>
        <w:pStyle w:val="Normal"/>
        <w:shd w:val="clear" w:color="auto" w:fill="FFFFFF"/>
        <w:ind w:firstLine="709"/>
        <w:jc w:val="center"/>
        <w:rPr>
          <w:b/>
          <w:bCs/>
          <w:sz w:val="24"/>
          <w:szCs w:val="24"/>
        </w:rPr>
      </w:pPr>
      <w:r>
        <w:rPr>
          <w:b/>
          <w:bCs/>
          <w:sz w:val="24"/>
          <w:szCs w:val="24"/>
        </w:rPr>
        <w:t>Термины и определения</w:t>
      </w:r>
    </w:p>
    <w:p>
      <w:pPr>
        <w:pStyle w:val="Normal"/>
        <w:shd w:val="clear" w:color="auto" w:fill="FFFFFF"/>
        <w:ind w:firstLine="709"/>
        <w:jc w:val="center"/>
        <w:rPr>
          <w:b/>
          <w:bCs/>
          <w:sz w:val="24"/>
          <w:szCs w:val="24"/>
        </w:rPr>
      </w:pPr>
      <w:r>
        <w:rPr>
          <w:b/>
          <w:bCs/>
          <w:sz w:val="24"/>
          <w:szCs w:val="24"/>
        </w:rPr>
      </w:r>
    </w:p>
    <w:p>
      <w:pPr>
        <w:pStyle w:val="Normal"/>
        <w:shd w:val="clear" w:color="auto" w:fill="FFFFFF"/>
        <w:ind w:firstLine="709"/>
        <w:jc w:val="both"/>
        <w:rPr>
          <w:bCs/>
          <w:sz w:val="24"/>
          <w:szCs w:val="24"/>
        </w:rPr>
      </w:pPr>
      <w:r>
        <w:rPr>
          <w:bCs/>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Normal"/>
        <w:shd w:val="clear" w:color="auto" w:fill="FFFFFF"/>
        <w:tabs>
          <w:tab w:val="clear" w:pos="708"/>
          <w:tab w:val="left" w:pos="0" w:leader="none"/>
        </w:tabs>
        <w:ind w:firstLine="709"/>
        <w:jc w:val="both"/>
        <w:textAlignment w:val="baseline"/>
        <w:rPr>
          <w:sz w:val="24"/>
          <w:szCs w:val="24"/>
          <w:lang w:eastAsia="en-US"/>
        </w:rPr>
      </w:pPr>
      <w:r>
        <w:rPr>
          <w:b/>
          <w:sz w:val="24"/>
          <w:szCs w:val="24"/>
          <w:lang w:eastAsia="en-US"/>
        </w:rPr>
        <w:t>«Акт рекламации»</w:t>
      </w:r>
      <w:r>
        <w:rPr>
          <w:sz w:val="24"/>
          <w:szCs w:val="24"/>
          <w:lang w:eastAsia="en-US"/>
        </w:rPr>
        <w:t xml:space="preserve"> – документ, оформляемый по унифицированным формам </w:t>
        <w:br/>
        <w:t xml:space="preserve">№ ТОРГ-2 «Акт об установленном расхождении по количеству и качеству при приемке товарно-материальных ценностей» и № ТОРГ-3 «Акт об установленном расхождении </w:t>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pPr>
        <w:pStyle w:val="ListParagraph"/>
        <w:shd w:val="clear" w:color="auto" w:fill="FFFFFF"/>
        <w:tabs>
          <w:tab w:val="clear" w:pos="708"/>
          <w:tab w:val="left" w:pos="0" w:leader="none"/>
        </w:tabs>
        <w:ind w:firstLine="709" w:left="0"/>
        <w:jc w:val="both"/>
        <w:textAlignment w:val="baseline"/>
        <w:rPr>
          <w:color w:val="000000" w:themeColor="text1"/>
        </w:rPr>
      </w:pPr>
      <w:r>
        <w:rPr>
          <w:b/>
          <w:color w:val="000000" w:themeColor="text1"/>
          <w:sz w:val="24"/>
          <w:szCs w:val="24"/>
          <w:lang w:eastAsia="en-US"/>
        </w:rPr>
        <w:t>«Банковская гарантия»</w:t>
      </w:r>
      <w:r>
        <w:rPr>
          <w:color w:val="000000" w:themeColor="text1"/>
          <w:sz w:val="24"/>
          <w:szCs w:val="24"/>
          <w:lang w:eastAsia="en-US"/>
        </w:rPr>
        <w:t xml:space="preserve"> – независимая гарантия, выданная в обеспечение исполнения Поставщиком обязательств по Договору согласованным с Покупателем банком (гарантом), которая регулируется Унифицированными правилами для гарантий по требованию, включая типовые формы (URDG 758) (публикация Международной торговой палаты № 758), в той мере, в какой указанные правила не противоречат законодательству Российской Федерации и условиям настоящего Договора.</w:t>
      </w:r>
    </w:p>
    <w:p>
      <w:pPr>
        <w:pStyle w:val="Normal"/>
        <w:shd w:val="clear" w:color="auto" w:fill="FFFFFF"/>
        <w:tabs>
          <w:tab w:val="clear" w:pos="708"/>
          <w:tab w:val="left" w:pos="0" w:leader="none"/>
        </w:tabs>
        <w:ind w:firstLine="709"/>
        <w:jc w:val="both"/>
        <w:textAlignment w:val="baseline"/>
        <w:rPr>
          <w:sz w:val="24"/>
          <w:szCs w:val="24"/>
          <w:lang w:eastAsia="en-US"/>
        </w:rPr>
      </w:pPr>
      <w:r>
        <w:rPr>
          <w:b/>
          <w:sz w:val="24"/>
          <w:szCs w:val="24"/>
          <w:lang w:eastAsia="en-US"/>
        </w:rPr>
        <w:t xml:space="preserve"> </w:t>
      </w:r>
      <w:r>
        <w:rPr>
          <w:b/>
          <w:sz w:val="24"/>
          <w:szCs w:val="24"/>
          <w:lang w:eastAsia="en-US"/>
        </w:rPr>
        <w:t>«Договор»</w:t>
      </w:r>
      <w:r>
        <w:rPr>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w:t>
        <w:br/>
        <w:t>что они заключены надлежащим образом, и из них явно следует, что они составляют часть Договора.</w:t>
      </w:r>
    </w:p>
    <w:p>
      <w:pPr>
        <w:pStyle w:val="Normal"/>
        <w:shd w:val="clear" w:color="auto" w:fill="FFFFFF"/>
        <w:tabs>
          <w:tab w:val="clear" w:pos="708"/>
          <w:tab w:val="left" w:pos="0" w:leader="none"/>
        </w:tabs>
        <w:ind w:firstLine="709"/>
        <w:jc w:val="both"/>
        <w:textAlignment w:val="baseline"/>
        <w:rPr>
          <w:sz w:val="24"/>
          <w:szCs w:val="24"/>
          <w:lang w:eastAsia="en-US"/>
        </w:rPr>
      </w:pPr>
      <w:r>
        <w:rPr>
          <w:b/>
          <w:sz w:val="24"/>
          <w:szCs w:val="24"/>
          <w:lang w:eastAsia="en-US"/>
        </w:rPr>
        <w:t>«Коммерческая тайна»</w:t>
      </w:r>
      <w:r>
        <w:rPr>
          <w:sz w:val="24"/>
          <w:szCs w:val="24"/>
          <w:lang w:eastAsia="en-US"/>
        </w:rPr>
        <w:t xml:space="preserve"> – режим конфиденциальности информации, позволяющий </w:t>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br/>
        <w:t xml:space="preserve">или получить иную коммерческую выгоду. </w:t>
      </w:r>
    </w:p>
    <w:p>
      <w:pPr>
        <w:pStyle w:val="Normal"/>
        <w:shd w:val="clear" w:color="auto" w:fill="FFFFFF"/>
        <w:tabs>
          <w:tab w:val="clear" w:pos="708"/>
          <w:tab w:val="left" w:pos="0" w:leader="none"/>
        </w:tabs>
        <w:ind w:firstLine="709"/>
        <w:jc w:val="both"/>
        <w:textAlignment w:val="baseline"/>
        <w:rPr>
          <w:b/>
          <w:sz w:val="24"/>
          <w:szCs w:val="24"/>
          <w:lang w:eastAsia="en-US"/>
        </w:rPr>
      </w:pPr>
      <w:r>
        <w:rPr>
          <w:b/>
          <w:sz w:val="24"/>
          <w:szCs w:val="24"/>
          <w:lang w:eastAsia="en-US"/>
        </w:rPr>
        <w:t xml:space="preserve">«Накладная ТОРГ-12» </w:t>
      </w:r>
      <w:r>
        <w:rPr>
          <w:sz w:val="24"/>
          <w:szCs w:val="24"/>
          <w:lang w:eastAsia="en-US"/>
        </w:rPr>
        <w:t>–</w:t>
      </w:r>
      <w:r>
        <w:rPr>
          <w:b/>
          <w:sz w:val="24"/>
          <w:szCs w:val="24"/>
          <w:lang w:eastAsia="en-US"/>
        </w:rPr>
        <w:t xml:space="preserve"> </w:t>
      </w:r>
      <w:r>
        <w:rPr>
          <w:sz w:val="24"/>
          <w:szCs w:val="24"/>
          <w:lang w:eastAsia="en-US"/>
        </w:rPr>
        <w:t xml:space="preserve">документ, оформляемый по унифицированной форме </w:t>
        <w:br/>
        <w:t xml:space="preserve">№ ТОРГ-12 «Товарная накладная», утвержденной постановлением Госкомстата РФ </w:t>
        <w:br/>
        <w:t>от 25.12.1998 № 132, подписываемый Сторонами после завершения приемки Товара по количеству, качеству и комплектности.</w:t>
      </w:r>
    </w:p>
    <w:p>
      <w:pPr>
        <w:pStyle w:val="Normal"/>
        <w:shd w:val="clear" w:color="auto" w:fill="FFFFFF"/>
        <w:tabs>
          <w:tab w:val="clear" w:pos="708"/>
          <w:tab w:val="left" w:pos="0" w:leader="none"/>
        </w:tabs>
        <w:ind w:firstLine="709"/>
        <w:jc w:val="both"/>
        <w:textAlignment w:val="baseline"/>
        <w:rPr>
          <w:sz w:val="24"/>
          <w:szCs w:val="24"/>
          <w:lang w:eastAsia="en-US"/>
        </w:rPr>
      </w:pPr>
      <w:r>
        <w:rPr>
          <w:b/>
          <w:sz w:val="24"/>
          <w:szCs w:val="24"/>
          <w:lang w:eastAsia="en-US"/>
        </w:rPr>
        <w:t xml:space="preserve">«Отказ от Договора» </w:t>
      </w:r>
      <w:r>
        <w:rPr>
          <w:sz w:val="24"/>
          <w:szCs w:val="24"/>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pPr>
        <w:pStyle w:val="Normal"/>
        <w:keepLines/>
        <w:numPr>
          <w:ilvl w:val="0"/>
          <w:numId w:val="0"/>
        </w:numPr>
        <w:tabs>
          <w:tab w:val="clear" w:pos="708"/>
          <w:tab w:val="left" w:pos="0" w:leader="none"/>
        </w:tabs>
        <w:ind w:firstLine="709" w:left="0"/>
        <w:jc w:val="both"/>
        <w:textAlignment w:val="baseline"/>
        <w:outlineLvl w:val="2"/>
        <w:rPr>
          <w:bCs/>
          <w:sz w:val="24"/>
          <w:szCs w:val="24"/>
          <w:lang w:eastAsia="en-US"/>
        </w:rPr>
      </w:pPr>
      <w:r>
        <w:rPr>
          <w:b/>
          <w:bCs/>
          <w:sz w:val="24"/>
          <w:szCs w:val="24"/>
          <w:lang w:val="x-none" w:eastAsia="en-US"/>
        </w:rPr>
        <w:t xml:space="preserve">«Партия Товара» </w:t>
      </w:r>
      <w:r>
        <w:rPr>
          <w:bCs/>
          <w:sz w:val="24"/>
          <w:szCs w:val="24"/>
          <w:lang w:val="x-none" w:eastAsia="en-US"/>
        </w:rPr>
        <w:t xml:space="preserve">– часть Товара, единовременно поставляемая Покупателю Поставщиком, </w:t>
      </w:r>
      <w:r>
        <w:rPr>
          <w:bCs/>
          <w:sz w:val="24"/>
          <w:szCs w:val="24"/>
          <w:lang w:eastAsia="en-US"/>
        </w:rPr>
        <w:t>характеристики</w:t>
      </w:r>
      <w:r>
        <w:rPr>
          <w:bCs/>
          <w:sz w:val="24"/>
          <w:szCs w:val="24"/>
          <w:lang w:val="x-none" w:eastAsia="en-US"/>
        </w:rPr>
        <w:t xml:space="preserve"> которой определя</w:t>
      </w:r>
      <w:r>
        <w:rPr>
          <w:bCs/>
          <w:sz w:val="24"/>
          <w:szCs w:val="24"/>
          <w:lang w:eastAsia="en-US"/>
        </w:rPr>
        <w:t>ю</w:t>
      </w:r>
      <w:r>
        <w:rPr>
          <w:bCs/>
          <w:sz w:val="24"/>
          <w:szCs w:val="24"/>
          <w:lang w:val="x-none" w:eastAsia="en-US"/>
        </w:rPr>
        <w:t xml:space="preserve">тся </w:t>
      </w:r>
      <w:r>
        <w:rPr>
          <w:bCs/>
          <w:sz w:val="24"/>
          <w:szCs w:val="24"/>
          <w:lang w:eastAsia="en-US"/>
        </w:rPr>
        <w:t xml:space="preserve">Заявкой Покупателя в соответствии со </w:t>
      </w:r>
      <w:r>
        <w:rPr>
          <w:bCs/>
          <w:sz w:val="24"/>
          <w:szCs w:val="24"/>
          <w:lang w:val="x-none" w:eastAsia="en-US"/>
        </w:rPr>
        <w:t>Спецификацией, являющейся приложением к Договору.</w:t>
      </w:r>
    </w:p>
    <w:p>
      <w:pPr>
        <w:pStyle w:val="Normal"/>
        <w:keepLines/>
        <w:numPr>
          <w:ilvl w:val="0"/>
          <w:numId w:val="0"/>
        </w:numPr>
        <w:tabs>
          <w:tab w:val="clear" w:pos="708"/>
          <w:tab w:val="left" w:pos="0" w:leader="none"/>
        </w:tabs>
        <w:ind w:firstLine="709" w:left="0"/>
        <w:jc w:val="both"/>
        <w:textAlignment w:val="baseline"/>
        <w:outlineLvl w:val="2"/>
        <w:rPr>
          <w:bCs/>
          <w:sz w:val="24"/>
          <w:szCs w:val="24"/>
          <w:lang w:eastAsia="en-US"/>
        </w:rPr>
      </w:pPr>
      <w:r>
        <w:rPr>
          <w:b/>
          <w:bCs/>
          <w:sz w:val="24"/>
          <w:szCs w:val="24"/>
          <w:lang w:eastAsia="en-US"/>
        </w:rPr>
        <w:t>«Применимое право»</w:t>
      </w:r>
      <w:r>
        <w:rPr>
          <w:bCs/>
          <w:sz w:val="24"/>
          <w:szCs w:val="24"/>
          <w:lang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pPr>
        <w:pStyle w:val="Normal"/>
        <w:ind w:firstLine="709"/>
        <w:jc w:val="both"/>
        <w:rPr>
          <w:sz w:val="24"/>
          <w:szCs w:val="24"/>
          <w:lang w:eastAsia="en-US"/>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pPr>
        <w:pStyle w:val="Heading3"/>
        <w:keepNext w:val="false"/>
        <w:tabs>
          <w:tab w:val="clear" w:pos="708"/>
          <w:tab w:val="left" w:pos="567" w:leader="none"/>
        </w:tabs>
        <w:overflowPunct w:val="true"/>
        <w:spacing w:before="0" w:after="0"/>
        <w:ind w:firstLine="708"/>
        <w:jc w:val="both"/>
        <w:textAlignment w:val="baseline"/>
        <w:rPr/>
      </w:pPr>
      <w:r>
        <w:rPr>
          <w:rFonts w:ascii="Times New Roman" w:hAnsi="Times New Roman"/>
          <w:color w:val="000000"/>
          <w:sz w:val="24"/>
          <w:szCs w:val="24"/>
          <w:lang w:val="ru-RU" w:eastAsia="en-US"/>
        </w:rPr>
        <w:t xml:space="preserve">«Универсальный передаточный документ», «УПД» </w:t>
      </w:r>
      <w:r>
        <w:rPr>
          <w:rFonts w:ascii="Times New Roman" w:hAnsi="Times New Roman"/>
          <w:b w:val="false"/>
          <w:color w:val="000000"/>
          <w:sz w:val="24"/>
          <w:szCs w:val="24"/>
          <w:lang w:val="ru-RU" w:eastAsia="en-US"/>
        </w:rPr>
        <w:t>–</w:t>
      </w:r>
      <w:r>
        <w:rPr>
          <w:rFonts w:ascii="Times New Roman" w:hAnsi="Times New Roman"/>
          <w:color w:val="000000"/>
          <w:sz w:val="24"/>
          <w:szCs w:val="24"/>
          <w:lang w:val="ru-RU" w:eastAsia="en-US"/>
        </w:rPr>
        <w:t xml:space="preserve"> </w:t>
      </w:r>
      <w:r>
        <w:rPr>
          <w:rFonts w:ascii="Times New Roman" w:hAnsi="Times New Roman"/>
          <w:b w:val="false"/>
          <w:color w:val="000000"/>
          <w:sz w:val="24"/>
          <w:szCs w:val="24"/>
          <w:lang w:val="ru-RU" w:eastAsia="en-US"/>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ascii="Times New Roman" w:hAnsi="Times New Roman"/>
          <w:b w:val="false"/>
          <w:bCs w:val="false"/>
          <w:color w:val="000000"/>
          <w:sz w:val="24"/>
          <w:szCs w:val="24"/>
          <w:lang w:val="ru-RU" w:eastAsia="en-US"/>
        </w:rPr>
        <w:t>.</w:t>
      </w:r>
    </w:p>
    <w:p>
      <w:pPr>
        <w:pStyle w:val="Normal"/>
        <w:keepLines/>
        <w:numPr>
          <w:ilvl w:val="0"/>
          <w:numId w:val="0"/>
        </w:numPr>
        <w:tabs>
          <w:tab w:val="clear" w:pos="708"/>
          <w:tab w:val="left" w:pos="0" w:leader="none"/>
        </w:tabs>
        <w:ind w:firstLine="709" w:left="0"/>
        <w:jc w:val="both"/>
        <w:textAlignment w:val="baseline"/>
        <w:outlineLvl w:val="2"/>
        <w:rPr>
          <w:bCs/>
          <w:sz w:val="24"/>
          <w:szCs w:val="24"/>
          <w:lang w:eastAsia="en-US"/>
        </w:rPr>
      </w:pPr>
      <w:r>
        <w:rPr>
          <w:b/>
          <w:bCs/>
          <w:sz w:val="24"/>
          <w:szCs w:val="24"/>
          <w:lang w:eastAsia="en-US"/>
        </w:rPr>
        <w:t>«Цена Договора»</w:t>
      </w:r>
      <w:r>
        <w:rPr>
          <w:bCs/>
          <w:sz w:val="24"/>
          <w:szCs w:val="24"/>
          <w:lang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и причитающееся ему вознаграждение, а также инфляционные риски на весь период действия Договора. </w:t>
      </w:r>
    </w:p>
    <w:p>
      <w:pPr>
        <w:pStyle w:val="Normal"/>
        <w:shd w:val="clear" w:color="auto" w:fill="FFFFFF"/>
        <w:ind w:firstLine="709"/>
        <w:jc w:val="center"/>
        <w:rPr>
          <w:bCs/>
          <w:sz w:val="24"/>
          <w:szCs w:val="24"/>
        </w:rPr>
      </w:pPr>
      <w:r>
        <w:rPr>
          <w:bCs/>
          <w:sz w:val="24"/>
          <w:szCs w:val="24"/>
        </w:rPr>
      </w:r>
    </w:p>
    <w:p>
      <w:pPr>
        <w:pStyle w:val="Normal"/>
        <w:widowControl/>
        <w:numPr>
          <w:ilvl w:val="0"/>
          <w:numId w:val="62"/>
        </w:numPr>
        <w:shd w:val="clear" w:color="auto" w:fill="FFFFFF"/>
        <w:tabs>
          <w:tab w:val="clear" w:pos="708"/>
          <w:tab w:val="left" w:pos="284" w:leader="none"/>
        </w:tabs>
        <w:ind w:hanging="0" w:left="0"/>
        <w:jc w:val="center"/>
        <w:rPr>
          <w:sz w:val="24"/>
          <w:szCs w:val="24"/>
        </w:rPr>
      </w:pPr>
      <w:r>
        <w:rPr>
          <w:b/>
          <w:bCs/>
          <w:sz w:val="24"/>
          <w:szCs w:val="24"/>
        </w:rPr>
        <w:t>Предмет Договора</w:t>
      </w:r>
    </w:p>
    <w:p>
      <w:pPr>
        <w:pStyle w:val="Normal"/>
        <w:widowControl/>
        <w:shd w:val="clear" w:color="auto" w:fill="FFFFFF"/>
        <w:tabs>
          <w:tab w:val="clear" w:pos="708"/>
          <w:tab w:val="left" w:pos="284" w:leader="none"/>
        </w:tabs>
        <w:jc w:val="center"/>
        <w:rPr>
          <w:sz w:val="24"/>
          <w:szCs w:val="24"/>
        </w:rPr>
      </w:pPr>
      <w:r>
        <w:rPr>
          <w:sz w:val="24"/>
          <w:szCs w:val="24"/>
        </w:rPr>
      </w:r>
    </w:p>
    <w:p>
      <w:pPr>
        <w:pStyle w:val="Normal"/>
        <w:widowControl/>
        <w:numPr>
          <w:ilvl w:val="1"/>
          <w:numId w:val="63"/>
        </w:numPr>
        <w:shd w:val="clear" w:color="auto" w:fill="FFFFFF"/>
        <w:tabs>
          <w:tab w:val="clear" w:pos="708"/>
          <w:tab w:val="left" w:pos="1134" w:leader="none"/>
        </w:tabs>
        <w:ind w:firstLine="851" w:left="0"/>
        <w:jc w:val="both"/>
        <w:rPr/>
      </w:pPr>
      <w:r>
        <w:rPr>
          <w:bCs/>
          <w:sz w:val="24"/>
          <w:szCs w:val="24"/>
        </w:rPr>
        <w:t>Поставщик обязуется в порядке и сроки, установленные Договором, передать в собственность Покупателю</w:t>
      </w:r>
      <w:r>
        <w:rPr/>
        <w:t xml:space="preserve"> </w:t>
      </w:r>
      <w:r>
        <w:rPr>
          <w:b w:val="false"/>
          <w:bCs w:val="false"/>
          <w:sz w:val="24"/>
          <w:szCs w:val="24"/>
        </w:rPr>
        <w:t>запасны</w:t>
      </w:r>
      <w:r>
        <w:rPr>
          <w:b w:val="false"/>
          <w:bCs w:val="false"/>
          <w:sz w:val="24"/>
          <w:szCs w:val="24"/>
        </w:rPr>
        <w:t>е</w:t>
      </w:r>
      <w:r>
        <w:rPr>
          <w:b w:val="false"/>
          <w:bCs w:val="false"/>
          <w:sz w:val="24"/>
          <w:szCs w:val="24"/>
        </w:rPr>
        <w:t xml:space="preserve"> част</w:t>
      </w:r>
      <w:r>
        <w:rPr>
          <w:b w:val="false"/>
          <w:bCs w:val="false"/>
          <w:sz w:val="24"/>
          <w:szCs w:val="24"/>
        </w:rPr>
        <w:t>и</w:t>
      </w:r>
      <w:r>
        <w:rPr>
          <w:b w:val="false"/>
          <w:bCs w:val="false"/>
          <w:sz w:val="24"/>
          <w:szCs w:val="24"/>
        </w:rPr>
        <w:t xml:space="preserve"> для экскаватора  HYUNDAI R210LC-7</w:t>
      </w:r>
      <w:bookmarkStart w:id="0" w:name="_GoBack_Копия_1"/>
      <w:bookmarkEnd w:id="0"/>
      <w:r>
        <w:rPr>
          <w:b w:val="false"/>
          <w:bCs w:val="false"/>
          <w:sz w:val="24"/>
          <w:szCs w:val="24"/>
        </w:rPr>
        <w:t xml:space="preserve"> </w:t>
      </w:r>
      <w:r>
        <w:rPr>
          <w:bCs/>
          <w:sz w:val="24"/>
          <w:szCs w:val="24"/>
        </w:rPr>
        <w:t>(далее – «Товар») в соответствии со Спецификацией (Приложение № 1 к Договору), а Покупатель обязуется принять Товар и уплатить Цену Договора.</w:t>
      </w:r>
    </w:p>
    <w:p>
      <w:pPr>
        <w:pStyle w:val="Normal"/>
        <w:widowControl/>
        <w:numPr>
          <w:ilvl w:val="1"/>
          <w:numId w:val="64"/>
        </w:numPr>
        <w:shd w:val="clear" w:color="auto" w:fill="FFFFFF"/>
        <w:tabs>
          <w:tab w:val="clear" w:pos="708"/>
          <w:tab w:val="left" w:pos="1134" w:leader="none"/>
        </w:tabs>
        <w:ind w:firstLine="709" w:left="0"/>
        <w:jc w:val="both"/>
        <w:rPr>
          <w:sz w:val="24"/>
          <w:szCs w:val="24"/>
        </w:rPr>
      </w:pPr>
      <w:r>
        <w:rPr>
          <w:sz w:val="24"/>
          <w:szCs w:val="24"/>
        </w:rPr>
        <w:t xml:space="preserve">Наименование, ассортимент и количество Товара (партий Товара), а также сроки и место его поставки указываются в заявке Покупателя, оформляемой в соответствии со Спецификацией </w:t>
      </w:r>
      <w:r>
        <w:rPr>
          <w:bCs/>
          <w:sz w:val="24"/>
          <w:szCs w:val="24"/>
        </w:rPr>
        <w:t>(Приложение № 1 к Договору)</w:t>
      </w:r>
      <w:r>
        <w:rPr>
          <w:sz w:val="24"/>
          <w:szCs w:val="24"/>
        </w:rPr>
        <w:t xml:space="preserve"> по форме согласно Приложению № 2 к Договору (далее – «Заявка») и направляемой Продавцу в порядке и сроки, установленные пунктом 3.1 Договора. </w:t>
      </w:r>
    </w:p>
    <w:p>
      <w:pPr>
        <w:pStyle w:val="Normal"/>
        <w:widowControl/>
        <w:numPr>
          <w:ilvl w:val="1"/>
          <w:numId w:val="65"/>
        </w:numPr>
        <w:shd w:val="clear" w:color="auto" w:fill="FFFFFF"/>
        <w:tabs>
          <w:tab w:val="clear" w:pos="708"/>
          <w:tab w:val="left" w:pos="0" w:leader="none"/>
          <w:tab w:val="left" w:pos="1134" w:leader="none"/>
        </w:tabs>
        <w:ind w:firstLine="709" w:left="0"/>
        <w:jc w:val="both"/>
        <w:rPr>
          <w:bCs/>
          <w:sz w:val="24"/>
          <w:szCs w:val="24"/>
        </w:rPr>
      </w:pPr>
      <w:r>
        <w:rPr>
          <w:bCs/>
          <w:sz w:val="24"/>
          <w:szCs w:val="24"/>
        </w:rPr>
        <w:t>Поставка Товара по Договору осуществляется для нужд Загорского строительного участка Центрального филиала АО «ТК РусГидро».</w:t>
      </w:r>
    </w:p>
    <w:p>
      <w:pPr>
        <w:pStyle w:val="Normal"/>
        <w:widowControl/>
        <w:numPr>
          <w:ilvl w:val="1"/>
          <w:numId w:val="66"/>
        </w:numPr>
        <w:shd w:val="clear" w:color="auto" w:fill="FFFFFF"/>
        <w:tabs>
          <w:tab w:val="clear" w:pos="708"/>
          <w:tab w:val="left" w:pos="0" w:leader="none"/>
          <w:tab w:val="left" w:pos="540" w:leader="none"/>
          <w:tab w:val="left" w:pos="1134" w:leader="none"/>
        </w:tabs>
        <w:ind w:firstLine="709" w:left="0"/>
        <w:jc w:val="both"/>
        <w:rPr>
          <w:bCs/>
          <w:sz w:val="24"/>
          <w:szCs w:val="24"/>
        </w:rPr>
      </w:pPr>
      <w:r>
        <w:rPr>
          <w:bCs/>
          <w:sz w:val="24"/>
          <w:szCs w:val="24"/>
        </w:rPr>
        <w:t>Общий срок поставки Товара:</w:t>
      </w:r>
    </w:p>
    <w:p>
      <w:pPr>
        <w:pStyle w:val="Normal"/>
        <w:widowControl/>
        <w:shd w:val="clear" w:color="auto" w:fill="FFFFFF"/>
        <w:tabs>
          <w:tab w:val="clear" w:pos="708"/>
          <w:tab w:val="left" w:pos="0" w:leader="none"/>
          <w:tab w:val="left" w:pos="540" w:leader="none"/>
          <w:tab w:val="left" w:pos="1134" w:leader="none"/>
        </w:tabs>
        <w:ind w:hanging="0" w:left="737"/>
        <w:jc w:val="both"/>
        <w:rPr>
          <w:bCs/>
          <w:sz w:val="24"/>
          <w:szCs w:val="24"/>
        </w:rPr>
      </w:pPr>
      <w:r>
        <w:rPr>
          <w:bCs/>
          <w:sz w:val="24"/>
          <w:szCs w:val="24"/>
        </w:rPr>
        <w:t>1.4.1. Начало – с даты подписания Договора;</w:t>
      </w:r>
    </w:p>
    <w:p>
      <w:pPr>
        <w:pStyle w:val="Normal"/>
        <w:widowControl/>
        <w:shd w:val="clear" w:color="auto" w:fill="FFFFFF"/>
        <w:tabs>
          <w:tab w:val="clear" w:pos="708"/>
          <w:tab w:val="left" w:pos="0" w:leader="none"/>
          <w:tab w:val="left" w:pos="540" w:leader="none"/>
          <w:tab w:val="left" w:pos="1134" w:leader="none"/>
        </w:tabs>
        <w:ind w:hanging="0" w:left="737"/>
        <w:jc w:val="both"/>
        <w:rPr>
          <w:bCs/>
          <w:sz w:val="24"/>
          <w:szCs w:val="24"/>
        </w:rPr>
      </w:pPr>
      <w:r>
        <w:rPr>
          <w:bCs/>
          <w:sz w:val="24"/>
          <w:szCs w:val="24"/>
        </w:rPr>
        <w:t>1.4.2. Окончание – в течение 12 (двенадцати) месяцев, либо до исчерпания предельной суммы по Договору, в зависимости что наступит ранее.</w:t>
      </w:r>
    </w:p>
    <w:p>
      <w:pPr>
        <w:pStyle w:val="Normal"/>
        <w:shd w:val="clear" w:color="auto" w:fill="FFFFFF"/>
        <w:tabs>
          <w:tab w:val="clear" w:pos="708"/>
          <w:tab w:val="left" w:pos="540" w:leader="none"/>
        </w:tabs>
        <w:ind w:firstLine="709"/>
        <w:jc w:val="both"/>
        <w:rPr>
          <w:sz w:val="24"/>
          <w:szCs w:val="24"/>
        </w:rPr>
      </w:pPr>
      <w:r>
        <w:rPr>
          <w:sz w:val="24"/>
          <w:szCs w:val="24"/>
        </w:rPr>
      </w:r>
    </w:p>
    <w:p>
      <w:pPr>
        <w:pStyle w:val="Normal"/>
        <w:widowControl/>
        <w:numPr>
          <w:ilvl w:val="0"/>
          <w:numId w:val="67"/>
        </w:numPr>
        <w:shd w:val="clear" w:color="auto" w:fill="FFFFFF"/>
        <w:tabs>
          <w:tab w:val="clear" w:pos="708"/>
          <w:tab w:val="left" w:pos="284" w:leader="none"/>
        </w:tabs>
        <w:ind w:hanging="0" w:left="0"/>
        <w:jc w:val="center"/>
        <w:rPr>
          <w:b/>
          <w:bCs/>
          <w:sz w:val="24"/>
          <w:szCs w:val="24"/>
        </w:rPr>
      </w:pPr>
      <w:r>
        <w:rPr>
          <w:b/>
          <w:bCs/>
          <w:sz w:val="24"/>
          <w:szCs w:val="24"/>
        </w:rPr>
        <w:t>Цена Договора и порядок расчетов</w:t>
      </w:r>
    </w:p>
    <w:p>
      <w:pPr>
        <w:pStyle w:val="Normal"/>
        <w:widowControl/>
        <w:shd w:val="clear" w:color="auto" w:fill="FFFFFF"/>
        <w:tabs>
          <w:tab w:val="clear" w:pos="708"/>
          <w:tab w:val="left" w:pos="284" w:leader="none"/>
        </w:tabs>
        <w:jc w:val="center"/>
        <w:rPr>
          <w:b/>
          <w:bCs/>
          <w:sz w:val="24"/>
          <w:szCs w:val="24"/>
        </w:rPr>
      </w:pPr>
      <w:r>
        <w:rPr>
          <w:b/>
          <w:bCs/>
          <w:sz w:val="24"/>
          <w:szCs w:val="24"/>
        </w:rPr>
      </w:r>
    </w:p>
    <w:p>
      <w:pPr>
        <w:pStyle w:val="Normal"/>
        <w:widowControl/>
        <w:numPr>
          <w:ilvl w:val="1"/>
          <w:numId w:val="68"/>
        </w:numPr>
        <w:shd w:val="clear" w:color="auto" w:fill="FFFFFF"/>
        <w:tabs>
          <w:tab w:val="clear" w:pos="708"/>
          <w:tab w:val="left" w:pos="0" w:leader="none"/>
          <w:tab w:val="left" w:pos="1134" w:leader="none"/>
          <w:tab w:val="left" w:pos="1560" w:leader="none"/>
        </w:tabs>
        <w:ind w:firstLine="709" w:left="0"/>
        <w:jc w:val="both"/>
        <w:rPr>
          <w:sz w:val="24"/>
          <w:szCs w:val="24"/>
        </w:rPr>
      </w:pPr>
      <w:r>
        <w:rPr>
          <w:sz w:val="24"/>
          <w:szCs w:val="24"/>
        </w:rPr>
        <w:t xml:space="preserve">Цена Договора </w:t>
      </w:r>
      <w:r>
        <w:rPr>
          <w:bCs/>
          <w:sz w:val="24"/>
          <w:szCs w:val="24"/>
        </w:rPr>
        <w:t>является твёрдой</w:t>
      </w:r>
      <w:r>
        <w:rPr>
          <w:sz w:val="24"/>
          <w:szCs w:val="24"/>
        </w:rPr>
        <w:t xml:space="preserve"> </w:t>
      </w:r>
      <w:r>
        <w:rPr>
          <w:bCs/>
          <w:sz w:val="24"/>
          <w:szCs w:val="24"/>
        </w:rPr>
        <w:t>и составляет</w:t>
      </w:r>
      <w:r>
        <w:rPr>
          <w:sz w:val="24"/>
          <w:szCs w:val="24"/>
        </w:rPr>
        <w:t xml:space="preserve"> </w:t>
      </w:r>
      <w:r>
        <w:rPr>
          <w:bCs/>
          <w:sz w:val="24"/>
          <w:szCs w:val="24"/>
        </w:rPr>
        <w:t xml:space="preserve"> рублей,  копеек без учета НДС, при этом НДС исчисляется дополнительно по ставке, установленной ст. 164 Налогового Кодекса РФ. </w:t>
      </w:r>
    </w:p>
    <w:p>
      <w:pPr>
        <w:pStyle w:val="Normal"/>
        <w:widowControl/>
        <w:numPr>
          <w:ilvl w:val="1"/>
          <w:numId w:val="69"/>
        </w:numPr>
        <w:shd w:val="clear" w:color="auto" w:fill="FFFFFF"/>
        <w:tabs>
          <w:tab w:val="clear" w:pos="708"/>
          <w:tab w:val="left" w:pos="0" w:leader="none"/>
          <w:tab w:val="left" w:pos="1134" w:leader="none"/>
        </w:tabs>
        <w:ind w:firstLine="709" w:left="0"/>
        <w:jc w:val="both"/>
        <w:rPr>
          <w:sz w:val="24"/>
          <w:szCs w:val="24"/>
        </w:rPr>
      </w:pPr>
      <w:r>
        <w:rPr>
          <w:bCs/>
          <w:sz w:val="24"/>
          <w:szCs w:val="24"/>
        </w:rPr>
        <w:t xml:space="preserve">Цена за единицу Товара определяется в соответствии со Спецификацией (Приложение № 1 к Договору) и является фиксированной в течение всего срока действия Договора. </w:t>
      </w:r>
      <w:r>
        <w:rPr>
          <w:sz w:val="24"/>
          <w:szCs w:val="24"/>
        </w:rPr>
        <w:t>Общая стоимость Товара (всех партий Товара), указанного в Заявках, оформленных Покупателем в течение срока действия Договора, не может превышать Цену Договора, указанную в пункте 2.1 Договора.</w:t>
      </w:r>
    </w:p>
    <w:p>
      <w:pPr>
        <w:pStyle w:val="Normal"/>
        <w:widowControl/>
        <w:numPr>
          <w:ilvl w:val="1"/>
          <w:numId w:val="70"/>
        </w:numPr>
        <w:shd w:val="clear" w:color="auto" w:fill="FFFFFF"/>
        <w:tabs>
          <w:tab w:val="clear" w:pos="708"/>
          <w:tab w:val="left" w:pos="1134" w:leader="none"/>
        </w:tabs>
        <w:ind w:firstLine="709" w:left="0"/>
        <w:jc w:val="both"/>
        <w:rPr>
          <w:bCs/>
          <w:sz w:val="24"/>
          <w:szCs w:val="24"/>
        </w:rPr>
      </w:pPr>
      <w:r>
        <w:rPr>
          <w:bCs/>
          <w:sz w:val="24"/>
          <w:szCs w:val="24"/>
        </w:rPr>
        <w:t xml:space="preserve">Цена Договора включает в себя прибыль Поставщика, а также все расходы и затраты Поставщика на: </w:t>
      </w:r>
    </w:p>
    <w:p>
      <w:pPr>
        <w:pStyle w:val="Normal"/>
        <w:widowControl/>
        <w:numPr>
          <w:ilvl w:val="2"/>
          <w:numId w:val="71"/>
        </w:numPr>
        <w:shd w:val="clear" w:color="auto" w:fill="FFFFFF"/>
        <w:tabs>
          <w:tab w:val="clear" w:pos="708"/>
          <w:tab w:val="left" w:pos="1418" w:leader="none"/>
        </w:tabs>
        <w:ind w:firstLine="709" w:left="0"/>
        <w:jc w:val="both"/>
        <w:rPr>
          <w:bCs/>
          <w:sz w:val="24"/>
          <w:szCs w:val="24"/>
        </w:rPr>
      </w:pPr>
      <w:r>
        <w:rPr>
          <w:bCs/>
          <w:sz w:val="24"/>
          <w:szCs w:val="24"/>
        </w:rPr>
        <w:t>Приобретение Товара;</w:t>
      </w:r>
    </w:p>
    <w:p>
      <w:pPr>
        <w:pStyle w:val="Normal"/>
        <w:widowControl/>
        <w:numPr>
          <w:ilvl w:val="2"/>
          <w:numId w:val="72"/>
        </w:numPr>
        <w:shd w:val="clear" w:color="auto" w:fill="FFFFFF"/>
        <w:tabs>
          <w:tab w:val="clear" w:pos="708"/>
          <w:tab w:val="left" w:pos="1418" w:leader="none"/>
        </w:tabs>
        <w:spacing w:before="0" w:after="0"/>
        <w:ind w:firstLine="709" w:left="0"/>
        <w:contextualSpacing/>
        <w:jc w:val="both"/>
        <w:rPr>
          <w:bCs/>
          <w:sz w:val="24"/>
          <w:szCs w:val="24"/>
        </w:rPr>
      </w:pPr>
      <w:r>
        <w:rPr>
          <w:bCs/>
          <w:sz w:val="24"/>
          <w:szCs w:val="24"/>
        </w:rPr>
        <w:t xml:space="preserve">Транспортировку Товара до места поставки, погрузку, разгрузку, стоимость тары и упаковки, лицензий, необходимых для использования Товара (если применимо); </w:t>
      </w:r>
    </w:p>
    <w:p>
      <w:pPr>
        <w:pStyle w:val="Normal"/>
        <w:widowControl/>
        <w:numPr>
          <w:ilvl w:val="2"/>
          <w:numId w:val="73"/>
        </w:numPr>
        <w:shd w:val="clear" w:color="auto" w:fill="FFFFFF"/>
        <w:tabs>
          <w:tab w:val="clear" w:pos="708"/>
          <w:tab w:val="left" w:pos="1418" w:leader="none"/>
        </w:tabs>
        <w:ind w:firstLine="709" w:left="0"/>
        <w:jc w:val="both"/>
        <w:rPr>
          <w:bCs/>
          <w:sz w:val="24"/>
          <w:szCs w:val="24"/>
        </w:rPr>
      </w:pPr>
      <w:r>
        <w:rPr>
          <w:bCs/>
          <w:sz w:val="24"/>
          <w:szCs w:val="24"/>
        </w:rPr>
        <w:t>Подлежащие уплате налоги, сборы и пошлины (в том числе по таможенному оформлению Товара, если применимо)</w:t>
      </w:r>
      <w:r>
        <w:rPr>
          <w:bCs/>
          <w:sz w:val="24"/>
          <w:szCs w:val="24"/>
          <w:lang w:val="en-US"/>
        </w:rPr>
        <w:t>;</w:t>
      </w:r>
    </w:p>
    <w:p>
      <w:pPr>
        <w:pStyle w:val="Normal"/>
        <w:widowControl/>
        <w:numPr>
          <w:ilvl w:val="2"/>
          <w:numId w:val="74"/>
        </w:numPr>
        <w:shd w:val="clear" w:color="auto" w:fill="FFFFFF"/>
        <w:tabs>
          <w:tab w:val="clear" w:pos="708"/>
          <w:tab w:val="left" w:pos="1418" w:leader="none"/>
        </w:tabs>
        <w:ind w:firstLine="709" w:left="0"/>
        <w:jc w:val="both"/>
        <w:rPr>
          <w:bCs/>
          <w:sz w:val="24"/>
          <w:szCs w:val="24"/>
        </w:rPr>
      </w:pPr>
      <w:r>
        <w:rPr>
          <w:bCs/>
          <w:sz w:val="24"/>
          <w:szCs w:val="24"/>
        </w:rPr>
        <w:t xml:space="preserve">Заработную плату, накладные и командировочные расходы, перемещение персонала Поставщика; </w:t>
      </w:r>
    </w:p>
    <w:p>
      <w:pPr>
        <w:pStyle w:val="Normal"/>
        <w:widowControl/>
        <w:numPr>
          <w:ilvl w:val="2"/>
          <w:numId w:val="75"/>
        </w:numPr>
        <w:shd w:val="clear" w:color="auto" w:fill="FFFFFF"/>
        <w:tabs>
          <w:tab w:val="clear" w:pos="708"/>
          <w:tab w:val="left" w:pos="1418" w:leader="none"/>
        </w:tabs>
        <w:ind w:firstLine="709" w:left="0"/>
        <w:jc w:val="both"/>
        <w:rPr>
          <w:bCs/>
          <w:sz w:val="24"/>
          <w:szCs w:val="24"/>
        </w:rPr>
      </w:pPr>
      <w:r>
        <w:rPr>
          <w:bCs/>
          <w:sz w:val="24"/>
          <w:szCs w:val="24"/>
        </w:rPr>
        <w:t xml:space="preserve">Все прочие затраты и расходы Поставщика, связанные с поставкой Товара 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pPr>
        <w:pStyle w:val="Normal"/>
        <w:widowControl/>
        <w:numPr>
          <w:ilvl w:val="1"/>
          <w:numId w:val="76"/>
        </w:numPr>
        <w:shd w:val="clear" w:color="auto" w:fill="FFFFFF"/>
        <w:tabs>
          <w:tab w:val="clear" w:pos="708"/>
          <w:tab w:val="left" w:pos="568" w:leader="none"/>
          <w:tab w:val="left" w:pos="1134" w:leader="none"/>
        </w:tabs>
        <w:ind w:firstLine="709" w:left="0"/>
        <w:jc w:val="both"/>
        <w:rPr>
          <w:sz w:val="24"/>
          <w:szCs w:val="24"/>
        </w:rPr>
      </w:pPr>
      <w:r>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Normal"/>
        <w:widowControl/>
        <w:numPr>
          <w:ilvl w:val="1"/>
          <w:numId w:val="77"/>
        </w:numPr>
        <w:shd w:val="clear" w:color="auto" w:fill="FFFFFF"/>
        <w:tabs>
          <w:tab w:val="clear" w:pos="708"/>
          <w:tab w:val="left" w:pos="568" w:leader="none"/>
          <w:tab w:val="left" w:pos="1134" w:leader="none"/>
        </w:tabs>
        <w:ind w:firstLine="709" w:left="0"/>
        <w:jc w:val="both"/>
        <w:rPr>
          <w:sz w:val="24"/>
          <w:szCs w:val="24"/>
        </w:rPr>
      </w:pPr>
      <w:bookmarkStart w:id="1" w:name="_Ref361858588"/>
      <w:r>
        <w:rPr>
          <w:sz w:val="24"/>
          <w:szCs w:val="24"/>
        </w:rPr>
        <w:t>Оплата по Договору осуществляется Покупателем в следующем порядке:</w:t>
      </w:r>
      <w:bookmarkEnd w:id="1"/>
      <w:r>
        <w:rPr>
          <w:sz w:val="24"/>
          <w:szCs w:val="24"/>
        </w:rPr>
        <w:t xml:space="preserve"> </w:t>
      </w:r>
    </w:p>
    <w:p>
      <w:pPr>
        <w:pStyle w:val="Normal"/>
        <w:widowControl/>
        <w:numPr>
          <w:ilvl w:val="2"/>
          <w:numId w:val="78"/>
        </w:numPr>
        <w:shd w:val="clear" w:color="auto" w:fill="FFFFFF"/>
        <w:tabs>
          <w:tab w:val="clear" w:pos="708"/>
          <w:tab w:val="left" w:pos="1134" w:leader="none"/>
          <w:tab w:val="left" w:pos="1276" w:leader="none"/>
        </w:tabs>
        <w:spacing w:before="0" w:after="0"/>
        <w:ind w:firstLine="709" w:left="0"/>
        <w:contextualSpacing/>
        <w:jc w:val="both"/>
        <w:rPr>
          <w:sz w:val="24"/>
          <w:szCs w:val="24"/>
        </w:rPr>
      </w:pPr>
      <w:bookmarkStart w:id="2" w:name="_Ref361834178"/>
      <w:bookmarkStart w:id="3" w:name="_Ref373240288"/>
      <w:r>
        <w:rPr>
          <w:bCs/>
          <w:sz w:val="24"/>
          <w:szCs w:val="24"/>
        </w:rPr>
        <w:t xml:space="preserve">Авансовые платежи </w:t>
      </w:r>
      <w:r>
        <w:rPr>
          <w:sz w:val="24"/>
          <w:szCs w:val="24"/>
        </w:rPr>
        <w:t xml:space="preserve">в размере 100 (ста) процентов от стоимости заявки без учета НДС (при этом НДС исчисляется дополнительно по ставке, установленной статьей 164 Налогового кодекса РФ на дату выплаты авансового платежа) выплачиваются Поставщику в течение 30 (тридцати) календарных дней с даты получения Покупателем счета, выставленного Поставщиком, но не ранее 30 (тридцати) календарных дней до даты поставки товара. </w:t>
      </w:r>
      <w:bookmarkEnd w:id="2"/>
      <w:bookmarkEnd w:id="3"/>
    </w:p>
    <w:p>
      <w:pPr>
        <w:pStyle w:val="Normal"/>
        <w:widowControl/>
        <w:numPr>
          <w:ilvl w:val="1"/>
          <w:numId w:val="79"/>
        </w:numPr>
        <w:shd w:val="clear" w:color="auto" w:fill="FFFFFF"/>
        <w:tabs>
          <w:tab w:val="clear" w:pos="708"/>
          <w:tab w:val="left" w:pos="0" w:leader="none"/>
          <w:tab w:val="left" w:pos="1134" w:leader="none"/>
          <w:tab w:val="left" w:pos="1276" w:leader="none"/>
        </w:tabs>
        <w:spacing w:before="0" w:after="0"/>
        <w:ind w:firstLine="709" w:left="0"/>
        <w:contextualSpacing/>
        <w:jc w:val="both"/>
        <w:rPr>
          <w:sz w:val="24"/>
          <w:szCs w:val="24"/>
        </w:rPr>
      </w:pPr>
      <w:r>
        <w:rPr>
          <w:sz w:val="24"/>
          <w:szCs w:val="24"/>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pPr>
        <w:pStyle w:val="Normal"/>
        <w:widowControl/>
        <w:numPr>
          <w:ilvl w:val="1"/>
          <w:numId w:val="80"/>
        </w:numPr>
        <w:shd w:val="clear" w:color="auto" w:fill="FFFFFF"/>
        <w:tabs>
          <w:tab w:val="clear" w:pos="708"/>
          <w:tab w:val="left" w:pos="0" w:leader="none"/>
          <w:tab w:val="left" w:pos="1134" w:leader="none"/>
        </w:tabs>
        <w:spacing w:before="0" w:after="0"/>
        <w:ind w:firstLine="709" w:left="0"/>
        <w:contextualSpacing/>
        <w:jc w:val="both"/>
        <w:rPr>
          <w:bCs/>
          <w:sz w:val="24"/>
          <w:szCs w:val="24"/>
        </w:rPr>
      </w:pPr>
      <w:r>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pPr>
        <w:pStyle w:val="Normal"/>
        <w:widowControl/>
        <w:numPr>
          <w:ilvl w:val="1"/>
          <w:numId w:val="81"/>
        </w:numPr>
        <w:shd w:val="clear" w:color="auto" w:fill="FFFFFF"/>
        <w:tabs>
          <w:tab w:val="clear" w:pos="708"/>
          <w:tab w:val="left" w:pos="0" w:leader="none"/>
          <w:tab w:val="left" w:pos="567" w:leader="none"/>
          <w:tab w:val="left" w:pos="716" w:leader="none"/>
          <w:tab w:val="left" w:pos="1134" w:leader="none"/>
        </w:tabs>
        <w:ind w:firstLine="709" w:left="0"/>
        <w:jc w:val="both"/>
        <w:rPr>
          <w:sz w:val="24"/>
          <w:szCs w:val="24"/>
        </w:rPr>
      </w:pPr>
      <w:r>
        <w:rPr>
          <w:sz w:val="24"/>
          <w:szCs w:val="24"/>
        </w:rPr>
        <w:t>Индексация Цены Договора не допускается.</w:t>
      </w:r>
    </w:p>
    <w:p>
      <w:pPr>
        <w:pStyle w:val="Normal"/>
        <w:widowControl/>
        <w:numPr>
          <w:ilvl w:val="1"/>
          <w:numId w:val="82"/>
        </w:numPr>
        <w:shd w:val="clear" w:color="auto" w:fill="FFFFFF"/>
        <w:tabs>
          <w:tab w:val="clear" w:pos="708"/>
          <w:tab w:val="left" w:pos="0" w:leader="none"/>
          <w:tab w:val="left" w:pos="567" w:leader="none"/>
          <w:tab w:val="left" w:pos="716" w:leader="none"/>
          <w:tab w:val="left" w:pos="1134" w:leader="none"/>
        </w:tabs>
        <w:ind w:firstLine="709" w:left="0"/>
        <w:jc w:val="both"/>
        <w:rPr>
          <w:sz w:val="24"/>
          <w:szCs w:val="24"/>
        </w:rPr>
      </w:pPr>
      <w:r>
        <w:rPr>
          <w:sz w:val="24"/>
          <w:szCs w:val="24"/>
        </w:rPr>
        <w:t>Поставщик обязан представить Покупателю счета</w:t>
      </w:r>
      <w:r>
        <w:rPr>
          <w:bCs/>
          <w:sz w:val="24"/>
          <w:szCs w:val="24"/>
        </w:rPr>
        <w:t>-</w:t>
      </w:r>
      <w:r>
        <w:rPr>
          <w:sz w:val="24"/>
          <w:szCs w:val="24"/>
        </w:rPr>
        <w:t>фактуры/УПД,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w:t>
      </w:r>
      <w:r>
        <w:rPr>
          <w:bCs/>
          <w:sz w:val="24"/>
          <w:szCs w:val="24"/>
        </w:rPr>
        <w:t>-</w:t>
      </w:r>
      <w:r>
        <w:rPr>
          <w:sz w:val="24"/>
          <w:szCs w:val="24"/>
        </w:rPr>
        <w:t xml:space="preserve">фактуры/УПД в течение 3 (трех) рабочих дней с даты получения соответствующего письменного требования Покупателя. </w:t>
      </w:r>
    </w:p>
    <w:p>
      <w:pPr>
        <w:pStyle w:val="Normal"/>
        <w:widowControl/>
        <w:numPr>
          <w:ilvl w:val="1"/>
          <w:numId w:val="83"/>
        </w:numPr>
        <w:shd w:val="clear" w:color="auto" w:fill="FFFFFF"/>
        <w:tabs>
          <w:tab w:val="clear" w:pos="708"/>
          <w:tab w:val="left" w:pos="0" w:leader="none"/>
          <w:tab w:val="left" w:pos="567" w:leader="none"/>
          <w:tab w:val="left" w:pos="716" w:leader="none"/>
          <w:tab w:val="left" w:pos="1134" w:leader="none"/>
        </w:tabs>
        <w:ind w:firstLine="709" w:left="0"/>
        <w:jc w:val="both"/>
        <w:rPr>
          <w:sz w:val="24"/>
          <w:szCs w:val="24"/>
        </w:rPr>
      </w:pPr>
      <w:r>
        <w:rPr>
          <w:sz w:val="24"/>
          <w:szCs w:val="24"/>
        </w:rPr>
        <w:t>Поставщик обязан подписать акты сверки взаимных расчетов, направленные Покупателем в 2 (двух) экземплярах, и вернуть 1 (один) экземпляр Покупателю в течение 5 (пяти) рабочих дней с даты получения экземпляров актов сверки расчетов от Покупателя</w:t>
      </w:r>
    </w:p>
    <w:p>
      <w:pPr>
        <w:pStyle w:val="Normal"/>
        <w:widowControl/>
        <w:numPr>
          <w:ilvl w:val="1"/>
          <w:numId w:val="84"/>
        </w:numPr>
        <w:shd w:val="clear" w:color="auto" w:fill="FFFFFF"/>
        <w:tabs>
          <w:tab w:val="clear" w:pos="708"/>
          <w:tab w:val="left" w:pos="0" w:leader="none"/>
          <w:tab w:val="left" w:pos="567" w:leader="none"/>
          <w:tab w:val="left" w:pos="716" w:leader="none"/>
          <w:tab w:val="left" w:pos="1134" w:leader="none"/>
          <w:tab w:val="left" w:pos="1276" w:leader="none"/>
        </w:tabs>
        <w:ind w:firstLine="709" w:left="0"/>
        <w:jc w:val="both"/>
        <w:rPr>
          <w:sz w:val="24"/>
          <w:szCs w:val="24"/>
        </w:rPr>
      </w:pPr>
      <w:r>
        <w:rPr>
          <w:sz w:val="24"/>
          <w:szCs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 Покупатель направляет Поставщику уведомление о проведении сальдо взаимных обязательств Сторон по Договору</w:t>
      </w:r>
    </w:p>
    <w:p>
      <w:pPr>
        <w:pStyle w:val="Normal"/>
        <w:widowControl/>
        <w:tabs>
          <w:tab w:val="clear" w:pos="708"/>
          <w:tab w:val="left" w:pos="567" w:leader="none"/>
          <w:tab w:val="left" w:pos="716" w:leader="none"/>
          <w:tab w:val="left" w:pos="1134" w:leader="none"/>
          <w:tab w:val="left" w:pos="1276" w:leader="none"/>
        </w:tabs>
        <w:ind w:hanging="0" w:left="709"/>
        <w:jc w:val="both"/>
        <w:rPr>
          <w:sz w:val="24"/>
          <w:szCs w:val="24"/>
        </w:rPr>
      </w:pPr>
      <w:r>
        <w:rPr>
          <w:sz w:val="24"/>
          <w:szCs w:val="24"/>
        </w:rPr>
      </w:r>
    </w:p>
    <w:p>
      <w:pPr>
        <w:pStyle w:val="Normal"/>
        <w:widowControl/>
        <w:numPr>
          <w:ilvl w:val="0"/>
          <w:numId w:val="85"/>
        </w:numPr>
        <w:shd w:val="clear" w:color="auto" w:fill="FFFFFF"/>
        <w:tabs>
          <w:tab w:val="clear" w:pos="708"/>
          <w:tab w:val="left" w:pos="284" w:leader="none"/>
        </w:tabs>
        <w:ind w:hanging="0" w:left="0"/>
        <w:jc w:val="center"/>
        <w:rPr>
          <w:b/>
          <w:bCs/>
          <w:sz w:val="24"/>
          <w:szCs w:val="24"/>
        </w:rPr>
      </w:pPr>
      <w:r>
        <w:rPr>
          <w:b/>
          <w:bCs/>
          <w:sz w:val="24"/>
          <w:szCs w:val="24"/>
        </w:rPr>
        <w:t>Порядок поставки и приемки Товара</w:t>
      </w:r>
    </w:p>
    <w:p>
      <w:pPr>
        <w:pStyle w:val="Normal"/>
        <w:widowControl/>
        <w:shd w:val="clear" w:color="auto" w:fill="FFFFFF"/>
        <w:tabs>
          <w:tab w:val="clear" w:pos="708"/>
          <w:tab w:val="left" w:pos="284" w:leader="none"/>
        </w:tabs>
        <w:jc w:val="center"/>
        <w:rPr>
          <w:b/>
          <w:bCs/>
          <w:sz w:val="24"/>
          <w:szCs w:val="24"/>
        </w:rPr>
      </w:pPr>
      <w:r>
        <w:rPr>
          <w:b/>
          <w:bCs/>
          <w:sz w:val="24"/>
          <w:szCs w:val="24"/>
        </w:rPr>
      </w:r>
    </w:p>
    <w:p>
      <w:pPr>
        <w:pStyle w:val="Normal"/>
        <w:widowControl/>
        <w:numPr>
          <w:ilvl w:val="1"/>
          <w:numId w:val="86"/>
        </w:numPr>
        <w:shd w:val="clear" w:color="auto" w:fill="FFFFFF"/>
        <w:tabs>
          <w:tab w:val="clear" w:pos="708"/>
          <w:tab w:val="left" w:pos="1134" w:leader="none"/>
          <w:tab w:val="left" w:pos="1418" w:leader="none"/>
        </w:tabs>
        <w:spacing w:before="0" w:after="0"/>
        <w:ind w:firstLine="709" w:left="0"/>
        <w:contextualSpacing/>
        <w:jc w:val="both"/>
        <w:rPr>
          <w:sz w:val="24"/>
          <w:szCs w:val="24"/>
        </w:rPr>
      </w:pPr>
      <w:r>
        <w:rPr>
          <w:sz w:val="24"/>
          <w:szCs w:val="24"/>
        </w:rPr>
        <w:t>Поставка Товара (партии Товара) осуществляется по Заявке в следующем порядке:</w:t>
      </w:r>
    </w:p>
    <w:p>
      <w:pPr>
        <w:pStyle w:val="Normal"/>
        <w:widowControl/>
        <w:numPr>
          <w:ilvl w:val="2"/>
          <w:numId w:val="87"/>
        </w:numPr>
        <w:shd w:val="clear" w:color="auto" w:fill="FFFFFF"/>
        <w:tabs>
          <w:tab w:val="clear" w:pos="708"/>
          <w:tab w:val="left" w:pos="1134" w:leader="none"/>
          <w:tab w:val="left" w:pos="1418" w:leader="none"/>
        </w:tabs>
        <w:spacing w:before="0" w:after="0"/>
        <w:ind w:firstLine="709" w:left="0"/>
        <w:contextualSpacing/>
        <w:jc w:val="both"/>
        <w:rPr>
          <w:sz w:val="24"/>
          <w:szCs w:val="24"/>
        </w:rPr>
      </w:pPr>
      <w:r>
        <w:rPr>
          <w:sz w:val="24"/>
          <w:szCs w:val="24"/>
        </w:rPr>
        <w:t>Покупатель в срок не позднее 5</w:t>
      </w:r>
      <w:r>
        <w:rPr>
          <w:bCs/>
          <w:sz w:val="24"/>
          <w:szCs w:val="24"/>
        </w:rPr>
        <w:t xml:space="preserve"> (пяти) календарных дней</w:t>
      </w:r>
      <w:r>
        <w:rPr>
          <w:sz w:val="24"/>
          <w:szCs w:val="24"/>
        </w:rPr>
        <w:t xml:space="preserve"> до предполагаемой даты поставки Товара (партии Товара) направляет Поставщику Заявку по электронной почте на адрес: с последующим направлением оригинала Заявки по адресу, указанному в разделе 14 Договора.</w:t>
      </w:r>
    </w:p>
    <w:p>
      <w:pPr>
        <w:pStyle w:val="Normal"/>
        <w:widowControl/>
        <w:numPr>
          <w:ilvl w:val="2"/>
          <w:numId w:val="88"/>
        </w:numPr>
        <w:tabs>
          <w:tab w:val="clear" w:pos="708"/>
          <w:tab w:val="left" w:pos="993" w:leader="none"/>
          <w:tab w:val="left" w:pos="1418" w:leader="none"/>
        </w:tabs>
        <w:spacing w:before="0" w:after="0"/>
        <w:ind w:firstLine="709" w:left="0"/>
        <w:contextualSpacing/>
        <w:jc w:val="both"/>
        <w:rPr>
          <w:sz w:val="24"/>
          <w:szCs w:val="24"/>
        </w:rPr>
      </w:pPr>
      <w:r>
        <w:rPr>
          <w:sz w:val="24"/>
          <w:szCs w:val="24"/>
        </w:rPr>
        <w:t>Поставщик в течение 3 (трех) календарных дней с даты получения Заявки подтверждает поставку Товара (партии Товара), указанного Покупателем в Заявке, по электронной почте на адрес: MasterinNN@rushydro.ru с последующим направлением письменного ответа по адресу, указанному в разделе 14 Договора.</w:t>
      </w:r>
    </w:p>
    <w:p>
      <w:pPr>
        <w:pStyle w:val="Normal"/>
        <w:widowControl/>
        <w:numPr>
          <w:ilvl w:val="2"/>
          <w:numId w:val="89"/>
        </w:numPr>
        <w:tabs>
          <w:tab w:val="clear" w:pos="708"/>
          <w:tab w:val="left" w:pos="993" w:leader="none"/>
          <w:tab w:val="left" w:pos="1418" w:leader="none"/>
        </w:tabs>
        <w:spacing w:before="0" w:after="0"/>
        <w:ind w:firstLine="709" w:left="0"/>
        <w:contextualSpacing/>
        <w:jc w:val="both"/>
        <w:rPr>
          <w:sz w:val="24"/>
          <w:szCs w:val="24"/>
        </w:rPr>
      </w:pPr>
      <w:r>
        <w:rPr>
          <w:sz w:val="24"/>
          <w:szCs w:val="24"/>
        </w:rPr>
        <w:t>Покупатель не позднее 1 (одного) рабочего дня до предполагаемой даты поставки Товара (партии Товара) вправе вносить изменения в Заявку путем письменного уведомления Поставщика в порядке, предусмотренном для направления Заявки. Поставщик в течение 2 (двух) рабочих дней с даты получения изменений к ранее направленной Заявке рассматривает соответствующего уведомление Покупателя и подтверждает поставку Товара (партии Товара) в соответствии с измененной Заявкой в порядке, указанном в пункте 3.1.2 Договора.</w:t>
      </w:r>
    </w:p>
    <w:p>
      <w:pPr>
        <w:pStyle w:val="Normal"/>
        <w:widowControl/>
        <w:numPr>
          <w:ilvl w:val="2"/>
          <w:numId w:val="90"/>
        </w:numPr>
        <w:tabs>
          <w:tab w:val="clear" w:pos="708"/>
          <w:tab w:val="left" w:pos="993" w:leader="none"/>
          <w:tab w:val="left" w:pos="1418" w:leader="none"/>
        </w:tabs>
        <w:spacing w:before="0" w:after="0"/>
        <w:ind w:firstLine="709" w:left="0"/>
        <w:contextualSpacing/>
        <w:jc w:val="both"/>
        <w:rPr>
          <w:sz w:val="24"/>
          <w:szCs w:val="24"/>
        </w:rPr>
      </w:pPr>
      <w:r>
        <w:rPr>
          <w:sz w:val="24"/>
          <w:szCs w:val="24"/>
        </w:rPr>
        <w:t>В случае невозможности поставить Товар (партию Товара) по Заявке Поставщик обязан незамедлительно известить об этом Покупателя с указанием причин невозможности выполнения поставки Товара и сроков их устранения.</w:t>
      </w:r>
    </w:p>
    <w:p>
      <w:pPr>
        <w:pStyle w:val="Normal"/>
        <w:widowControl/>
        <w:numPr>
          <w:ilvl w:val="2"/>
          <w:numId w:val="91"/>
        </w:numPr>
        <w:tabs>
          <w:tab w:val="clear" w:pos="708"/>
          <w:tab w:val="left" w:pos="993" w:leader="none"/>
          <w:tab w:val="left" w:pos="1418" w:leader="none"/>
        </w:tabs>
        <w:spacing w:before="0" w:after="0"/>
        <w:ind w:firstLine="709" w:left="0"/>
        <w:contextualSpacing/>
        <w:jc w:val="both"/>
        <w:rPr>
          <w:sz w:val="24"/>
          <w:szCs w:val="24"/>
        </w:rPr>
      </w:pPr>
      <w:r>
        <w:rPr>
          <w:sz w:val="24"/>
          <w:szCs w:val="24"/>
        </w:rPr>
        <w:t xml:space="preserve">Стороны вправе запросить друг у друга необходимые дополнительные сведения для поставки Товара по Заявке. </w:t>
      </w:r>
    </w:p>
    <w:p>
      <w:pPr>
        <w:pStyle w:val="ListParagraph"/>
        <w:numPr>
          <w:ilvl w:val="2"/>
          <w:numId w:val="92"/>
        </w:numPr>
        <w:tabs>
          <w:tab w:val="clear" w:pos="708"/>
          <w:tab w:val="left" w:pos="993" w:leader="none"/>
          <w:tab w:val="left" w:pos="1418" w:leader="none"/>
        </w:tabs>
        <w:ind w:firstLine="709" w:left="0"/>
        <w:jc w:val="both"/>
        <w:rPr>
          <w:sz w:val="24"/>
          <w:szCs w:val="24"/>
        </w:rPr>
      </w:pPr>
      <w:r>
        <w:rPr>
          <w:sz w:val="24"/>
          <w:szCs w:val="24"/>
        </w:rPr>
        <w:t>В случае, указанном в пункте 3.1.4 Договора, Покупатель вправе по своему усмотрению:</w:t>
      </w:r>
    </w:p>
    <w:p>
      <w:pPr>
        <w:pStyle w:val="Normal"/>
        <w:tabs>
          <w:tab w:val="clear" w:pos="708"/>
          <w:tab w:val="left" w:pos="993" w:leader="none"/>
        </w:tabs>
        <w:ind w:firstLine="709"/>
        <w:jc w:val="both"/>
        <w:rPr>
          <w:sz w:val="24"/>
          <w:szCs w:val="24"/>
        </w:rPr>
      </w:pPr>
      <w:r>
        <w:rPr>
          <w:sz w:val="24"/>
          <w:szCs w:val="24"/>
        </w:rPr>
        <w:t xml:space="preserve">3.1.5.1. Направить новую Заявку в порядке, установленном пунктом 3.1.1 Договора                   в согласованные с поставщиком сроки; </w:t>
      </w:r>
    </w:p>
    <w:p>
      <w:pPr>
        <w:pStyle w:val="Normal"/>
        <w:tabs>
          <w:tab w:val="clear" w:pos="708"/>
          <w:tab w:val="left" w:pos="1134" w:leader="none"/>
        </w:tabs>
        <w:ind w:firstLine="709"/>
        <w:jc w:val="both"/>
        <w:rPr>
          <w:sz w:val="24"/>
          <w:szCs w:val="24"/>
        </w:rPr>
      </w:pPr>
      <w:r>
        <w:rPr>
          <w:sz w:val="24"/>
          <w:szCs w:val="24"/>
        </w:rPr>
        <w:t>3.1.5.2. Расторгнуть Договор в порядке, установленном пунктом 11.2 Договора.</w:t>
      </w:r>
    </w:p>
    <w:p>
      <w:pPr>
        <w:pStyle w:val="ListParagraph"/>
        <w:widowControl/>
        <w:numPr>
          <w:ilvl w:val="2"/>
          <w:numId w:val="93"/>
        </w:numPr>
        <w:tabs>
          <w:tab w:val="clear" w:pos="708"/>
          <w:tab w:val="left" w:pos="993" w:leader="none"/>
          <w:tab w:val="left" w:pos="1418" w:leader="none"/>
        </w:tabs>
        <w:ind w:firstLine="709" w:left="0"/>
        <w:jc w:val="both"/>
        <w:rPr>
          <w:sz w:val="24"/>
          <w:szCs w:val="24"/>
        </w:rPr>
      </w:pPr>
      <w:r>
        <w:rPr>
          <w:sz w:val="24"/>
          <w:szCs w:val="24"/>
        </w:rPr>
        <w:t>Стороны вправе запросить друг у друга необходимые дополнительные сведения для поставки Товара по Заявке.</w:t>
      </w:r>
    </w:p>
    <w:p>
      <w:pPr>
        <w:pStyle w:val="Normal"/>
        <w:widowControl/>
        <w:numPr>
          <w:ilvl w:val="1"/>
          <w:numId w:val="94"/>
        </w:numPr>
        <w:shd w:val="clear" w:color="auto" w:fill="FFFFFF"/>
        <w:tabs>
          <w:tab w:val="clear" w:pos="708"/>
          <w:tab w:val="left" w:pos="1134" w:leader="none"/>
          <w:tab w:val="left" w:pos="1418" w:leader="none"/>
        </w:tabs>
        <w:spacing w:before="0" w:after="0"/>
        <w:ind w:firstLine="709" w:left="0"/>
        <w:contextualSpacing/>
        <w:jc w:val="both"/>
        <w:rPr>
          <w:bCs/>
          <w:sz w:val="24"/>
          <w:szCs w:val="24"/>
        </w:rPr>
      </w:pPr>
      <w:r>
        <w:rPr>
          <w:bCs/>
          <w:sz w:val="24"/>
          <w:szCs w:val="24"/>
        </w:rPr>
        <w:t xml:space="preserve">В течение 5 (пяти) рабочих дней с даты заключения Договора </w:t>
      </w:r>
      <w:r>
        <w:rPr>
          <w:sz w:val="24"/>
          <w:szCs w:val="24"/>
        </w:rPr>
        <w:t>Стороны определяют своих представителей, уполномоченных подписывать Заявки (изменения к ним) и принимать Заявки к исполнению, и письменно сообщают друг другу</w:t>
      </w:r>
      <w:r>
        <w:rPr>
          <w:bCs/>
        </w:rPr>
        <w:t xml:space="preserve"> </w:t>
      </w:r>
      <w:r>
        <w:rPr>
          <w:bCs/>
          <w:sz w:val="24"/>
          <w:szCs w:val="24"/>
        </w:rPr>
        <w:t>контакты и должность таких представителей</w:t>
      </w:r>
      <w:r>
        <w:rPr>
          <w:sz w:val="24"/>
          <w:szCs w:val="24"/>
        </w:rPr>
        <w:t xml:space="preserve">. </w:t>
      </w:r>
    </w:p>
    <w:p>
      <w:pPr>
        <w:pStyle w:val="Normal"/>
        <w:widowControl/>
        <w:numPr>
          <w:ilvl w:val="1"/>
          <w:numId w:val="95"/>
        </w:numPr>
        <w:shd w:val="clear" w:color="auto" w:fill="FFFFFF"/>
        <w:tabs>
          <w:tab w:val="clear" w:pos="708"/>
          <w:tab w:val="left" w:pos="1134" w:leader="none"/>
        </w:tabs>
        <w:spacing w:before="0" w:after="0"/>
        <w:ind w:firstLine="709" w:left="0"/>
        <w:contextualSpacing/>
        <w:jc w:val="both"/>
        <w:rPr>
          <w:bCs/>
          <w:sz w:val="24"/>
          <w:szCs w:val="24"/>
        </w:rPr>
      </w:pPr>
      <w:r>
        <w:rPr>
          <w:bCs/>
          <w:sz w:val="24"/>
          <w:szCs w:val="24"/>
        </w:rPr>
        <w:t>Качество и количество поставляемого по Договору Товара должны соответствовать Заявке, требованиям Договора,</w:t>
      </w:r>
      <w:r>
        <w:rPr>
          <w:b/>
          <w:bCs/>
          <w:sz w:val="24"/>
          <w:szCs w:val="24"/>
        </w:rPr>
        <w:t xml:space="preserve"> </w:t>
      </w:r>
      <w:r>
        <w:rPr>
          <w:bCs/>
          <w:sz w:val="24"/>
          <w:szCs w:val="24"/>
        </w:rPr>
        <w:t xml:space="preserve">в том числе, указанным в Спецификации (Приложение № 1 к Договору), а также Применимого права. </w:t>
      </w:r>
    </w:p>
    <w:p>
      <w:pPr>
        <w:pStyle w:val="Normal"/>
        <w:widowControl/>
        <w:numPr>
          <w:ilvl w:val="1"/>
          <w:numId w:val="96"/>
        </w:numPr>
        <w:shd w:val="clear" w:color="auto" w:fill="FFFFFF"/>
        <w:tabs>
          <w:tab w:val="clear" w:pos="708"/>
          <w:tab w:val="left" w:pos="1134" w:leader="none"/>
        </w:tabs>
        <w:spacing w:before="0" w:after="0"/>
        <w:ind w:firstLine="709" w:left="0"/>
        <w:contextualSpacing/>
        <w:jc w:val="both"/>
        <w:rPr>
          <w:bCs/>
          <w:sz w:val="24"/>
          <w:szCs w:val="24"/>
        </w:rPr>
      </w:pPr>
      <w:r>
        <w:rPr>
          <w:bCs/>
          <w:sz w:val="24"/>
          <w:szCs w:val="24"/>
        </w:rPr>
        <w:t>Поставляемый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и не обременен правами третьих лиц.</w:t>
      </w:r>
    </w:p>
    <w:p>
      <w:pPr>
        <w:pStyle w:val="Normal"/>
        <w:widowControl/>
        <w:numPr>
          <w:ilvl w:val="1"/>
          <w:numId w:val="97"/>
        </w:numPr>
        <w:shd w:val="clear" w:color="auto" w:fill="FFFFFF"/>
        <w:tabs>
          <w:tab w:val="clear" w:pos="708"/>
          <w:tab w:val="left" w:pos="1134" w:leader="none"/>
        </w:tabs>
        <w:spacing w:before="0" w:after="0"/>
        <w:ind w:firstLine="709" w:left="0"/>
        <w:contextualSpacing/>
        <w:jc w:val="both"/>
        <w:rPr>
          <w:bCs/>
          <w:sz w:val="24"/>
          <w:szCs w:val="24"/>
        </w:rPr>
      </w:pPr>
      <w:r>
        <w:rPr>
          <w:bCs/>
          <w:sz w:val="24"/>
          <w:szCs w:val="24"/>
        </w:rPr>
        <w:t xml:space="preserve">Одновременно с передачей Товара Поставщик обязан передать Покупателю оригиналы следующих относящихся к Товару документов: </w:t>
      </w:r>
    </w:p>
    <w:p>
      <w:pPr>
        <w:pStyle w:val="Normal"/>
        <w:widowControl/>
        <w:numPr>
          <w:ilvl w:val="0"/>
          <w:numId w:val="2"/>
        </w:numPr>
        <w:tabs>
          <w:tab w:val="clear" w:pos="708"/>
          <w:tab w:val="left" w:pos="1418" w:leader="none"/>
        </w:tabs>
        <w:ind w:firstLine="709" w:left="0"/>
        <w:jc w:val="both"/>
        <w:rPr>
          <w:sz w:val="24"/>
          <w:szCs w:val="24"/>
        </w:rPr>
      </w:pPr>
      <w:r>
        <w:rPr>
          <w:sz w:val="24"/>
          <w:szCs w:val="24"/>
        </w:rPr>
        <w:t>сертификат качества в 1 экз.;</w:t>
      </w:r>
    </w:p>
    <w:p>
      <w:pPr>
        <w:pStyle w:val="Normal"/>
        <w:widowControl/>
        <w:numPr>
          <w:ilvl w:val="0"/>
          <w:numId w:val="2"/>
        </w:numPr>
        <w:tabs>
          <w:tab w:val="clear" w:pos="708"/>
          <w:tab w:val="left" w:pos="1418" w:leader="none"/>
        </w:tabs>
        <w:ind w:firstLine="709" w:left="0"/>
        <w:jc w:val="both"/>
        <w:rPr>
          <w:sz w:val="24"/>
          <w:szCs w:val="24"/>
        </w:rPr>
      </w:pPr>
      <w:r>
        <w:rPr>
          <w:sz w:val="24"/>
          <w:szCs w:val="24"/>
        </w:rPr>
        <w:t>паспорт качества в 1 экз.;</w:t>
      </w:r>
    </w:p>
    <w:p>
      <w:pPr>
        <w:pStyle w:val="Normal"/>
        <w:widowControl/>
        <w:numPr>
          <w:ilvl w:val="0"/>
          <w:numId w:val="3"/>
        </w:numPr>
        <w:tabs>
          <w:tab w:val="clear" w:pos="708"/>
          <w:tab w:val="left" w:pos="1418" w:leader="none"/>
        </w:tabs>
        <w:ind w:firstLine="709" w:left="0"/>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Товара;</w:t>
      </w:r>
    </w:p>
    <w:p>
      <w:pPr>
        <w:pStyle w:val="Normal"/>
        <w:widowControl/>
        <w:numPr>
          <w:ilvl w:val="0"/>
          <w:numId w:val="3"/>
        </w:numPr>
        <w:shd w:val="clear" w:color="auto" w:fill="FFFFFF"/>
        <w:tabs>
          <w:tab w:val="clear" w:pos="708"/>
          <w:tab w:val="left" w:pos="1418" w:leader="none"/>
        </w:tabs>
        <w:ind w:firstLine="709" w:left="0"/>
        <w:jc w:val="both"/>
        <w:rPr>
          <w:sz w:val="24"/>
          <w:szCs w:val="24"/>
        </w:rPr>
      </w:pPr>
      <w:r>
        <w:rPr>
          <w:sz w:val="24"/>
          <w:szCs w:val="24"/>
        </w:rPr>
        <w:t>накладная ТОРГ-12/УПД в 2 (двух) экз.;</w:t>
      </w:r>
    </w:p>
    <w:p>
      <w:pPr>
        <w:pStyle w:val="Normal"/>
        <w:widowControl/>
        <w:numPr>
          <w:ilvl w:val="0"/>
          <w:numId w:val="3"/>
        </w:numPr>
        <w:shd w:val="clear" w:color="auto" w:fill="FFFFFF"/>
        <w:tabs>
          <w:tab w:val="clear" w:pos="708"/>
          <w:tab w:val="left" w:pos="1418" w:leader="none"/>
        </w:tabs>
        <w:ind w:firstLine="709" w:left="0"/>
        <w:jc w:val="both"/>
        <w:rPr>
          <w:sz w:val="24"/>
          <w:szCs w:val="24"/>
        </w:rPr>
      </w:pPr>
      <w:r>
        <w:rPr>
          <w:sz w:val="24"/>
          <w:szCs w:val="24"/>
        </w:rPr>
        <w:t>товарно-транспортная накладная в 2 (двух) экз.</w:t>
      </w:r>
    </w:p>
    <w:p>
      <w:pPr>
        <w:pStyle w:val="Normal"/>
        <w:widowControl/>
        <w:numPr>
          <w:ilvl w:val="1"/>
          <w:numId w:val="98"/>
        </w:numPr>
        <w:shd w:val="clear" w:color="auto" w:fill="FFFFFF"/>
        <w:tabs>
          <w:tab w:val="clear" w:pos="708"/>
          <w:tab w:val="left" w:pos="1134" w:leader="none"/>
          <w:tab w:val="left" w:pos="1418" w:leader="none"/>
        </w:tabs>
        <w:spacing w:before="0" w:after="0"/>
        <w:ind w:firstLine="709" w:left="0"/>
        <w:contextualSpacing/>
        <w:jc w:val="both"/>
        <w:rPr>
          <w:bCs/>
          <w:sz w:val="24"/>
          <w:szCs w:val="24"/>
        </w:rPr>
      </w:pPr>
      <w:r>
        <w:rPr>
          <w:bCs/>
          <w:sz w:val="24"/>
          <w:szCs w:val="24"/>
        </w:rPr>
        <w:t xml:space="preserve">Поставка Товара производится на объект, указанный Покупателем в заявке на отгрузку. </w:t>
      </w:r>
    </w:p>
    <w:p>
      <w:pPr>
        <w:pStyle w:val="Normal"/>
        <w:widowControl/>
        <w:numPr>
          <w:ilvl w:val="1"/>
          <w:numId w:val="99"/>
        </w:numPr>
        <w:shd w:val="clear" w:color="auto" w:fill="FFFFFF"/>
        <w:tabs>
          <w:tab w:val="clear" w:pos="708"/>
          <w:tab w:val="left" w:pos="1134" w:leader="none"/>
          <w:tab w:val="left" w:pos="1418" w:leader="none"/>
        </w:tabs>
        <w:spacing w:before="0" w:after="0"/>
        <w:ind w:firstLine="709" w:left="0"/>
        <w:contextualSpacing/>
        <w:jc w:val="both"/>
        <w:rPr>
          <w:bCs/>
          <w:sz w:val="24"/>
          <w:szCs w:val="24"/>
        </w:rPr>
      </w:pPr>
      <w:r>
        <w:rPr>
          <w:bCs/>
          <w:sz w:val="24"/>
          <w:szCs w:val="24"/>
        </w:rPr>
        <w:t xml:space="preserve">Поставщик обязан обеспечить присутствие во время приемки Товара и в месте поставки своего представителя, уполномоченного надлежащим образом оформленной доверенностью на передачу Товара Покупателю,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pPr>
        <w:pStyle w:val="Normal"/>
        <w:widowControl/>
        <w:shd w:val="clear" w:color="auto" w:fill="FFFFFF"/>
        <w:tabs>
          <w:tab w:val="clear" w:pos="708"/>
          <w:tab w:val="left" w:pos="1134" w:leader="none"/>
          <w:tab w:val="left" w:pos="1418" w:leader="none"/>
        </w:tabs>
        <w:spacing w:before="0" w:after="0"/>
        <w:ind w:hanging="0" w:left="709"/>
        <w:contextualSpacing/>
        <w:jc w:val="both"/>
        <w:rPr>
          <w:bCs/>
          <w:sz w:val="24"/>
          <w:szCs w:val="24"/>
        </w:rPr>
      </w:pPr>
      <w:r>
        <w:rPr>
          <w:bCs/>
          <w:sz w:val="24"/>
          <w:szCs w:val="24"/>
        </w:rPr>
        <w:t>Оригинал доверенности представителя Поставщика подлежит передаче Покупателю.</w:t>
      </w:r>
    </w:p>
    <w:p>
      <w:pPr>
        <w:pStyle w:val="Normal"/>
        <w:widowControl/>
        <w:numPr>
          <w:ilvl w:val="1"/>
          <w:numId w:val="100"/>
        </w:numPr>
        <w:shd w:val="clear" w:color="auto" w:fill="FFFFFF"/>
        <w:tabs>
          <w:tab w:val="clear" w:pos="708"/>
          <w:tab w:val="left" w:pos="1134" w:leader="none"/>
          <w:tab w:val="left" w:pos="1418" w:leader="none"/>
        </w:tabs>
        <w:spacing w:before="0" w:after="0"/>
        <w:ind w:firstLine="709" w:left="0"/>
        <w:contextualSpacing/>
        <w:jc w:val="both"/>
        <w:rPr>
          <w:bCs/>
          <w:sz w:val="24"/>
          <w:szCs w:val="24"/>
        </w:rPr>
      </w:pPr>
      <w:r>
        <w:rPr>
          <w:bCs/>
          <w:sz w:val="24"/>
          <w:szCs w:val="24"/>
        </w:rPr>
        <w:t>В случае неявки представителя Поставщика и / или его отказа от подписания Акта рекламации при приемке Товара,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pPr>
        <w:pStyle w:val="Normal"/>
        <w:widowControl/>
        <w:numPr>
          <w:ilvl w:val="1"/>
          <w:numId w:val="101"/>
        </w:numPr>
        <w:shd w:val="clear" w:color="auto" w:fill="FFFFFF"/>
        <w:tabs>
          <w:tab w:val="clear" w:pos="708"/>
          <w:tab w:val="left" w:pos="1134" w:leader="none"/>
          <w:tab w:val="left" w:pos="1418" w:leader="none"/>
        </w:tabs>
        <w:spacing w:before="0" w:after="0"/>
        <w:ind w:firstLine="709" w:left="0"/>
        <w:contextualSpacing/>
        <w:jc w:val="both"/>
        <w:rPr>
          <w:sz w:val="24"/>
          <w:szCs w:val="24"/>
        </w:rPr>
      </w:pPr>
      <w:r>
        <w:rPr>
          <w:sz w:val="24"/>
          <w:szCs w:val="24"/>
        </w:rPr>
        <w:t xml:space="preserve">Погрузка, доставка, разгрузка </w:t>
      </w:r>
      <w:r>
        <w:rPr>
          <w:bCs/>
          <w:sz w:val="24"/>
          <w:szCs w:val="24"/>
        </w:rPr>
        <w:t>осуществляется</w:t>
      </w:r>
      <w:r>
        <w:rPr>
          <w:sz w:val="24"/>
          <w:szCs w:val="24"/>
        </w:rPr>
        <w:t xml:space="preserve"> Поставщиком. Стоимость погрузки, доставки, разгрузки включена в Цену Договора.</w:t>
      </w:r>
    </w:p>
    <w:p>
      <w:pPr>
        <w:pStyle w:val="Normal"/>
        <w:widowControl/>
        <w:numPr>
          <w:ilvl w:val="1"/>
          <w:numId w:val="102"/>
        </w:numPr>
        <w:shd w:val="clear" w:color="auto" w:fill="FFFFFF"/>
        <w:tabs>
          <w:tab w:val="clear" w:pos="708"/>
          <w:tab w:val="left" w:pos="1134" w:leader="none"/>
          <w:tab w:val="left" w:pos="1418" w:leader="none"/>
        </w:tabs>
        <w:spacing w:before="0" w:after="0"/>
        <w:ind w:firstLine="709" w:left="0"/>
        <w:contextualSpacing/>
        <w:jc w:val="both"/>
        <w:rPr/>
      </w:pPr>
      <w:r>
        <w:rPr>
          <w:sz w:val="24"/>
          <w:szCs w:val="24"/>
        </w:rPr>
        <w:t>Досрочная поставка Товара допускается только при условии получения Поставщиком письменного согласия Покупателя.</w:t>
      </w:r>
    </w:p>
    <w:p>
      <w:pPr>
        <w:pStyle w:val="Normal"/>
        <w:widowControl/>
        <w:numPr>
          <w:ilvl w:val="1"/>
          <w:numId w:val="103"/>
        </w:numPr>
        <w:shd w:val="clear" w:color="auto" w:fill="FFFFFF"/>
        <w:tabs>
          <w:tab w:val="clear" w:pos="708"/>
          <w:tab w:val="left" w:pos="1418" w:leader="none"/>
        </w:tabs>
        <w:spacing w:before="0" w:after="0"/>
        <w:ind w:firstLine="709" w:left="0"/>
        <w:contextualSpacing/>
        <w:jc w:val="both"/>
        <w:rPr>
          <w:sz w:val="24"/>
          <w:szCs w:val="24"/>
        </w:rPr>
      </w:pPr>
      <w:bookmarkStart w:id="4" w:name="_Ref361396594"/>
      <w:r>
        <w:rPr>
          <w:sz w:val="24"/>
          <w:szCs w:val="24"/>
        </w:rPr>
        <w:t>Датой поставки Товара является дата подписания Сторонами Накладной</w:t>
        <w:br/>
        <w:t>ТОРГ-12</w:t>
      </w:r>
      <w:bookmarkEnd w:id="4"/>
      <w:r>
        <w:rPr>
          <w:sz w:val="24"/>
          <w:szCs w:val="24"/>
        </w:rPr>
        <w:t>/УПД.</w:t>
      </w:r>
    </w:p>
    <w:p>
      <w:pPr>
        <w:pStyle w:val="Normal"/>
        <w:widowControl/>
        <w:numPr>
          <w:ilvl w:val="1"/>
          <w:numId w:val="104"/>
        </w:numPr>
        <w:shd w:val="clear" w:color="auto" w:fill="FFFFFF"/>
        <w:tabs>
          <w:tab w:val="clear" w:pos="708"/>
          <w:tab w:val="left" w:pos="1418" w:leader="none"/>
        </w:tabs>
        <w:spacing w:before="0" w:after="0"/>
        <w:ind w:firstLine="709" w:left="0"/>
        <w:contextualSpacing/>
        <w:jc w:val="both"/>
        <w:rPr>
          <w:sz w:val="24"/>
          <w:szCs w:val="24"/>
        </w:rPr>
      </w:pPr>
      <w:r>
        <w:rPr>
          <w:sz w:val="24"/>
          <w:szCs w:val="24"/>
        </w:rPr>
        <w:t xml:space="preserve">Приемка Товара осуществляется Покупателем в дату поставки Товара в присутствии представителя Поставщика. </w:t>
      </w:r>
    </w:p>
    <w:p>
      <w:pPr>
        <w:pStyle w:val="Normal"/>
        <w:widowControl/>
        <w:numPr>
          <w:ilvl w:val="1"/>
          <w:numId w:val="105"/>
        </w:numPr>
        <w:tabs>
          <w:tab w:val="clear" w:pos="708"/>
          <w:tab w:val="left" w:pos="1418" w:leader="none"/>
        </w:tabs>
        <w:spacing w:before="0" w:after="0"/>
        <w:ind w:firstLine="709" w:left="0"/>
        <w:contextualSpacing/>
        <w:jc w:val="both"/>
        <w:rPr>
          <w:sz w:val="24"/>
          <w:szCs w:val="24"/>
        </w:rPr>
      </w:pPr>
      <w:r>
        <w:rPr>
          <w:sz w:val="24"/>
          <w:szCs w:val="24"/>
        </w:rPr>
        <w:t>Если при передаче Товара Покупателю будет обнаружено несоответствие Товара требованиям Заявки и Договора, Покупатель вправе отказаться от получения Товара, сделав соответствующую отметку в Накладной ТОРГ-12/УПД.</w:t>
      </w:r>
    </w:p>
    <w:p>
      <w:pPr>
        <w:pStyle w:val="Normal"/>
        <w:widowControl/>
        <w:numPr>
          <w:ilvl w:val="1"/>
          <w:numId w:val="106"/>
        </w:numPr>
        <w:tabs>
          <w:tab w:val="clear" w:pos="708"/>
          <w:tab w:val="left" w:pos="1418" w:leader="none"/>
        </w:tabs>
        <w:spacing w:before="0" w:after="0"/>
        <w:ind w:firstLine="709" w:left="0"/>
        <w:contextualSpacing/>
        <w:jc w:val="both"/>
        <w:rPr>
          <w:sz w:val="24"/>
          <w:szCs w:val="24"/>
        </w:rPr>
      </w:pPr>
      <w:r>
        <w:rPr>
          <w:sz w:val="24"/>
          <w:szCs w:val="24"/>
        </w:rPr>
        <w:t xml:space="preserve">В случае обнаружения недопоставки,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pPr>
        <w:pStyle w:val="Normal"/>
        <w:shd w:val="clear" w:color="auto" w:fill="FFFFFF"/>
        <w:tabs>
          <w:tab w:val="clear" w:pos="708"/>
          <w:tab w:val="left" w:pos="1134" w:leader="none"/>
          <w:tab w:val="left" w:pos="1418" w:leader="none"/>
          <w:tab w:val="left" w:pos="1851" w:leader="none"/>
        </w:tabs>
        <w:ind w:firstLine="709"/>
        <w:jc w:val="both"/>
        <w:rPr>
          <w:sz w:val="24"/>
          <w:szCs w:val="24"/>
        </w:rPr>
      </w:pPr>
      <w:r>
        <w:rPr>
          <w:sz w:val="24"/>
          <w:szCs w:val="24"/>
        </w:rPr>
        <w:t>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pPr>
        <w:pStyle w:val="Normal"/>
        <w:shd w:val="clear" w:color="auto" w:fill="FFFFFF"/>
        <w:tabs>
          <w:tab w:val="clear" w:pos="708"/>
          <w:tab w:val="left" w:pos="1134" w:leader="none"/>
          <w:tab w:val="left" w:pos="1418" w:leader="none"/>
          <w:tab w:val="left" w:pos="1851" w:leader="none"/>
        </w:tabs>
        <w:ind w:firstLine="709"/>
        <w:jc w:val="both"/>
        <w:rPr>
          <w:sz w:val="24"/>
          <w:szCs w:val="24"/>
        </w:rPr>
      </w:pPr>
      <w:bookmarkStart w:id="5" w:name="_Ref361408232"/>
      <w:r>
        <w:rPr>
          <w:sz w:val="24"/>
          <w:szCs w:val="24"/>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Товара по Заявке.</w:t>
      </w:r>
      <w:bookmarkEnd w:id="5"/>
    </w:p>
    <w:p>
      <w:pPr>
        <w:pStyle w:val="Normal"/>
        <w:widowControl/>
        <w:numPr>
          <w:ilvl w:val="1"/>
          <w:numId w:val="107"/>
        </w:numPr>
        <w:shd w:val="clear" w:color="auto" w:fill="FFFFFF"/>
        <w:tabs>
          <w:tab w:val="clear" w:pos="708"/>
          <w:tab w:val="left" w:pos="1418" w:leader="none"/>
          <w:tab w:val="left" w:pos="1851" w:leader="none"/>
        </w:tabs>
        <w:spacing w:before="0" w:after="0"/>
        <w:ind w:firstLine="709" w:left="0"/>
        <w:contextualSpacing/>
        <w:jc w:val="both"/>
        <w:rPr>
          <w:sz w:val="24"/>
          <w:szCs w:val="24"/>
        </w:rPr>
      </w:pPr>
      <w:r>
        <w:rPr>
          <w:sz w:val="24"/>
          <w:szCs w:val="24"/>
        </w:rPr>
        <w:t>В случае неисполнения Поставщиком обязательств по устранению выявленных недостатков, несоответствий и / или дефектов Товара в порядке, предусмотренном пунктом 3.14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которой отказался Покупатель, возвратить ее стоимость, а также возместить убытки, причиненные Покупателю ненадлежащим исполнением Договора, в том числе расходы на хранение Товара.</w:t>
      </w:r>
    </w:p>
    <w:p>
      <w:pPr>
        <w:pStyle w:val="Normal"/>
        <w:shd w:val="clear" w:color="auto" w:fill="FFFFFF"/>
        <w:tabs>
          <w:tab w:val="clear" w:pos="708"/>
          <w:tab w:val="left" w:pos="1283" w:leader="none"/>
          <w:tab w:val="left" w:pos="1851" w:leader="none"/>
        </w:tabs>
        <w:ind w:firstLine="709"/>
        <w:jc w:val="both"/>
        <w:rPr>
          <w:sz w:val="24"/>
          <w:szCs w:val="24"/>
        </w:rPr>
      </w:pPr>
      <w:r>
        <w:rPr>
          <w:sz w:val="24"/>
          <w:szCs w:val="24"/>
        </w:rPr>
        <w:t>Если Поставщик не вывезет Товар в указанный срок, Покупатель вправе самостоятельно возвратить Товар Поставщику. Расходы, понесенные Покупателем в связи                   с возвратом Товара, подлежат возмещению Поставщиком.</w:t>
      </w:r>
    </w:p>
    <w:p>
      <w:pPr>
        <w:pStyle w:val="Normal"/>
        <w:widowControl/>
        <w:numPr>
          <w:ilvl w:val="1"/>
          <w:numId w:val="108"/>
        </w:numPr>
        <w:shd w:val="clear" w:color="auto" w:fill="FFFFFF"/>
        <w:tabs>
          <w:tab w:val="clear" w:pos="708"/>
          <w:tab w:val="left" w:pos="1134" w:leader="none"/>
          <w:tab w:val="left" w:pos="1418" w:leader="none"/>
        </w:tabs>
        <w:spacing w:before="0" w:after="0"/>
        <w:ind w:firstLine="709" w:left="0"/>
        <w:contextualSpacing/>
        <w:jc w:val="both"/>
        <w:rPr>
          <w:b/>
          <w:color w:val="000000"/>
          <w:sz w:val="24"/>
          <w:szCs w:val="24"/>
        </w:rPr>
      </w:pPr>
      <w:r>
        <w:rPr>
          <w:sz w:val="24"/>
          <w:szCs w:val="24"/>
        </w:rPr>
        <w:t>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w:t>
      </w:r>
      <w:r>
        <w:rPr>
          <w:b/>
          <w:bCs/>
          <w:color w:val="000000"/>
          <w:sz w:val="24"/>
          <w:szCs w:val="24"/>
        </w:rPr>
        <w:t xml:space="preserve"> </w:t>
      </w:r>
    </w:p>
    <w:p>
      <w:pPr>
        <w:pStyle w:val="Normal"/>
        <w:widowControl/>
        <w:numPr>
          <w:ilvl w:val="1"/>
          <w:numId w:val="109"/>
        </w:numPr>
        <w:shd w:val="clear" w:color="auto" w:fill="FFFFFF"/>
        <w:tabs>
          <w:tab w:val="clear" w:pos="708"/>
          <w:tab w:val="left" w:pos="1134" w:leader="none"/>
          <w:tab w:val="left" w:pos="1418" w:leader="none"/>
        </w:tabs>
        <w:spacing w:before="0" w:after="0"/>
        <w:ind w:firstLine="709" w:left="0"/>
        <w:contextualSpacing/>
        <w:jc w:val="both"/>
        <w:rPr>
          <w:sz w:val="24"/>
          <w:szCs w:val="24"/>
        </w:rPr>
      </w:pPr>
      <w:r>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ТОРГ-12/УПД.</w:t>
      </w:r>
    </w:p>
    <w:p>
      <w:pPr>
        <w:pStyle w:val="Normal"/>
        <w:widowControl/>
        <w:shd w:val="clear" w:color="auto" w:fill="FFFFFF"/>
        <w:tabs>
          <w:tab w:val="clear" w:pos="708"/>
          <w:tab w:val="left" w:pos="1134" w:leader="none"/>
          <w:tab w:val="left" w:pos="1418" w:leader="none"/>
        </w:tabs>
        <w:spacing w:before="0" w:after="0"/>
        <w:ind w:firstLine="709"/>
        <w:contextualSpacing/>
        <w:jc w:val="both"/>
        <w:rPr>
          <w:sz w:val="24"/>
          <w:szCs w:val="24"/>
        </w:rPr>
      </w:pPr>
      <w:r>
        <w:rPr>
          <w:sz w:val="24"/>
          <w:szCs w:val="24"/>
        </w:rPr>
      </w:r>
    </w:p>
    <w:p>
      <w:pPr>
        <w:pStyle w:val="Normal"/>
        <w:widowControl/>
        <w:shd w:val="clear" w:color="auto" w:fill="FFFFFF"/>
        <w:tabs>
          <w:tab w:val="clear" w:pos="708"/>
          <w:tab w:val="left" w:pos="1134" w:leader="none"/>
          <w:tab w:val="left" w:pos="1418" w:leader="none"/>
        </w:tabs>
        <w:spacing w:before="0" w:after="0"/>
        <w:ind w:firstLine="709"/>
        <w:contextualSpacing/>
        <w:jc w:val="both"/>
        <w:rPr>
          <w:sz w:val="24"/>
          <w:szCs w:val="24"/>
        </w:rPr>
      </w:pPr>
      <w:r>
        <w:rPr>
          <w:sz w:val="24"/>
          <w:szCs w:val="24"/>
        </w:rPr>
      </w:r>
    </w:p>
    <w:p>
      <w:pPr>
        <w:pStyle w:val="Normal"/>
        <w:shd w:val="clear" w:color="auto" w:fill="FFFFFF"/>
        <w:tabs>
          <w:tab w:val="clear" w:pos="708"/>
          <w:tab w:val="left" w:pos="1190" w:leader="none"/>
        </w:tabs>
        <w:jc w:val="both"/>
        <w:rPr>
          <w:sz w:val="24"/>
          <w:szCs w:val="24"/>
        </w:rPr>
      </w:pPr>
      <w:r>
        <w:rPr>
          <w:sz w:val="24"/>
          <w:szCs w:val="24"/>
        </w:rPr>
      </w:r>
    </w:p>
    <w:p>
      <w:pPr>
        <w:pStyle w:val="Normal"/>
        <w:widowControl/>
        <w:numPr>
          <w:ilvl w:val="0"/>
          <w:numId w:val="110"/>
        </w:numPr>
        <w:shd w:val="clear" w:color="auto" w:fill="FFFFFF"/>
        <w:ind w:hanging="0" w:left="0"/>
        <w:jc w:val="center"/>
        <w:rPr>
          <w:b/>
          <w:bCs/>
          <w:sz w:val="24"/>
          <w:szCs w:val="24"/>
        </w:rPr>
      </w:pPr>
      <w:r>
        <w:rPr>
          <w:b/>
          <w:bCs/>
          <w:sz w:val="24"/>
          <w:szCs w:val="24"/>
        </w:rPr>
        <w:t>Ответственность Сторон</w:t>
      </w:r>
    </w:p>
    <w:p>
      <w:pPr>
        <w:pStyle w:val="Normal"/>
        <w:widowControl/>
        <w:shd w:val="clear" w:color="auto" w:fill="FFFFFF"/>
        <w:jc w:val="center"/>
        <w:rPr>
          <w:b/>
          <w:bCs/>
          <w:sz w:val="24"/>
          <w:szCs w:val="24"/>
        </w:rPr>
      </w:pPr>
      <w:r>
        <w:rPr>
          <w:b/>
          <w:bCs/>
          <w:sz w:val="24"/>
          <w:szCs w:val="24"/>
        </w:rPr>
      </w:r>
    </w:p>
    <w:p>
      <w:pPr>
        <w:pStyle w:val="Normal"/>
        <w:widowControl/>
        <w:numPr>
          <w:ilvl w:val="1"/>
          <w:numId w:val="11"/>
        </w:numPr>
        <w:tabs>
          <w:tab w:val="clear" w:pos="708"/>
          <w:tab w:val="left" w:pos="1276" w:leader="none"/>
        </w:tabs>
        <w:spacing w:before="0" w:after="0"/>
        <w:ind w:firstLine="851" w:left="0"/>
        <w:contextualSpacing/>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BodyText"/>
        <w:widowControl/>
        <w:numPr>
          <w:ilvl w:val="1"/>
          <w:numId w:val="11"/>
        </w:numPr>
        <w:tabs>
          <w:tab w:val="clear" w:pos="708"/>
          <w:tab w:val="left" w:pos="1276" w:leader="none"/>
        </w:tabs>
        <w:spacing w:before="0" w:after="0"/>
        <w:ind w:firstLine="851" w:left="0"/>
        <w:contextualSpacing/>
        <w:jc w:val="both"/>
        <w:rPr>
          <w:sz w:val="24"/>
          <w:szCs w:val="24"/>
        </w:rPr>
      </w:pPr>
      <w:r>
        <w:rPr>
          <w:sz w:val="24"/>
          <w:szCs w:val="24"/>
        </w:rPr>
        <w:t>В случае нарушения Покупателем сроков оплаты, установленных разделом 2 Договора (за исключением срока оплаты авансовых платежей), Поставщик вправе 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w:t>
      </w:r>
      <w:r>
        <w:rPr>
          <w:rFonts w:ascii="Times New              Roman;se" w:hAnsi="Times New              Roman;se"/>
          <w:sz w:val="28"/>
          <w:szCs w:val="24"/>
        </w:rPr>
        <w:t xml:space="preserve">, </w:t>
      </w:r>
      <w:r>
        <w:rPr>
          <w:sz w:val="24"/>
          <w:szCs w:val="24"/>
        </w:rPr>
        <w:t>но не более 5 (Пяти) процентов от несвоевременно оплаченной суммы.</w:t>
      </w:r>
    </w:p>
    <w:p>
      <w:pPr>
        <w:pStyle w:val="BodyText"/>
        <w:widowControl/>
        <w:numPr>
          <w:ilvl w:val="1"/>
          <w:numId w:val="11"/>
        </w:numPr>
        <w:tabs>
          <w:tab w:val="clear" w:pos="708"/>
          <w:tab w:val="left" w:pos="1276" w:leader="none"/>
        </w:tabs>
        <w:spacing w:before="0" w:after="0"/>
        <w:ind w:firstLine="851" w:left="0"/>
        <w:contextualSpacing/>
        <w:jc w:val="both"/>
        <w:rPr>
          <w:sz w:val="24"/>
          <w:szCs w:val="24"/>
        </w:rPr>
      </w:pPr>
      <w:r>
        <w:rPr>
          <w:sz w:val="24"/>
          <w:szCs w:val="24"/>
        </w:rPr>
        <w:t>В случае нарушения Поставщиком обязательств по поставке Товара (нарушение срока поставки, недопоставка), в том числе установленных в Заявке, а также в случае несвоевременного устранения выявленных недостатков Товара, Покупатель вправе требовать уплаты Поставщиком неустойки в размере 0,1 (ноль целых и одна десятая) процента от Цены Договора за каждый день просрочки.</w:t>
      </w:r>
    </w:p>
    <w:p>
      <w:pPr>
        <w:pStyle w:val="Normal"/>
        <w:widowControl/>
        <w:numPr>
          <w:ilvl w:val="1"/>
          <w:numId w:val="11"/>
        </w:numPr>
        <w:tabs>
          <w:tab w:val="clear" w:pos="708"/>
          <w:tab w:val="left" w:pos="1134" w:leader="none"/>
        </w:tabs>
        <w:spacing w:before="0" w:after="0"/>
        <w:ind w:firstLine="709" w:left="0"/>
        <w:contextualSpacing/>
        <w:jc w:val="both"/>
        <w:rPr>
          <w:sz w:val="24"/>
          <w:szCs w:val="24"/>
        </w:rPr>
      </w:pPr>
      <w:r>
        <w:rPr>
          <w:sz w:val="24"/>
          <w:szCs w:val="24"/>
        </w:rPr>
        <w:t>В случае несвоевременного устранения Поставщиком выявленных недостатков товара, Покупатель вправе потребовать уплаты Поставщиком:</w:t>
      </w:r>
    </w:p>
    <w:p>
      <w:pPr>
        <w:pStyle w:val="Normal"/>
        <w:widowControl/>
        <w:numPr>
          <w:ilvl w:val="0"/>
          <w:numId w:val="10"/>
        </w:numPr>
        <w:tabs>
          <w:tab w:val="clear" w:pos="708"/>
          <w:tab w:val="left" w:pos="993" w:leader="none"/>
        </w:tabs>
        <w:ind w:firstLine="709" w:left="0"/>
        <w:jc w:val="both"/>
        <w:rPr>
          <w:bCs/>
          <w:sz w:val="24"/>
          <w:szCs w:val="24"/>
        </w:rPr>
      </w:pPr>
      <w:r>
        <w:rPr>
          <w:bCs/>
          <w:sz w:val="24"/>
          <w:szCs w:val="24"/>
        </w:rPr>
        <w:t>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товара, влияющих на возможность эксплуатации (использования) товара в целом;</w:t>
      </w:r>
    </w:p>
    <w:p>
      <w:pPr>
        <w:pStyle w:val="Normal"/>
        <w:widowControl/>
        <w:numPr>
          <w:ilvl w:val="0"/>
          <w:numId w:val="10"/>
        </w:numPr>
        <w:tabs>
          <w:tab w:val="clear" w:pos="708"/>
          <w:tab w:val="left" w:pos="993" w:leader="none"/>
        </w:tabs>
        <w:ind w:firstLine="709" w:left="0"/>
        <w:jc w:val="both"/>
        <w:rPr>
          <w:bCs/>
          <w:sz w:val="24"/>
          <w:szCs w:val="24"/>
        </w:rPr>
      </w:pPr>
      <w:r>
        <w:rPr>
          <w:bCs/>
          <w:sz w:val="24"/>
          <w:szCs w:val="24"/>
        </w:rPr>
        <w:t>неустойки в размере 0,1 (ноль целых и одна десятая) процента от стоимости некачественного товара за каждый день просрочки – в случае несвоевременного устранения выявленных недостатков товара, не влияющих на возможность эксплуатации (использования) товара в целом.</w:t>
      </w:r>
    </w:p>
    <w:p>
      <w:pPr>
        <w:pStyle w:val="Normal"/>
        <w:widowControl/>
        <w:numPr>
          <w:ilvl w:val="1"/>
          <w:numId w:val="11"/>
        </w:numPr>
        <w:shd w:val="clear" w:color="auto" w:fill="FFFFFF"/>
        <w:tabs>
          <w:tab w:val="clear" w:pos="708"/>
          <w:tab w:val="left" w:pos="1276" w:leader="none"/>
        </w:tabs>
        <w:spacing w:before="0" w:after="0"/>
        <w:ind w:firstLine="709" w:left="0"/>
        <w:contextualSpacing/>
        <w:jc w:val="both"/>
        <w:rPr>
          <w:bCs/>
          <w:sz w:val="24"/>
          <w:szCs w:val="24"/>
        </w:rPr>
      </w:pPr>
      <w:r>
        <w:rPr>
          <w:bCs/>
          <w:sz w:val="24"/>
          <w:szCs w:val="24"/>
        </w:rPr>
        <w:t xml:space="preserve">В случае нарушения Поставщиком требований пропускного и внутриобъектового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3 к Договору. </w:t>
      </w:r>
    </w:p>
    <w:p>
      <w:pPr>
        <w:pStyle w:val="Normal"/>
        <w:widowControl/>
        <w:numPr>
          <w:ilvl w:val="1"/>
          <w:numId w:val="11"/>
        </w:numPr>
        <w:shd w:val="clear" w:color="auto" w:fill="FFFFFF"/>
        <w:tabs>
          <w:tab w:val="clear" w:pos="708"/>
          <w:tab w:val="left" w:pos="1276" w:leader="none"/>
        </w:tabs>
        <w:spacing w:before="0" w:after="0"/>
        <w:ind w:firstLine="709" w:left="0"/>
        <w:contextualSpacing/>
        <w:jc w:val="both"/>
        <w:rPr>
          <w:bCs/>
          <w:sz w:val="24"/>
          <w:szCs w:val="24"/>
        </w:rPr>
      </w:pPr>
      <w:r>
        <w:rPr>
          <w:bCs/>
          <w:sz w:val="24"/>
          <w:szCs w:val="24"/>
        </w:rPr>
        <w:t xml:space="preserve">Если в результате составления и выставления Поставщиком счетов-фактур/УПД </w:t>
        <w:br/>
        <w:t xml:space="preserve">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br/>
        <w:t xml:space="preserve">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w:t>
        <w:br/>
        <w:t>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pPr>
        <w:pStyle w:val="Normal"/>
        <w:widowControl/>
        <w:shd w:val="clear" w:color="auto" w:fill="FFFFFF"/>
        <w:tabs>
          <w:tab w:val="clear" w:pos="708"/>
          <w:tab w:val="left" w:pos="1276" w:leader="none"/>
        </w:tabs>
        <w:ind w:firstLine="709"/>
        <w:jc w:val="both"/>
        <w:rPr>
          <w:bCs/>
          <w:sz w:val="24"/>
          <w:szCs w:val="24"/>
        </w:rPr>
      </w:pPr>
      <w:r>
        <w:rPr>
          <w:bCs/>
          <w:sz w:val="24"/>
          <w:szCs w:val="24"/>
        </w:rPr>
        <w:t>В случае нарушения Поставщиком сроков предоставления счетов-фактур/УПД, установленных пунктом 2.9. Договора, Покупатель вправе требовать уплаты Поставщиком штрафа в размере 50 000 (Пятидесяти тысяч) рублей за каждый случай нарушения.</w:t>
      </w:r>
    </w:p>
    <w:p>
      <w:pPr>
        <w:pStyle w:val="Normal"/>
        <w:widowControl/>
        <w:numPr>
          <w:ilvl w:val="1"/>
          <w:numId w:val="11"/>
        </w:numPr>
        <w:shd w:val="clear" w:color="auto" w:fill="FFFFFF"/>
        <w:tabs>
          <w:tab w:val="clear" w:pos="708"/>
          <w:tab w:val="left" w:pos="1276" w:leader="none"/>
          <w:tab w:val="left" w:pos="4260" w:leader="none"/>
        </w:tabs>
        <w:spacing w:before="0" w:after="0"/>
        <w:ind w:firstLine="709" w:left="0"/>
        <w:contextualSpacing/>
        <w:jc w:val="both"/>
        <w:rPr>
          <w:bCs/>
          <w:sz w:val="24"/>
          <w:szCs w:val="24"/>
        </w:rPr>
      </w:pPr>
      <w:r>
        <w:rPr>
          <w:bCs/>
          <w:sz w:val="24"/>
          <w:szCs w:val="24"/>
        </w:rPr>
        <w:t xml:space="preserve">Поставщик несет ответственность перед Покупателем за причиненный ущерб </w:t>
        <w:br/>
        <w:t xml:space="preserve">в размере фактически понесенных и документально подтвержденных расходов, возникших </w:t>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pPr>
        <w:pStyle w:val="Normal"/>
        <w:widowControl/>
        <w:numPr>
          <w:ilvl w:val="1"/>
          <w:numId w:val="11"/>
        </w:numPr>
        <w:shd w:val="clear" w:color="auto" w:fill="FFFFFF"/>
        <w:tabs>
          <w:tab w:val="clear" w:pos="708"/>
          <w:tab w:val="left" w:pos="1276" w:leader="none"/>
        </w:tabs>
        <w:spacing w:before="0" w:after="0"/>
        <w:ind w:firstLine="709" w:left="0"/>
        <w:contextualSpacing/>
        <w:jc w:val="both"/>
        <w:rPr>
          <w:bCs/>
          <w:sz w:val="24"/>
          <w:szCs w:val="24"/>
        </w:rPr>
      </w:pPr>
      <w:r>
        <w:rPr>
          <w:sz w:val="24"/>
          <w:szCs w:val="24"/>
        </w:rPr>
        <w:t>Ответственность Покупателя за причиненные Поставщику убытки ограничивается реальным ущербом, но не более Цены Договора.</w:t>
      </w:r>
    </w:p>
    <w:p>
      <w:pPr>
        <w:pStyle w:val="Normal"/>
        <w:widowControl/>
        <w:numPr>
          <w:ilvl w:val="1"/>
          <w:numId w:val="11"/>
        </w:numPr>
        <w:shd w:val="clear" w:color="auto" w:fill="FFFFFF"/>
        <w:tabs>
          <w:tab w:val="clear" w:pos="708"/>
          <w:tab w:val="left" w:pos="1276" w:leader="none"/>
        </w:tabs>
        <w:spacing w:before="0" w:after="0"/>
        <w:ind w:firstLine="709" w:left="0"/>
        <w:contextualSpacing/>
        <w:jc w:val="both"/>
        <w:rPr>
          <w:bCs/>
          <w:sz w:val="24"/>
          <w:szCs w:val="24"/>
        </w:rPr>
      </w:pPr>
      <w:r>
        <w:rPr>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Normal"/>
        <w:widowControl/>
        <w:numPr>
          <w:ilvl w:val="1"/>
          <w:numId w:val="11"/>
        </w:numPr>
        <w:shd w:val="clear" w:color="auto" w:fill="FFFFFF"/>
        <w:tabs>
          <w:tab w:val="clear" w:pos="708"/>
          <w:tab w:val="left" w:pos="1276" w:leader="none"/>
        </w:tabs>
        <w:spacing w:before="0" w:after="0"/>
        <w:ind w:firstLine="709" w:left="0"/>
        <w:contextualSpacing/>
        <w:jc w:val="both"/>
        <w:rPr>
          <w:bCs/>
          <w:sz w:val="24"/>
          <w:szCs w:val="24"/>
        </w:rPr>
      </w:pPr>
      <w:r>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Normal"/>
        <w:widowControl/>
        <w:numPr>
          <w:ilvl w:val="1"/>
          <w:numId w:val="11"/>
        </w:numPr>
        <w:shd w:val="clear" w:color="auto" w:fill="FFFFFF"/>
        <w:tabs>
          <w:tab w:val="clear" w:pos="708"/>
          <w:tab w:val="left" w:pos="1276" w:leader="none"/>
        </w:tabs>
        <w:spacing w:before="0" w:after="0"/>
        <w:ind w:firstLine="709" w:left="0"/>
        <w:contextualSpacing/>
        <w:jc w:val="both"/>
        <w:rPr>
          <w:bCs/>
          <w:sz w:val="24"/>
          <w:szCs w:val="24"/>
        </w:rPr>
      </w:pPr>
      <w:r>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Normal"/>
        <w:numPr>
          <w:ilvl w:val="1"/>
          <w:numId w:val="11"/>
        </w:numPr>
        <w:tabs>
          <w:tab w:val="clear" w:pos="708"/>
          <w:tab w:val="left" w:pos="1276" w:leader="none"/>
        </w:tabs>
        <w:spacing w:before="0" w:after="0"/>
        <w:ind w:firstLine="709" w:left="0"/>
        <w:contextualSpacing/>
        <w:jc w:val="both"/>
        <w:rPr>
          <w:bCs/>
          <w:sz w:val="24"/>
          <w:szCs w:val="24"/>
        </w:rPr>
      </w:pPr>
      <w:r>
        <w:rPr>
          <w:bCs/>
          <w:sz w:val="24"/>
          <w:szCs w:val="24"/>
        </w:rPr>
        <w:t>В случае нарушения Поставщиком обязательств по договору Покупатель вправе удержать начисленную за нарушения обязательств по договору неустойку в одностороннем внесудебном порядке из суммы, подлежащей уплате Поставщику.</w:t>
      </w:r>
    </w:p>
    <w:p>
      <w:pPr>
        <w:pStyle w:val="Normal"/>
        <w:ind w:firstLine="709"/>
        <w:jc w:val="both"/>
        <w:rPr>
          <w:sz w:val="24"/>
          <w:szCs w:val="24"/>
        </w:rPr>
      </w:pPr>
      <w:r>
        <w:rPr>
          <w:sz w:val="24"/>
          <w:szCs w:val="24"/>
        </w:rPr>
      </w:r>
    </w:p>
    <w:p>
      <w:pPr>
        <w:pStyle w:val="Normal"/>
        <w:ind w:firstLine="709"/>
        <w:jc w:val="both"/>
        <w:rPr>
          <w:sz w:val="24"/>
          <w:szCs w:val="24"/>
        </w:rPr>
      </w:pPr>
      <w:r>
        <w:rPr>
          <w:sz w:val="24"/>
          <w:szCs w:val="24"/>
        </w:rPr>
      </w:r>
    </w:p>
    <w:p>
      <w:pPr>
        <w:pStyle w:val="Normal"/>
        <w:ind w:firstLine="709"/>
        <w:jc w:val="center"/>
        <w:rPr>
          <w:b/>
          <w:bCs/>
          <w:sz w:val="24"/>
          <w:szCs w:val="24"/>
        </w:rPr>
      </w:pPr>
      <w:r>
        <w:rPr>
          <w:b/>
          <w:bCs/>
          <w:sz w:val="24"/>
          <w:szCs w:val="24"/>
        </w:rPr>
        <w:t>5. Банковские гарантии</w:t>
      </w:r>
    </w:p>
    <w:p>
      <w:pPr>
        <w:pStyle w:val="Normal"/>
        <w:ind w:firstLine="709"/>
        <w:jc w:val="center"/>
        <w:rPr>
          <w:b/>
          <w:bCs/>
          <w:sz w:val="24"/>
          <w:szCs w:val="24"/>
        </w:rPr>
      </w:pPr>
      <w:r>
        <w:rPr>
          <w:b/>
          <w:bCs/>
          <w:sz w:val="24"/>
          <w:szCs w:val="24"/>
        </w:rPr>
      </w:r>
    </w:p>
    <w:p>
      <w:pPr>
        <w:pStyle w:val="Normal"/>
        <w:ind w:firstLine="709"/>
        <w:jc w:val="both"/>
        <w:rPr>
          <w:sz w:val="24"/>
          <w:szCs w:val="24"/>
        </w:rPr>
      </w:pPr>
      <w:r>
        <w:rPr>
          <w:sz w:val="24"/>
          <w:szCs w:val="24"/>
        </w:rPr>
        <w:t xml:space="preserve"> </w:t>
      </w:r>
      <w:r>
        <w:rPr>
          <w:sz w:val="24"/>
          <w:szCs w:val="24"/>
        </w:rPr>
        <w:t>5.1. Банковская гарантия, предоставляемая Поставщиком Покупателю по Договору, должна соответствовать следующим требованиям:</w:t>
      </w:r>
    </w:p>
    <w:p>
      <w:pPr>
        <w:pStyle w:val="Normal"/>
        <w:ind w:firstLine="709"/>
        <w:jc w:val="both"/>
        <w:rPr>
          <w:sz w:val="24"/>
          <w:szCs w:val="24"/>
        </w:rPr>
      </w:pPr>
      <w:r>
        <w:rPr>
          <w:sz w:val="24"/>
          <w:szCs w:val="24"/>
        </w:rPr>
        <w:t xml:space="preserve"> </w:t>
      </w:r>
      <w:r>
        <w:rPr>
          <w:sz w:val="24"/>
          <w:szCs w:val="24"/>
        </w:rPr>
        <w:t>5.1.1. Банковская гарантия должна быть безотзывной и безусловной (гарантия по первому требованию).</w:t>
      </w:r>
    </w:p>
    <w:p>
      <w:pPr>
        <w:pStyle w:val="Normal"/>
        <w:ind w:firstLine="709"/>
        <w:jc w:val="both"/>
        <w:rPr>
          <w:sz w:val="24"/>
          <w:szCs w:val="24"/>
        </w:rPr>
      </w:pPr>
      <w:r>
        <w:rPr>
          <w:sz w:val="24"/>
          <w:szCs w:val="24"/>
        </w:rPr>
        <w:t xml:space="preserve">   </w:t>
      </w:r>
      <w:r>
        <w:rPr>
          <w:sz w:val="24"/>
          <w:szCs w:val="24"/>
        </w:rPr>
        <w:t>5.1.2. Бенефициар по Банковской гарантии – Покупатель, принципал – Поставщик.</w:t>
      </w:r>
    </w:p>
    <w:p>
      <w:pPr>
        <w:pStyle w:val="Normal"/>
        <w:ind w:firstLine="709"/>
        <w:jc w:val="both"/>
        <w:rPr>
          <w:sz w:val="24"/>
          <w:szCs w:val="24"/>
        </w:rPr>
      </w:pPr>
      <w:r>
        <w:rPr>
          <w:sz w:val="24"/>
          <w:szCs w:val="24"/>
        </w:rPr>
        <w:t xml:space="preserve">   </w:t>
      </w:r>
      <w:r>
        <w:rPr>
          <w:sz w:val="24"/>
          <w:szCs w:val="24"/>
        </w:rPr>
        <w:t>5.1.3. Сумма Банковской гарантии – выражена в валюте расчетов по Договору.</w:t>
      </w:r>
    </w:p>
    <w:p>
      <w:pPr>
        <w:pStyle w:val="Normal"/>
        <w:ind w:firstLine="709"/>
        <w:jc w:val="both"/>
        <w:rPr>
          <w:sz w:val="24"/>
          <w:szCs w:val="24"/>
        </w:rPr>
      </w:pPr>
      <w:r>
        <w:rPr>
          <w:sz w:val="24"/>
          <w:szCs w:val="24"/>
        </w:rPr>
        <w:t xml:space="preserve">  </w:t>
      </w:r>
      <w:r>
        <w:rPr>
          <w:sz w:val="24"/>
          <w:szCs w:val="24"/>
        </w:rPr>
        <w:t xml:space="preserve">5.1.4. Сумма Банковской гарантии возврата авансового платежа – не менее 100 (ста) процентов от размера уплачиваемой по Договору предварительной оплаты (аванса) в совокупной сумме с учетом ранее выплаченных Поставщику и непогашенных (незачтенных) авансовых платежей. </w:t>
      </w:r>
    </w:p>
    <w:p>
      <w:pPr>
        <w:pStyle w:val="Normal"/>
        <w:ind w:firstLine="709"/>
        <w:jc w:val="both"/>
        <w:rPr>
          <w:sz w:val="24"/>
          <w:szCs w:val="24"/>
        </w:rPr>
      </w:pPr>
      <w:r>
        <w:rPr>
          <w:sz w:val="24"/>
          <w:szCs w:val="24"/>
        </w:rPr>
        <w:t xml:space="preserve">  </w:t>
      </w:r>
      <w:r>
        <w:rPr>
          <w:sz w:val="24"/>
          <w:szCs w:val="24"/>
        </w:rPr>
        <w:t>5.1.5. Банковская гарантия должна предусматривать, что для истребования суммы обеспечения Покупатель направляет Банку-Гаранту только письменное требование о предъявлении суммы обеспечения к оплате как полностью, так и частично, с указанием на существо допущенных Поставщиком нарушений, в том числе в случаях:</w:t>
      </w:r>
    </w:p>
    <w:p>
      <w:pPr>
        <w:pStyle w:val="Normal"/>
        <w:ind w:firstLine="709"/>
        <w:jc w:val="both"/>
        <w:rPr>
          <w:sz w:val="24"/>
          <w:szCs w:val="24"/>
        </w:rPr>
      </w:pPr>
      <w:r>
        <w:rPr>
          <w:sz w:val="24"/>
          <w:szCs w:val="24"/>
        </w:rPr>
        <w:t>отказа Поставщика от исполнения обязательств по Договору, в том числе одностороннего отказа от Договора;</w:t>
      </w:r>
    </w:p>
    <w:p>
      <w:pPr>
        <w:pStyle w:val="Normal"/>
        <w:ind w:firstLine="709"/>
        <w:jc w:val="both"/>
        <w:rPr>
          <w:sz w:val="24"/>
          <w:szCs w:val="24"/>
        </w:rPr>
      </w:pPr>
      <w:r>
        <w:rPr>
          <w:sz w:val="24"/>
          <w:szCs w:val="24"/>
        </w:rPr>
        <w:t xml:space="preserve"> </w:t>
      </w:r>
      <w:r>
        <w:rPr>
          <w:sz w:val="24"/>
          <w:szCs w:val="24"/>
        </w:rPr>
        <w:t>отказа Поставщика от возврата неотработанного аванса при досрочном прекращении Договора / признании Договора недействительным;</w:t>
      </w:r>
    </w:p>
    <w:p>
      <w:pPr>
        <w:pStyle w:val="Normal"/>
        <w:ind w:firstLine="709"/>
        <w:jc w:val="both"/>
        <w:rPr>
          <w:sz w:val="24"/>
          <w:szCs w:val="24"/>
        </w:rPr>
      </w:pPr>
      <w:r>
        <w:rPr>
          <w:sz w:val="24"/>
          <w:szCs w:val="24"/>
        </w:rPr>
        <w:t xml:space="preserve">  </w:t>
      </w:r>
      <w:r>
        <w:rPr>
          <w:sz w:val="24"/>
          <w:szCs w:val="24"/>
        </w:rPr>
        <w:t>нарушения Поставщиком срока поставки Товара, установленного пунктом 1.4 Договора более, чем на 60 (шестьдесят) календарных дней;</w:t>
      </w:r>
    </w:p>
    <w:p>
      <w:pPr>
        <w:pStyle w:val="Normal"/>
        <w:ind w:firstLine="709"/>
        <w:jc w:val="both"/>
        <w:rPr>
          <w:sz w:val="24"/>
          <w:szCs w:val="24"/>
        </w:rPr>
      </w:pPr>
      <w:r>
        <w:rPr>
          <w:sz w:val="24"/>
          <w:szCs w:val="24"/>
        </w:rPr>
        <w:t xml:space="preserve"> </w:t>
      </w:r>
      <w:r>
        <w:rPr>
          <w:sz w:val="24"/>
          <w:szCs w:val="24"/>
        </w:rPr>
        <w:t>введения арбитражным судом процедуры несостоятельности (банкротства) в отношении Поставщика;</w:t>
      </w:r>
    </w:p>
    <w:p>
      <w:pPr>
        <w:pStyle w:val="Normal"/>
        <w:ind w:firstLine="709"/>
        <w:jc w:val="both"/>
        <w:rPr>
          <w:sz w:val="24"/>
          <w:szCs w:val="24"/>
        </w:rPr>
      </w:pPr>
      <w:r>
        <w:rPr>
          <w:sz w:val="24"/>
          <w:szCs w:val="24"/>
        </w:rPr>
        <w:t xml:space="preserve"> </w:t>
      </w:r>
      <w:r>
        <w:rPr>
          <w:sz w:val="24"/>
          <w:szCs w:val="24"/>
        </w:rPr>
        <w:t>непредоставления Поставщиком в срок не позднее чем за 30 (тридцать) календарных дней до даты истечения срока действия банковской гарантии новой банковской гарантии или изменения к действующей банковской гарантии в части увеличения срока ее действия на новый период, в случаях если срок исполнения обязательств Поставщиком по Договору превышает срок действия банковской гарантии либо срок исполнения обязательств продлен;</w:t>
      </w:r>
    </w:p>
    <w:p>
      <w:pPr>
        <w:pStyle w:val="Normal"/>
        <w:ind w:firstLine="709"/>
        <w:jc w:val="both"/>
        <w:rPr>
          <w:sz w:val="24"/>
          <w:szCs w:val="24"/>
        </w:rPr>
      </w:pPr>
      <w:r>
        <w:rPr>
          <w:sz w:val="24"/>
          <w:szCs w:val="24"/>
        </w:rPr>
        <w:t>признания Договора недействительным по причинам отсутствия необходимых корпоративных одобрений у Поставщика;</w:t>
      </w:r>
    </w:p>
    <w:p>
      <w:pPr>
        <w:pStyle w:val="Normal"/>
        <w:ind w:firstLine="709"/>
        <w:jc w:val="both"/>
        <w:rPr>
          <w:sz w:val="24"/>
          <w:szCs w:val="24"/>
        </w:rPr>
      </w:pPr>
      <w:r>
        <w:rPr>
          <w:sz w:val="24"/>
          <w:szCs w:val="24"/>
        </w:rPr>
        <w:t xml:space="preserve"> </w:t>
      </w:r>
      <w:r>
        <w:rPr>
          <w:sz w:val="24"/>
          <w:szCs w:val="24"/>
        </w:rPr>
        <w:t>установления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12 Договора, и имеющих существенное значение для его заключения и исполнения.</w:t>
      </w:r>
    </w:p>
    <w:p>
      <w:pPr>
        <w:pStyle w:val="Normal"/>
        <w:ind w:firstLine="709"/>
        <w:jc w:val="both"/>
        <w:rPr>
          <w:sz w:val="24"/>
          <w:szCs w:val="24"/>
        </w:rPr>
      </w:pPr>
      <w:r>
        <w:rPr>
          <w:sz w:val="24"/>
          <w:szCs w:val="24"/>
        </w:rPr>
        <w:t>Вместе с требованием о предъявлении суммы обеспечения к оплате Покупатель направляет Банку-Гаранту копию Банковской гарантии.</w:t>
      </w:r>
    </w:p>
    <w:p>
      <w:pPr>
        <w:pStyle w:val="Normal"/>
        <w:ind w:firstLine="709"/>
        <w:jc w:val="both"/>
        <w:rPr>
          <w:sz w:val="24"/>
          <w:szCs w:val="24"/>
        </w:rPr>
      </w:pPr>
      <w:r>
        <w:rPr>
          <w:sz w:val="24"/>
          <w:szCs w:val="24"/>
        </w:rPr>
        <w:t>Банковской гарантией возврата авансового платежа может быть предусмотрено условие о предоставлении вместе с требованием о предъявлении суммы обеспечения к оплате платежного поручения Покупателя, подтверждающего факт осуществления Покупателем авансового платежа, с отметкой банка об исполнении.</w:t>
      </w:r>
    </w:p>
    <w:p>
      <w:pPr>
        <w:pStyle w:val="Normal"/>
        <w:ind w:firstLine="709"/>
        <w:jc w:val="both"/>
        <w:rPr>
          <w:sz w:val="24"/>
          <w:szCs w:val="24"/>
        </w:rPr>
      </w:pPr>
      <w:r>
        <w:rPr>
          <w:sz w:val="24"/>
          <w:szCs w:val="24"/>
        </w:rPr>
        <w:t xml:space="preserve">Банковской гарантией возврата предварительной оплаты (аванса) / надлежащего исполнения обязательств / гарантийных обязательств по Договору должно быть предусмотрено условие о праве Бенефициара направлять требование об уплате денежной суммы по Банковской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 </w:t>
      </w:r>
    </w:p>
    <w:p>
      <w:pPr>
        <w:pStyle w:val="Normal"/>
        <w:ind w:firstLine="709"/>
        <w:jc w:val="both"/>
        <w:rPr>
          <w:sz w:val="24"/>
          <w:szCs w:val="24"/>
        </w:rPr>
      </w:pPr>
      <w:r>
        <w:rPr>
          <w:sz w:val="24"/>
          <w:szCs w:val="24"/>
        </w:rPr>
        <w:t>Выбор формы направления такого требования осуществляется Бенефициаром самостоятельно. Платеж по Банковской гарантии – осуществляется Банком-Гарантом в течение 10 (десяти) рабочих дней после обращения Покупателя.</w:t>
      </w:r>
    </w:p>
    <w:p>
      <w:pPr>
        <w:pStyle w:val="Normal"/>
        <w:jc w:val="both"/>
        <w:rPr>
          <w:sz w:val="24"/>
          <w:szCs w:val="24"/>
        </w:rPr>
      </w:pPr>
      <w:r>
        <w:rPr>
          <w:sz w:val="24"/>
          <w:szCs w:val="24"/>
        </w:rPr>
        <w:tab/>
        <w:t>5.1.6. Срок окончания действия Банковской гарантии – не ранее 70 (семидесяти) календарных дней после наступления даты поставки Товара.</w:t>
      </w:r>
    </w:p>
    <w:p>
      <w:pPr>
        <w:pStyle w:val="Normal"/>
        <w:ind w:firstLine="709"/>
        <w:jc w:val="both"/>
        <w:rPr>
          <w:sz w:val="24"/>
          <w:szCs w:val="24"/>
        </w:rPr>
      </w:pPr>
      <w:r>
        <w:rPr>
          <w:sz w:val="24"/>
          <w:szCs w:val="24"/>
        </w:rPr>
        <w:t xml:space="preserve"> </w:t>
      </w:r>
      <w:r>
        <w:rPr>
          <w:sz w:val="24"/>
          <w:szCs w:val="24"/>
        </w:rPr>
        <w:t>5.1.7. Внесение изменений и дополнений в Договор в период срока действия Банковской гарантии не освобождает Банк-Гарант от обязательств перед Покупателем по Банковской гарантии.</w:t>
      </w:r>
    </w:p>
    <w:p>
      <w:pPr>
        <w:pStyle w:val="Normal"/>
        <w:ind w:firstLine="709"/>
        <w:jc w:val="both"/>
        <w:rPr>
          <w:sz w:val="24"/>
          <w:szCs w:val="24"/>
        </w:rPr>
      </w:pPr>
      <w:r>
        <w:rPr>
          <w:sz w:val="24"/>
          <w:szCs w:val="24"/>
        </w:rPr>
        <w:t xml:space="preserve"> </w:t>
      </w:r>
      <w:r>
        <w:rPr>
          <w:sz w:val="24"/>
          <w:szCs w:val="24"/>
        </w:rPr>
        <w:t>5.1.8. Банковская гарантия должна быть подчинена материальному праву Российской Федерации и предусматривать Арбитражный суд города Москвы в качестве органа, компетентного разрешать споры из Банковской гарантии.</w:t>
      </w:r>
    </w:p>
    <w:p>
      <w:pPr>
        <w:pStyle w:val="Normal"/>
        <w:ind w:firstLine="709"/>
        <w:jc w:val="both"/>
        <w:rPr>
          <w:sz w:val="24"/>
          <w:szCs w:val="24"/>
        </w:rPr>
      </w:pPr>
      <w:r>
        <w:rPr>
          <w:sz w:val="24"/>
          <w:szCs w:val="24"/>
        </w:rPr>
        <w:t xml:space="preserve"> </w:t>
      </w:r>
      <w:r>
        <w:rPr>
          <w:sz w:val="24"/>
          <w:szCs w:val="24"/>
        </w:rPr>
        <w:t>5.1.9. Банковская гарантия не должна содержать условий или требований, противоречащих требованиям, указанным в пунктах 5.1.1 – 5.1.8 Договора, или делающих такие требования неисполнимыми.</w:t>
      </w:r>
    </w:p>
    <w:p>
      <w:pPr>
        <w:pStyle w:val="Normal"/>
        <w:ind w:firstLine="709"/>
        <w:jc w:val="both"/>
        <w:rPr>
          <w:sz w:val="24"/>
          <w:szCs w:val="24"/>
        </w:rPr>
      </w:pPr>
      <w:r>
        <w:rPr>
          <w:sz w:val="24"/>
          <w:szCs w:val="24"/>
        </w:rPr>
        <w:t xml:space="preserve"> </w:t>
      </w:r>
      <w:r>
        <w:rPr>
          <w:sz w:val="24"/>
          <w:szCs w:val="24"/>
        </w:rPr>
        <w:t xml:space="preserve">5.1.10. Банковские гарантии, предусмотренные настоящим разделом Договора, предоставляются (по выбору Заказчика): </w:t>
      </w:r>
    </w:p>
    <w:p>
      <w:pPr>
        <w:pStyle w:val="Normal"/>
        <w:ind w:firstLine="709"/>
        <w:jc w:val="both"/>
        <w:rPr>
          <w:sz w:val="24"/>
          <w:szCs w:val="24"/>
        </w:rPr>
      </w:pPr>
      <w:r>
        <w:rPr>
          <w:sz w:val="24"/>
          <w:szCs w:val="24"/>
        </w:rPr>
        <w:t xml:space="preserve"> • </w:t>
      </w:r>
      <w:r>
        <w:rPr>
          <w:sz w:val="24"/>
          <w:szCs w:val="24"/>
        </w:rPr>
        <w:t>в электронной форме с использованием программно-аппаратных средств информационной системы электронного документооборота общего пользования путем ее подписания усиленной квалифицированной электронной подписью уполномоченного представителя Банка-гаранта / иным способом предусмотренным законодательством Российской Федерации; либо</w:t>
      </w:r>
    </w:p>
    <w:p>
      <w:pPr>
        <w:pStyle w:val="Normal"/>
        <w:ind w:firstLine="709"/>
        <w:jc w:val="both"/>
        <w:rPr>
          <w:sz w:val="24"/>
          <w:szCs w:val="24"/>
        </w:rPr>
      </w:pPr>
      <w:r>
        <w:rPr>
          <w:sz w:val="24"/>
          <w:szCs w:val="24"/>
        </w:rPr>
        <w:t xml:space="preserve">    • </w:t>
      </w:r>
      <w:r>
        <w:rPr>
          <w:sz w:val="24"/>
          <w:szCs w:val="24"/>
        </w:rPr>
        <w:t>в оригинале на бумажном носителе.</w:t>
      </w:r>
    </w:p>
    <w:p>
      <w:pPr>
        <w:pStyle w:val="Normal"/>
        <w:ind w:firstLine="709"/>
        <w:jc w:val="both"/>
        <w:rPr>
          <w:sz w:val="24"/>
          <w:szCs w:val="24"/>
        </w:rPr>
      </w:pPr>
      <w:r>
        <w:rPr>
          <w:sz w:val="24"/>
          <w:szCs w:val="24"/>
        </w:rPr>
        <w:t xml:space="preserve">  </w:t>
      </w:r>
      <w:r>
        <w:rPr>
          <w:sz w:val="24"/>
          <w:szCs w:val="24"/>
        </w:rPr>
        <w:t>5.2. Банк-Гарант, выдавший Банковскую гарантию, должен соответствовать критериям, установленным в Приложении № 3 к Договору.</w:t>
      </w:r>
    </w:p>
    <w:p>
      <w:pPr>
        <w:pStyle w:val="Normal"/>
        <w:ind w:firstLine="709"/>
        <w:jc w:val="both"/>
        <w:rPr>
          <w:sz w:val="24"/>
          <w:szCs w:val="24"/>
        </w:rPr>
      </w:pPr>
      <w:r>
        <w:rPr>
          <w:sz w:val="24"/>
          <w:szCs w:val="24"/>
        </w:rPr>
        <w:t xml:space="preserve"> </w:t>
      </w:r>
      <w:r>
        <w:rPr>
          <w:sz w:val="24"/>
          <w:szCs w:val="24"/>
        </w:rPr>
        <w:t>5.3. Банковская гарантия возвращается Банку-Гаранту или Поставщику после прекращения ее действия в течение 10 (десяти) рабочих дней с даты получения Покупателем соответствующего письменного уведомления.</w:t>
      </w:r>
    </w:p>
    <w:p>
      <w:pPr>
        <w:pStyle w:val="Normal"/>
        <w:ind w:firstLine="709"/>
        <w:jc w:val="both"/>
        <w:rPr>
          <w:sz w:val="24"/>
          <w:szCs w:val="24"/>
        </w:rPr>
      </w:pPr>
      <w:r>
        <w:rPr>
          <w:sz w:val="24"/>
          <w:szCs w:val="24"/>
        </w:rPr>
        <w:t xml:space="preserve">  </w:t>
      </w:r>
      <w:r>
        <w:rPr>
          <w:sz w:val="24"/>
          <w:szCs w:val="24"/>
        </w:rPr>
        <w:t>5.4. Сумма Банковской гарантии возврата авансового платежа по согласованию с Покупателем может быть уменьшена пропорционально сумме выполненных Поставщиком обязательств по Договору при условии подтверждения их выполнения.</w:t>
      </w:r>
    </w:p>
    <w:p>
      <w:pPr>
        <w:pStyle w:val="Normal"/>
        <w:ind w:firstLine="709"/>
        <w:jc w:val="both"/>
        <w:rPr>
          <w:sz w:val="24"/>
          <w:szCs w:val="24"/>
        </w:rPr>
      </w:pPr>
      <w:r>
        <w:rPr>
          <w:sz w:val="24"/>
          <w:szCs w:val="24"/>
        </w:rPr>
        <w:t xml:space="preserve">  </w:t>
      </w:r>
      <w:r>
        <w:rPr>
          <w:sz w:val="24"/>
          <w:szCs w:val="24"/>
        </w:rPr>
        <w:t>5.5. В случае увеличения Цены Договора или продления срока выполнения Поставщиком обязательств, возникших из Договора или в связи с ним, Банковская гарантия должна быть заменена на новую или в нее должны быть внесены изменения, оформленные отдельным документом.</w:t>
      </w:r>
    </w:p>
    <w:p>
      <w:pPr>
        <w:pStyle w:val="Normal"/>
        <w:ind w:firstLine="709"/>
        <w:jc w:val="both"/>
        <w:rPr>
          <w:sz w:val="24"/>
          <w:szCs w:val="24"/>
        </w:rPr>
      </w:pPr>
      <w:r>
        <w:rPr>
          <w:sz w:val="24"/>
          <w:szCs w:val="24"/>
        </w:rPr>
        <w:t xml:space="preserve">        </w:t>
      </w:r>
      <w:r>
        <w:rPr>
          <w:sz w:val="24"/>
          <w:szCs w:val="24"/>
        </w:rPr>
        <w:t xml:space="preserve">5.6. В случаях: </w:t>
      </w:r>
    </w:p>
    <w:p>
      <w:pPr>
        <w:pStyle w:val="Normal"/>
        <w:ind w:firstLine="709"/>
        <w:jc w:val="both"/>
        <w:rPr>
          <w:sz w:val="24"/>
          <w:szCs w:val="24"/>
        </w:rPr>
      </w:pPr>
      <w:r>
        <w:rPr>
          <w:sz w:val="24"/>
          <w:szCs w:val="24"/>
        </w:rPr>
        <w:t>- отзыва лицензии Банка-Гаранта по решению Центрального банка Российской Федерации либо наступления иных обстоятельств, в результате которых Банк-Гарант утрачивает соответствие требованиям, установленным Договором, или</w:t>
      </w:r>
    </w:p>
    <w:p>
      <w:pPr>
        <w:pStyle w:val="Normal"/>
        <w:ind w:firstLine="709"/>
        <w:jc w:val="both"/>
        <w:rPr>
          <w:sz w:val="24"/>
          <w:szCs w:val="24"/>
        </w:rPr>
      </w:pPr>
      <w:r>
        <w:rPr>
          <w:sz w:val="24"/>
          <w:szCs w:val="24"/>
        </w:rPr>
        <w:t>-  наступления иных обстоятельств до срока окончания действия Банковской гарантии, в связи с которыми Банковская гарантия теряет свою силу или предъявление требований по Банковской гарантии не представляется возможным,</w:t>
      </w:r>
    </w:p>
    <w:p>
      <w:pPr>
        <w:pStyle w:val="Normal"/>
        <w:ind w:firstLine="709"/>
        <w:jc w:val="both"/>
        <w:rPr>
          <w:sz w:val="24"/>
          <w:szCs w:val="24"/>
        </w:rPr>
      </w:pPr>
      <w:r>
        <w:rPr>
          <w:sz w:val="24"/>
          <w:szCs w:val="24"/>
        </w:rPr>
        <w:t>Поставщик обязан предоставить Покупателю новую Банковскую гарантию другого Банка-Гаранта, согласованного с Покупателем, соответствующую требованиям, установленным Договором, не позднее 10 (десяти) календарных дней с даты, когда ему стало известно либо должно стать известным об указанных обстоятельствах, либо с даты обращения Покупателя с требованием о замене Банковской гарантии.</w:t>
      </w:r>
    </w:p>
    <w:p>
      <w:pPr>
        <w:pStyle w:val="Normal"/>
        <w:ind w:firstLine="709"/>
        <w:jc w:val="both"/>
        <w:rPr>
          <w:sz w:val="24"/>
          <w:szCs w:val="24"/>
        </w:rPr>
      </w:pPr>
      <w:r>
        <w:rPr>
          <w:sz w:val="24"/>
          <w:szCs w:val="24"/>
        </w:rPr>
        <w:t>В случае непредставления Поставщиком в установленный срок новой Банковской гарантии Покупатель вправе удерживать сумму непогашенного (незачтенного) аванса1 при выплате каждого платежа, причитающегося Поставщику, до полного зачета непогашенного (незачтенного) аванса, при выплате каждого платежа, причитающегося Поставщику.</w:t>
      </w:r>
    </w:p>
    <w:p>
      <w:pPr>
        <w:pStyle w:val="Normal"/>
        <w:ind w:firstLine="709"/>
        <w:jc w:val="both"/>
        <w:rPr>
          <w:sz w:val="24"/>
          <w:szCs w:val="24"/>
        </w:rPr>
      </w:pPr>
      <w:r>
        <w:rPr>
          <w:sz w:val="24"/>
          <w:szCs w:val="24"/>
        </w:rPr>
        <w:t xml:space="preserve"> </w:t>
      </w:r>
      <w:r>
        <w:rPr>
          <w:sz w:val="24"/>
          <w:szCs w:val="24"/>
        </w:rPr>
        <w:t>5.7. Во всех случаях, предусмотренных Договором, Поставщик вправе представить Покупателю вместо новой Банковской гарантии изменения к действующей Банковской гарантии, приводящие ее в соответствие с требованиями Договора, при условии, что условиями действующей Банковской гарантии прямо предусмотрена возможность внесения в нее изменений. Любое изменение, внесенное Банком-Гарантом в условия Банковской гарантии, должно быть письменно согласовано с Покупателем.</w:t>
      </w:r>
    </w:p>
    <w:p>
      <w:pPr>
        <w:pStyle w:val="Normal"/>
        <w:ind w:firstLine="709"/>
        <w:jc w:val="both"/>
        <w:rPr>
          <w:sz w:val="24"/>
          <w:szCs w:val="24"/>
        </w:rPr>
      </w:pPr>
      <w:r>
        <w:rPr>
          <w:sz w:val="24"/>
          <w:szCs w:val="24"/>
        </w:rPr>
        <w:t xml:space="preserve"> </w:t>
      </w:r>
      <w:r>
        <w:rPr>
          <w:sz w:val="24"/>
          <w:szCs w:val="24"/>
        </w:rPr>
        <w:t>5.8. Стороны вправе изменить способы и порядок обеспечения обязательств по Договору, указанные в настоящем разделе, путем подписания дополнительного соглашения к Договору2.</w:t>
      </w:r>
    </w:p>
    <w:p>
      <w:pPr>
        <w:pStyle w:val="Normal"/>
        <w:ind w:firstLine="709"/>
        <w:jc w:val="both"/>
        <w:rPr>
          <w:sz w:val="24"/>
          <w:szCs w:val="24"/>
        </w:rPr>
      </w:pPr>
      <w:r>
        <w:rPr>
          <w:sz w:val="24"/>
          <w:szCs w:val="24"/>
        </w:rPr>
        <w:t>5.9. Принадлежащее Покупателю по Банковской гарантии право требования к Банку-Гаранту может быть передано новому бенефициару – компании, входящей в Группу РусГидро, с последующим письменным уведомлением Покупателем Банка-Гаранта о смене бенефициара по Банковской гарантии.</w:t>
      </w:r>
    </w:p>
    <w:p>
      <w:pPr>
        <w:pStyle w:val="Normal"/>
        <w:ind w:firstLine="709"/>
        <w:jc w:val="both"/>
        <w:rPr>
          <w:sz w:val="24"/>
          <w:szCs w:val="24"/>
        </w:rPr>
      </w:pPr>
      <w:r>
        <w:rPr>
          <w:sz w:val="24"/>
          <w:szCs w:val="24"/>
        </w:rPr>
      </w:r>
    </w:p>
    <w:p>
      <w:pPr>
        <w:pStyle w:val="Normal"/>
        <w:widowControl/>
        <w:shd w:val="clear" w:color="auto" w:fill="FFFFFF"/>
        <w:tabs>
          <w:tab w:val="clear" w:pos="708"/>
          <w:tab w:val="left" w:pos="0" w:leader="none"/>
        </w:tabs>
        <w:spacing w:before="0" w:after="0"/>
        <w:contextualSpacing/>
        <w:jc w:val="center"/>
        <w:rPr>
          <w:b/>
          <w:bCs/>
          <w:sz w:val="24"/>
          <w:szCs w:val="24"/>
        </w:rPr>
      </w:pPr>
      <w:r>
        <w:rPr>
          <w:b/>
          <w:bCs/>
          <w:sz w:val="24"/>
          <w:szCs w:val="24"/>
        </w:rPr>
        <w:t>6. Конфиденциальность</w:t>
      </w:r>
    </w:p>
    <w:p>
      <w:pPr>
        <w:pStyle w:val="Normal"/>
        <w:widowControl/>
        <w:shd w:val="clear" w:color="auto" w:fill="FFFFFF"/>
        <w:tabs>
          <w:tab w:val="clear" w:pos="708"/>
          <w:tab w:val="left" w:pos="0" w:leader="none"/>
          <w:tab w:val="left" w:pos="1134" w:leader="none"/>
        </w:tabs>
        <w:spacing w:before="0" w:after="0"/>
        <w:ind w:firstLine="709"/>
        <w:contextualSpacing/>
        <w:jc w:val="both"/>
        <w:rPr>
          <w:bCs/>
          <w:sz w:val="24"/>
          <w:szCs w:val="24"/>
        </w:rPr>
      </w:pPr>
      <w:r>
        <w:rPr>
          <w:bCs/>
          <w:sz w:val="24"/>
          <w:szCs w:val="24"/>
        </w:rPr>
        <w:t>6.1. 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widowControl/>
        <w:numPr>
          <w:ilvl w:val="0"/>
          <w:numId w:val="4"/>
        </w:numPr>
        <w:tabs>
          <w:tab w:val="clear" w:pos="708"/>
          <w:tab w:val="left" w:pos="0" w:leader="none"/>
          <w:tab w:val="left" w:pos="709" w:leader="none"/>
          <w:tab w:val="left" w:pos="1418" w:leader="none"/>
        </w:tabs>
        <w:ind w:firstLine="709" w:left="0"/>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pPr>
        <w:pStyle w:val="Normal"/>
        <w:widowControl/>
        <w:numPr>
          <w:ilvl w:val="0"/>
          <w:numId w:val="4"/>
        </w:numPr>
        <w:tabs>
          <w:tab w:val="clear" w:pos="708"/>
          <w:tab w:val="left" w:pos="0" w:leader="none"/>
          <w:tab w:val="left" w:pos="709" w:leader="none"/>
          <w:tab w:val="left" w:pos="1418" w:leader="none"/>
        </w:tabs>
        <w:ind w:firstLine="709" w:left="0"/>
        <w:jc w:val="both"/>
        <w:rPr>
          <w:bCs/>
          <w:sz w:val="24"/>
          <w:szCs w:val="24"/>
        </w:rPr>
      </w:pPr>
      <w:r>
        <w:rPr>
          <w:bCs/>
          <w:sz w:val="24"/>
          <w:szCs w:val="24"/>
        </w:rPr>
        <w:t xml:space="preserve">данная Информация не относится к категории общедоступной </w:t>
        <w:br/>
        <w:t>или обязательной к раскрытию Покупателем в соответствии с законодательством Российской Федерации.</w:t>
      </w:r>
    </w:p>
    <w:p>
      <w:pPr>
        <w:pStyle w:val="Normal"/>
        <w:widowControl/>
        <w:shd w:val="clear" w:color="auto" w:fill="FFFFFF"/>
        <w:tabs>
          <w:tab w:val="clear" w:pos="708"/>
          <w:tab w:val="left" w:pos="0" w:leader="none"/>
          <w:tab w:val="left" w:pos="1134" w:leader="none"/>
        </w:tabs>
        <w:spacing w:before="0" w:after="0"/>
        <w:contextualSpacing/>
        <w:jc w:val="both"/>
        <w:rPr>
          <w:bCs/>
          <w:sz w:val="24"/>
          <w:szCs w:val="24"/>
        </w:rPr>
      </w:pPr>
      <w:r>
        <w:rPr>
          <w:bCs/>
          <w:sz w:val="24"/>
          <w:szCs w:val="24"/>
        </w:rPr>
        <w:t xml:space="preserve">   </w:t>
      </w:r>
      <w:r>
        <w:rPr>
          <w:bCs/>
          <w:sz w:val="24"/>
          <w:szCs w:val="24"/>
        </w:rPr>
        <w:t xml:space="preserve">6.2.Условия Договора и сам факт его заключения составляют Информацию </w:t>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Normal"/>
        <w:widowControl/>
        <w:shd w:val="clear" w:color="auto" w:fill="FFFFFF"/>
        <w:tabs>
          <w:tab w:val="clear" w:pos="708"/>
          <w:tab w:val="left" w:pos="0" w:leader="none"/>
          <w:tab w:val="left" w:pos="1134" w:leader="none"/>
        </w:tabs>
        <w:spacing w:before="0" w:after="0"/>
        <w:contextualSpacing/>
        <w:jc w:val="both"/>
        <w:rPr>
          <w:bCs/>
          <w:sz w:val="24"/>
          <w:szCs w:val="24"/>
        </w:rPr>
      </w:pPr>
      <w:r>
        <w:rPr>
          <w:bCs/>
          <w:sz w:val="24"/>
          <w:szCs w:val="24"/>
        </w:rPr>
        <w:t xml:space="preserve">     </w:t>
      </w:r>
      <w:r>
        <w:rPr>
          <w:bCs/>
          <w:sz w:val="24"/>
          <w:szCs w:val="24"/>
        </w:rPr>
        <w:t>6.3. 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Normal"/>
        <w:widowControl/>
        <w:shd w:val="clear" w:color="auto" w:fill="FFFFFF"/>
        <w:tabs>
          <w:tab w:val="clear" w:pos="708"/>
          <w:tab w:val="left" w:pos="0" w:leader="none"/>
          <w:tab w:val="left" w:pos="1134" w:leader="none"/>
        </w:tabs>
        <w:spacing w:before="0" w:after="0"/>
        <w:contextualSpacing/>
        <w:jc w:val="both"/>
        <w:rPr>
          <w:bCs/>
          <w:sz w:val="24"/>
          <w:szCs w:val="24"/>
        </w:rPr>
      </w:pPr>
      <w:r>
        <w:rPr>
          <w:bCs/>
          <w:sz w:val="24"/>
          <w:szCs w:val="24"/>
        </w:rPr>
        <w:t xml:space="preserve">     </w:t>
      </w:r>
      <w:r>
        <w:rPr>
          <w:bCs/>
          <w:sz w:val="24"/>
          <w:szCs w:val="24"/>
        </w:rPr>
        <w:t>6.4. На документ, содержащий Информацию, Покупателем может быть нанесен гриф «Коммерческая тайна» с указанием обладателя этой информации.</w:t>
      </w:r>
    </w:p>
    <w:p>
      <w:pPr>
        <w:pStyle w:val="Normal"/>
        <w:widowControl/>
        <w:shd w:val="clear" w:color="auto" w:fill="FFFFFF"/>
        <w:tabs>
          <w:tab w:val="clear" w:pos="708"/>
          <w:tab w:val="left" w:pos="0" w:leader="none"/>
          <w:tab w:val="left" w:pos="1134" w:leader="none"/>
        </w:tabs>
        <w:spacing w:before="0" w:after="0"/>
        <w:contextualSpacing/>
        <w:jc w:val="both"/>
        <w:rPr>
          <w:bCs/>
          <w:sz w:val="24"/>
          <w:szCs w:val="24"/>
        </w:rPr>
      </w:pPr>
      <w:r>
        <w:rPr>
          <w:bCs/>
          <w:sz w:val="24"/>
          <w:szCs w:val="24"/>
        </w:rPr>
        <w:t xml:space="preserve">           </w:t>
      </w:r>
      <w:r>
        <w:rPr>
          <w:bCs/>
          <w:sz w:val="24"/>
          <w:szCs w:val="24"/>
        </w:rPr>
        <w:t>6.5. Информация может включать в себя, в том числе, но не ограничиваясь:</w:t>
      </w:r>
    </w:p>
    <w:p>
      <w:pPr>
        <w:pStyle w:val="Normal"/>
        <w:widowControl/>
        <w:numPr>
          <w:ilvl w:val="0"/>
          <w:numId w:val="4"/>
        </w:numPr>
        <w:tabs>
          <w:tab w:val="clear" w:pos="708"/>
          <w:tab w:val="left" w:pos="0" w:leader="none"/>
          <w:tab w:val="left" w:pos="1418" w:leader="none"/>
        </w:tabs>
        <w:ind w:firstLine="709" w:left="0"/>
        <w:jc w:val="both"/>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pPr>
        <w:pStyle w:val="Normal"/>
        <w:widowControl/>
        <w:numPr>
          <w:ilvl w:val="0"/>
          <w:numId w:val="4"/>
        </w:numPr>
        <w:tabs>
          <w:tab w:val="clear" w:pos="708"/>
          <w:tab w:val="left" w:pos="0" w:leader="none"/>
          <w:tab w:val="left" w:pos="1418" w:leader="none"/>
        </w:tabs>
        <w:ind w:firstLine="709" w:left="0"/>
        <w:jc w:val="both"/>
        <w:rPr>
          <w:bCs/>
          <w:sz w:val="24"/>
          <w:szCs w:val="24"/>
        </w:rPr>
      </w:pPr>
      <w:r>
        <w:rPr>
          <w:bCs/>
          <w:sz w:val="24"/>
          <w:szCs w:val="24"/>
        </w:rPr>
        <w:t>учетные регистры бухгалтерского учета;</w:t>
      </w:r>
    </w:p>
    <w:p>
      <w:pPr>
        <w:pStyle w:val="Normal"/>
        <w:widowControl/>
        <w:numPr>
          <w:ilvl w:val="0"/>
          <w:numId w:val="4"/>
        </w:numPr>
        <w:tabs>
          <w:tab w:val="clear" w:pos="708"/>
          <w:tab w:val="left" w:pos="0" w:leader="none"/>
          <w:tab w:val="left" w:pos="1418" w:leader="none"/>
        </w:tabs>
        <w:ind w:firstLine="709" w:left="0"/>
        <w:jc w:val="both"/>
        <w:rPr>
          <w:bCs/>
          <w:sz w:val="24"/>
          <w:szCs w:val="24"/>
        </w:rPr>
      </w:pPr>
      <w:r>
        <w:rPr>
          <w:bCs/>
          <w:sz w:val="24"/>
          <w:szCs w:val="24"/>
        </w:rPr>
        <w:t>бизнес-планы;</w:t>
      </w:r>
    </w:p>
    <w:p>
      <w:pPr>
        <w:pStyle w:val="Normal"/>
        <w:widowControl/>
        <w:numPr>
          <w:ilvl w:val="0"/>
          <w:numId w:val="4"/>
        </w:numPr>
        <w:tabs>
          <w:tab w:val="clear" w:pos="708"/>
          <w:tab w:val="left" w:pos="0" w:leader="none"/>
          <w:tab w:val="left" w:pos="1418" w:leader="none"/>
        </w:tabs>
        <w:ind w:firstLine="709" w:left="0"/>
        <w:jc w:val="both"/>
        <w:rPr>
          <w:bCs/>
          <w:sz w:val="24"/>
          <w:szCs w:val="24"/>
        </w:rPr>
      </w:pPr>
      <w:r>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pPr>
        <w:pStyle w:val="Normal"/>
        <w:widowControl/>
        <w:numPr>
          <w:ilvl w:val="0"/>
          <w:numId w:val="4"/>
        </w:numPr>
        <w:tabs>
          <w:tab w:val="clear" w:pos="708"/>
          <w:tab w:val="left" w:pos="0" w:leader="none"/>
          <w:tab w:val="left" w:pos="1418" w:leader="none"/>
        </w:tabs>
        <w:ind w:firstLine="709" w:left="0"/>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widowControl/>
        <w:numPr>
          <w:ilvl w:val="0"/>
          <w:numId w:val="4"/>
        </w:numPr>
        <w:tabs>
          <w:tab w:val="clear" w:pos="708"/>
          <w:tab w:val="left" w:pos="0" w:leader="none"/>
          <w:tab w:val="left" w:pos="1418" w:leader="none"/>
        </w:tabs>
        <w:ind w:firstLine="709" w:left="0"/>
        <w:jc w:val="both"/>
        <w:rPr>
          <w:bCs/>
          <w:sz w:val="24"/>
          <w:szCs w:val="24"/>
        </w:rPr>
      </w:pPr>
      <w:r>
        <w:rPr>
          <w:bCs/>
          <w:sz w:val="24"/>
          <w:szCs w:val="24"/>
        </w:rPr>
        <w:t xml:space="preserve">сведения о находящихся на регистрации товарных знаках Покупателя, а также </w:t>
        <w:br/>
        <w:t>об объектах интеллектуальной собственности Покупателя, сведения о которых не являются опубликованными;</w:t>
      </w:r>
    </w:p>
    <w:p>
      <w:pPr>
        <w:pStyle w:val="Normal"/>
        <w:widowControl/>
        <w:numPr>
          <w:ilvl w:val="0"/>
          <w:numId w:val="4"/>
        </w:numPr>
        <w:tabs>
          <w:tab w:val="clear" w:pos="708"/>
          <w:tab w:val="left" w:pos="0" w:leader="none"/>
          <w:tab w:val="left" w:pos="1418" w:leader="none"/>
        </w:tabs>
        <w:ind w:firstLine="709" w:left="0"/>
        <w:jc w:val="both"/>
        <w:rPr>
          <w:bCs/>
          <w:sz w:val="24"/>
          <w:szCs w:val="24"/>
        </w:rPr>
      </w:pPr>
      <w:r>
        <w:rPr>
          <w:bCs/>
          <w:sz w:val="24"/>
          <w:szCs w:val="24"/>
        </w:rPr>
        <w:t xml:space="preserve">сведения о Поставщиках, поставщиках оборудования и материалов, а также </w:t>
        <w:br/>
        <w:t>о покупателях продукции Покупателя и их аффилированных лицах;</w:t>
      </w:r>
    </w:p>
    <w:p>
      <w:pPr>
        <w:pStyle w:val="Normal"/>
        <w:widowControl/>
        <w:numPr>
          <w:ilvl w:val="0"/>
          <w:numId w:val="4"/>
        </w:numPr>
        <w:tabs>
          <w:tab w:val="clear" w:pos="708"/>
          <w:tab w:val="left" w:pos="0" w:leader="none"/>
          <w:tab w:val="left" w:pos="1418" w:leader="none"/>
        </w:tabs>
        <w:ind w:firstLine="709" w:left="0"/>
        <w:jc w:val="both"/>
        <w:rPr>
          <w:bCs/>
          <w:sz w:val="24"/>
          <w:szCs w:val="24"/>
        </w:rPr>
      </w:pPr>
      <w:r>
        <w:rPr>
          <w:bCs/>
          <w:sz w:val="24"/>
          <w:szCs w:val="24"/>
        </w:rPr>
        <w:t>сведения об объемах производства и / или реализации продукции и услуг Покупателя или его аффилированных лиц;</w:t>
      </w:r>
    </w:p>
    <w:p>
      <w:pPr>
        <w:pStyle w:val="Normal"/>
        <w:widowControl/>
        <w:numPr>
          <w:ilvl w:val="0"/>
          <w:numId w:val="4"/>
        </w:numPr>
        <w:tabs>
          <w:tab w:val="clear" w:pos="708"/>
          <w:tab w:val="left" w:pos="0" w:leader="none"/>
          <w:tab w:val="left" w:pos="1418" w:leader="none"/>
        </w:tabs>
        <w:ind w:firstLine="709" w:left="0"/>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Normal"/>
        <w:widowControl/>
        <w:shd w:val="clear" w:color="auto" w:fill="FFFFFF"/>
        <w:tabs>
          <w:tab w:val="clear" w:pos="708"/>
          <w:tab w:val="left" w:pos="0" w:leader="none"/>
          <w:tab w:val="left" w:pos="1134" w:leader="none"/>
        </w:tabs>
        <w:spacing w:before="0" w:after="0"/>
        <w:contextualSpacing/>
        <w:jc w:val="both"/>
        <w:rPr>
          <w:bCs/>
          <w:sz w:val="24"/>
          <w:szCs w:val="24"/>
        </w:rPr>
      </w:pPr>
      <w:r>
        <w:rPr>
          <w:bCs/>
          <w:sz w:val="24"/>
          <w:szCs w:val="24"/>
        </w:rPr>
        <w:t xml:space="preserve">        </w:t>
      </w:r>
      <w:r>
        <w:rPr>
          <w:bCs/>
          <w:sz w:val="24"/>
          <w:szCs w:val="24"/>
        </w:rPr>
        <w:t xml:space="preserve">6.6. </w:t>
      </w:r>
      <w:bookmarkStart w:id="6" w:name="_Ref361337849"/>
      <w:r>
        <w:rPr>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rPr>
        <w:t xml:space="preserve"> </w:t>
      </w:r>
      <w:r>
        <w:rPr>
          <w:bCs/>
          <w:sz w:val="24"/>
          <w:szCs w:val="24"/>
        </w:rPr>
        <w:t>(расторжения) или исполнения, в том числе:</w:t>
      </w:r>
      <w:bookmarkEnd w:id="6"/>
      <w:r>
        <w:rPr>
          <w:bCs/>
          <w:sz w:val="24"/>
          <w:szCs w:val="24"/>
        </w:rPr>
        <w:t xml:space="preserve"> </w:t>
      </w:r>
    </w:p>
    <w:p>
      <w:pPr>
        <w:pStyle w:val="Normal"/>
        <w:widowControl/>
        <w:shd w:val="clear" w:color="auto" w:fill="FFFFFF"/>
        <w:tabs>
          <w:tab w:val="clear" w:pos="708"/>
          <w:tab w:val="left" w:pos="1418" w:leader="none"/>
        </w:tabs>
        <w:spacing w:before="0" w:after="0"/>
        <w:contextualSpacing/>
        <w:jc w:val="both"/>
        <w:rPr>
          <w:bCs/>
          <w:sz w:val="24"/>
          <w:szCs w:val="24"/>
        </w:rPr>
      </w:pPr>
      <w:r>
        <w:rPr>
          <w:bCs/>
          <w:sz w:val="24"/>
          <w:szCs w:val="24"/>
        </w:rPr>
        <w:t xml:space="preserve">  </w:t>
      </w:r>
      <w:r>
        <w:rPr>
          <w:bCs/>
          <w:sz w:val="24"/>
          <w:szCs w:val="24"/>
        </w:rPr>
        <w:t xml:space="preserve">6.6.1. Не разглашать, не обсуждать содержание, не предоставлять копий, </w:t>
        <w:br/>
        <w:t xml:space="preserve">не публиковать и не </w:t>
      </w:r>
      <w:r>
        <w:rPr>
          <w:sz w:val="24"/>
          <w:szCs w:val="24"/>
        </w:rPr>
        <w:t>раскрывать</w:t>
      </w:r>
      <w:r>
        <w:rPr>
          <w:bCs/>
          <w:sz w:val="24"/>
          <w:szCs w:val="24"/>
        </w:rPr>
        <w:t xml:space="preserve"> в какой-либо иной форме третьим лицам Информацию </w:t>
        <w:br/>
        <w:t>без получения предварительного письменного согласия Покупателя, за исключением случаев, предусмотренных законодательством Российской Федерации и пункте 5.6.7 Договора.</w:t>
      </w:r>
    </w:p>
    <w:p>
      <w:pPr>
        <w:pStyle w:val="Normal"/>
        <w:widowControl/>
        <w:shd w:val="clear" w:color="auto" w:fill="FFFFFF"/>
        <w:tabs>
          <w:tab w:val="clear" w:pos="708"/>
          <w:tab w:val="left" w:pos="1418" w:leader="none"/>
        </w:tabs>
        <w:spacing w:before="0" w:after="0"/>
        <w:contextualSpacing/>
        <w:jc w:val="both"/>
        <w:rPr>
          <w:bCs/>
          <w:sz w:val="24"/>
          <w:szCs w:val="24"/>
        </w:rPr>
      </w:pPr>
      <w:r>
        <w:rPr>
          <w:bCs/>
          <w:sz w:val="24"/>
          <w:szCs w:val="24"/>
        </w:rPr>
        <w:t xml:space="preserve">       </w:t>
      </w:r>
      <w:r>
        <w:rPr>
          <w:bCs/>
          <w:sz w:val="24"/>
          <w:szCs w:val="24"/>
        </w:rPr>
        <w:t xml:space="preserve">6.6.2.Принимать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br/>
        <w:t>в отношении защиты Информации, обычно используемые им меры защиты.</w:t>
      </w:r>
    </w:p>
    <w:p>
      <w:pPr>
        <w:pStyle w:val="Normal"/>
        <w:widowControl/>
        <w:shd w:val="clear" w:color="auto" w:fill="FFFFFF"/>
        <w:tabs>
          <w:tab w:val="clear" w:pos="708"/>
          <w:tab w:val="left" w:pos="1418" w:leader="none"/>
        </w:tabs>
        <w:spacing w:before="0" w:after="0"/>
        <w:contextualSpacing/>
        <w:jc w:val="both"/>
        <w:rPr>
          <w:bCs/>
          <w:sz w:val="24"/>
          <w:szCs w:val="24"/>
        </w:rPr>
      </w:pPr>
      <w:r>
        <w:rPr>
          <w:bCs/>
          <w:sz w:val="24"/>
          <w:szCs w:val="24"/>
        </w:rPr>
        <w:t xml:space="preserve">    </w:t>
      </w:r>
      <w:r>
        <w:rPr>
          <w:bCs/>
          <w:sz w:val="24"/>
          <w:szCs w:val="24"/>
        </w:rPr>
        <w:t xml:space="preserve">6.6.3. Использовать Информацию исключительно для целей, для которых она была предоставлена. </w:t>
      </w:r>
    </w:p>
    <w:p>
      <w:pPr>
        <w:pStyle w:val="Normal"/>
        <w:widowControl/>
        <w:shd w:val="clear" w:color="auto" w:fill="FFFFFF"/>
        <w:tabs>
          <w:tab w:val="clear" w:pos="708"/>
          <w:tab w:val="left" w:pos="1418" w:leader="none"/>
        </w:tabs>
        <w:spacing w:before="0" w:after="0"/>
        <w:contextualSpacing/>
        <w:jc w:val="both"/>
        <w:rPr>
          <w:bCs/>
          <w:sz w:val="24"/>
          <w:szCs w:val="24"/>
        </w:rPr>
      </w:pPr>
      <w:r>
        <w:rPr>
          <w:bCs/>
          <w:sz w:val="24"/>
          <w:szCs w:val="24"/>
        </w:rPr>
        <w:t xml:space="preserve">   </w:t>
      </w:r>
      <w:r>
        <w:rPr>
          <w:bCs/>
          <w:sz w:val="24"/>
          <w:szCs w:val="24"/>
        </w:rPr>
        <w:t xml:space="preserve">6.6.4. Не осуществлять действий (бездействия), результатом которых может быть несанкционированное раскрытие Информации третьим лицам. </w:t>
      </w:r>
    </w:p>
    <w:p>
      <w:pPr>
        <w:pStyle w:val="Normal"/>
        <w:widowControl/>
        <w:shd w:val="clear" w:color="auto" w:fill="FFFFFF"/>
        <w:tabs>
          <w:tab w:val="clear" w:pos="708"/>
          <w:tab w:val="left" w:pos="1418" w:leader="none"/>
        </w:tabs>
        <w:spacing w:before="0" w:after="0"/>
        <w:contextualSpacing/>
        <w:jc w:val="both"/>
        <w:rPr>
          <w:bCs/>
          <w:sz w:val="24"/>
          <w:szCs w:val="24"/>
        </w:rPr>
      </w:pPr>
      <w:r>
        <w:rPr>
          <w:bCs/>
          <w:sz w:val="24"/>
          <w:szCs w:val="24"/>
        </w:rPr>
        <w:t xml:space="preserve">    </w:t>
      </w:r>
      <w:r>
        <w:rPr>
          <w:bCs/>
          <w:sz w:val="24"/>
          <w:szCs w:val="24"/>
        </w:rPr>
        <w:t>6.6.5. 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pPr>
        <w:pStyle w:val="Normal"/>
        <w:widowControl/>
        <w:shd w:val="clear" w:color="auto" w:fill="FFFFFF"/>
        <w:tabs>
          <w:tab w:val="clear" w:pos="708"/>
          <w:tab w:val="left" w:pos="1418" w:leader="none"/>
        </w:tabs>
        <w:spacing w:before="0" w:after="0"/>
        <w:contextualSpacing/>
        <w:jc w:val="both"/>
        <w:rPr>
          <w:bCs/>
          <w:sz w:val="24"/>
          <w:szCs w:val="24"/>
        </w:rPr>
      </w:pPr>
      <w:r>
        <w:rPr>
          <w:bCs/>
          <w:sz w:val="24"/>
          <w:szCs w:val="24"/>
        </w:rPr>
        <w:t xml:space="preserve">      </w:t>
      </w:r>
      <w:r>
        <w:rPr>
          <w:bCs/>
          <w:sz w:val="24"/>
          <w:szCs w:val="24"/>
        </w:rPr>
        <w:t xml:space="preserve">6.6.6. По требованию Покупателя уничтожить всю Информацию, которую будет невозможно передать Покупателю по его запросу или которая будет находиться </w:t>
        <w:br/>
        <w:t xml:space="preserve">на технических средствах Поставщика. При этом Покупатель признает, что обязательства </w:t>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br/>
        <w:t xml:space="preserve">или методики создания резервных копий. </w:t>
      </w:r>
    </w:p>
    <w:p>
      <w:pPr>
        <w:pStyle w:val="Normal"/>
        <w:widowControl/>
        <w:shd w:val="clear" w:color="auto" w:fill="FFFFFF"/>
        <w:tabs>
          <w:tab w:val="clear" w:pos="708"/>
          <w:tab w:val="left" w:pos="1418" w:leader="none"/>
        </w:tabs>
        <w:spacing w:before="0" w:after="0"/>
        <w:contextualSpacing/>
        <w:jc w:val="both"/>
        <w:rPr>
          <w:bCs/>
          <w:sz w:val="24"/>
          <w:szCs w:val="24"/>
        </w:rPr>
      </w:pPr>
      <w:r>
        <w:rPr>
          <w:bCs/>
          <w:sz w:val="24"/>
          <w:szCs w:val="24"/>
        </w:rPr>
        <w:t xml:space="preserve">   </w:t>
      </w:r>
      <w:r>
        <w:rPr>
          <w:bCs/>
          <w:sz w:val="24"/>
          <w:szCs w:val="24"/>
        </w:rPr>
        <w:t>6.6.7.</w:t>
      </w:r>
      <w:bookmarkStart w:id="7" w:name="_Ref361337832"/>
      <w:r>
        <w:rPr>
          <w:bCs/>
          <w:sz w:val="24"/>
          <w:szCs w:val="24"/>
        </w:rPr>
        <w:t xml:space="preserve">Раскрывать Информацию своим работникам, членам органов управления </w:t>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br/>
        <w:t>за свои собственные.</w:t>
      </w:r>
      <w:bookmarkEnd w:id="7"/>
    </w:p>
    <w:p>
      <w:pPr>
        <w:pStyle w:val="Normal"/>
        <w:widowControl/>
        <w:shd w:val="clear" w:color="auto" w:fill="FFFFFF"/>
        <w:tabs>
          <w:tab w:val="clear" w:pos="708"/>
          <w:tab w:val="left" w:pos="1418" w:leader="none"/>
        </w:tabs>
        <w:spacing w:before="0" w:after="0"/>
        <w:contextualSpacing/>
        <w:jc w:val="both"/>
        <w:rPr>
          <w:bCs/>
          <w:sz w:val="24"/>
          <w:szCs w:val="24"/>
        </w:rPr>
      </w:pPr>
      <w:r>
        <w:rPr>
          <w:bCs/>
          <w:sz w:val="24"/>
          <w:szCs w:val="24"/>
        </w:rPr>
        <w:t xml:space="preserve">         </w:t>
      </w:r>
      <w:r>
        <w:rPr>
          <w:bCs/>
          <w:sz w:val="24"/>
          <w:szCs w:val="24"/>
        </w:rPr>
        <w:t>6.6.8.Не разглашать третьим лицам факты передачи или получения Информации.</w:t>
      </w:r>
    </w:p>
    <w:p>
      <w:pPr>
        <w:pStyle w:val="Normal"/>
        <w:widowControl/>
        <w:shd w:val="clear" w:color="auto" w:fill="FFFFFF"/>
        <w:tabs>
          <w:tab w:val="clear" w:pos="708"/>
          <w:tab w:val="left" w:pos="1418" w:leader="none"/>
        </w:tabs>
        <w:spacing w:before="0" w:after="0"/>
        <w:contextualSpacing/>
        <w:jc w:val="both"/>
        <w:rPr>
          <w:bCs/>
          <w:sz w:val="24"/>
          <w:szCs w:val="24"/>
        </w:rPr>
      </w:pPr>
      <w:r>
        <w:rPr>
          <w:bCs/>
          <w:sz w:val="24"/>
          <w:szCs w:val="24"/>
        </w:rPr>
        <w:t xml:space="preserve">      </w:t>
      </w:r>
      <w:r>
        <w:rPr>
          <w:bCs/>
          <w:sz w:val="24"/>
          <w:szCs w:val="24"/>
        </w:rPr>
        <w:t>6.7.</w:t>
      </w:r>
      <w:bookmarkStart w:id="8" w:name="_Ref361337863"/>
      <w:r>
        <w:rPr>
          <w:bCs/>
          <w:sz w:val="24"/>
          <w:szCs w:val="24"/>
        </w:rPr>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br/>
        <w:t>с даты получения соответствующего письменного требования Покупателя.</w:t>
      </w:r>
      <w:bookmarkEnd w:id="8"/>
    </w:p>
    <w:p>
      <w:pPr>
        <w:pStyle w:val="Normal"/>
        <w:widowControl/>
        <w:shd w:val="clear" w:color="auto" w:fill="FFFFFF"/>
        <w:tabs>
          <w:tab w:val="clear" w:pos="708"/>
          <w:tab w:val="left" w:pos="1134" w:leader="none"/>
        </w:tabs>
        <w:spacing w:before="0" w:after="0"/>
        <w:contextualSpacing/>
        <w:jc w:val="both"/>
        <w:rPr>
          <w:bCs/>
          <w:sz w:val="24"/>
          <w:szCs w:val="24"/>
        </w:rPr>
      </w:pPr>
      <w:r>
        <w:rPr>
          <w:bCs/>
          <w:sz w:val="24"/>
          <w:szCs w:val="24"/>
        </w:rPr>
        <w:t xml:space="preserve">       </w:t>
      </w:r>
      <w:r>
        <w:rPr>
          <w:bCs/>
          <w:sz w:val="24"/>
          <w:szCs w:val="24"/>
        </w:rPr>
        <w:t xml:space="preserve">6.8. 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pPr>
        <w:pStyle w:val="Normal"/>
        <w:shd w:val="clear" w:color="auto" w:fill="FFFFFF"/>
        <w:ind w:firstLine="709"/>
        <w:jc w:val="both"/>
        <w:rPr>
          <w:bCs/>
          <w:sz w:val="24"/>
          <w:szCs w:val="24"/>
        </w:rPr>
      </w:pPr>
      <w:r>
        <w:rPr>
          <w:bCs/>
          <w:sz w:val="24"/>
          <w:szCs w:val="24"/>
        </w:rPr>
      </w:r>
    </w:p>
    <w:p>
      <w:pPr>
        <w:pStyle w:val="Normal"/>
        <w:widowControl/>
        <w:shd w:val="clear" w:color="auto" w:fill="FFFFFF"/>
        <w:tabs>
          <w:tab w:val="clear" w:pos="708"/>
          <w:tab w:val="left" w:pos="426" w:leader="none"/>
        </w:tabs>
        <w:spacing w:before="0" w:after="0"/>
        <w:contextualSpacing/>
        <w:jc w:val="center"/>
        <w:rPr>
          <w:b/>
          <w:bCs/>
          <w:sz w:val="24"/>
          <w:szCs w:val="24"/>
        </w:rPr>
      </w:pPr>
      <w:r>
        <w:rPr>
          <w:b/>
          <w:bCs/>
          <w:sz w:val="24"/>
          <w:szCs w:val="24"/>
        </w:rPr>
        <w:t>7. Разрешение споров</w:t>
      </w:r>
    </w:p>
    <w:p>
      <w:pPr>
        <w:pStyle w:val="Normal"/>
        <w:widowControl/>
        <w:shd w:val="clear" w:color="auto" w:fill="FFFFFF"/>
        <w:tabs>
          <w:tab w:val="clear" w:pos="708"/>
          <w:tab w:val="left" w:pos="0" w:leader="none"/>
          <w:tab w:val="left" w:pos="1418" w:leader="none"/>
        </w:tabs>
        <w:spacing w:before="0" w:after="0"/>
        <w:contextualSpacing/>
        <w:jc w:val="both"/>
        <w:rPr>
          <w:bCs/>
          <w:sz w:val="24"/>
          <w:szCs w:val="24"/>
        </w:rPr>
      </w:pPr>
      <w:r>
        <w:rPr>
          <w:bCs/>
          <w:sz w:val="24"/>
          <w:szCs w:val="24"/>
        </w:rPr>
        <w:t xml:space="preserve">   </w:t>
      </w:r>
      <w:r>
        <w:rPr>
          <w:bCs/>
          <w:sz w:val="24"/>
          <w:szCs w:val="24"/>
        </w:rPr>
        <w:t xml:space="preserve">7.1. Все споры, разногласия и требования, возникающие между Сторонами </w:t>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Normal"/>
        <w:widowControl/>
        <w:shd w:val="clear" w:color="auto" w:fill="FFFFFF"/>
        <w:tabs>
          <w:tab w:val="clear" w:pos="708"/>
          <w:tab w:val="left" w:pos="0" w:leader="none"/>
          <w:tab w:val="left" w:pos="1418" w:leader="none"/>
        </w:tabs>
        <w:spacing w:before="0" w:after="0"/>
        <w:contextualSpacing/>
        <w:jc w:val="both"/>
        <w:rPr>
          <w:bCs/>
          <w:sz w:val="24"/>
          <w:szCs w:val="24"/>
        </w:rPr>
      </w:pPr>
      <w:r>
        <w:rPr>
          <w:bCs/>
          <w:sz w:val="24"/>
          <w:szCs w:val="24"/>
        </w:rPr>
        <w:t xml:space="preserve">           </w:t>
      </w:r>
      <w:r>
        <w:rPr>
          <w:bCs/>
          <w:sz w:val="24"/>
          <w:szCs w:val="24"/>
        </w:rPr>
        <w:t xml:space="preserve">7.2.Споры, указанные в пункте 6.1 Договора, которые не были урегулированы Сторонами путем переговоров, подлежат разрешению в Арбитражном суде города Москвы в соответствии с законодательством Российской Федерации.  </w:t>
      </w:r>
    </w:p>
    <w:p>
      <w:pPr>
        <w:pStyle w:val="Normal"/>
        <w:widowControl/>
        <w:shd w:val="clear" w:color="auto" w:fill="FFFFFF"/>
        <w:tabs>
          <w:tab w:val="clear" w:pos="708"/>
          <w:tab w:val="left" w:pos="0" w:leader="none"/>
          <w:tab w:val="left" w:pos="1418" w:leader="none"/>
        </w:tabs>
        <w:spacing w:before="0" w:after="0"/>
        <w:contextualSpacing/>
        <w:jc w:val="both"/>
        <w:rPr>
          <w:bCs/>
          <w:sz w:val="24"/>
          <w:szCs w:val="24"/>
        </w:rPr>
      </w:pPr>
      <w:r>
        <w:rPr>
          <w:bCs/>
          <w:sz w:val="24"/>
          <w:szCs w:val="24"/>
        </w:rPr>
        <w:t xml:space="preserve">      </w:t>
      </w:r>
      <w:r>
        <w:rPr>
          <w:bCs/>
          <w:sz w:val="24"/>
          <w:szCs w:val="24"/>
        </w:rPr>
        <w:t>7.3.Сторонами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12.8 Договора.</w:t>
      </w:r>
    </w:p>
    <w:p>
      <w:pPr>
        <w:pStyle w:val="Normal"/>
        <w:widowControl/>
        <w:shd w:val="clear" w:color="auto" w:fill="FFFFFF"/>
        <w:tabs>
          <w:tab w:val="clear" w:pos="708"/>
          <w:tab w:val="left" w:pos="0" w:leader="none"/>
          <w:tab w:val="left" w:pos="1418" w:leader="none"/>
        </w:tabs>
        <w:spacing w:before="0" w:after="0"/>
        <w:contextualSpacing/>
        <w:jc w:val="both"/>
        <w:rPr>
          <w:bCs/>
          <w:sz w:val="24"/>
          <w:szCs w:val="24"/>
        </w:rPr>
      </w:pPr>
      <w:r>
        <w:rPr>
          <w:bCs/>
          <w:sz w:val="24"/>
          <w:szCs w:val="24"/>
        </w:rPr>
        <w:t xml:space="preserve">    </w:t>
      </w:r>
      <w:r>
        <w:rPr>
          <w:bCs/>
          <w:sz w:val="24"/>
          <w:szCs w:val="24"/>
        </w:rPr>
        <w:t xml:space="preserve">7.4. Срок для рассмотрения претензии – 15 (пятнадцать) рабочих дней со дня </w:t>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br/>
        <w:t>с иском в суд.</w:t>
      </w:r>
    </w:p>
    <w:p>
      <w:pPr>
        <w:pStyle w:val="Normal"/>
        <w:widowControl/>
        <w:shd w:val="clear" w:color="auto" w:fill="FFFFFF"/>
        <w:tabs>
          <w:tab w:val="clear" w:pos="708"/>
          <w:tab w:val="left" w:pos="0" w:leader="none"/>
          <w:tab w:val="left" w:pos="1418" w:leader="none"/>
        </w:tabs>
        <w:spacing w:before="0" w:after="0"/>
        <w:contextualSpacing/>
        <w:jc w:val="both"/>
        <w:rPr>
          <w:bCs/>
          <w:sz w:val="24"/>
          <w:szCs w:val="24"/>
        </w:rPr>
      </w:pPr>
      <w:r>
        <w:rPr>
          <w:bCs/>
          <w:sz w:val="24"/>
          <w:szCs w:val="24"/>
        </w:rPr>
        <w:t xml:space="preserve">     </w:t>
      </w:r>
      <w:r>
        <w:rPr>
          <w:bCs/>
          <w:sz w:val="24"/>
          <w:szCs w:val="24"/>
        </w:rPr>
        <w:t>7.5. Условия настоящего раздела Договора сохраняют свою силу в случае признания Договора незаключенным и / или недействительным.</w:t>
      </w:r>
    </w:p>
    <w:p>
      <w:pPr>
        <w:pStyle w:val="Normal"/>
        <w:shd w:val="clear" w:color="auto" w:fill="FFFFFF"/>
        <w:ind w:firstLine="709"/>
        <w:jc w:val="both"/>
        <w:rPr>
          <w:sz w:val="24"/>
          <w:szCs w:val="24"/>
        </w:rPr>
      </w:pPr>
      <w:r>
        <w:rPr>
          <w:sz w:val="24"/>
          <w:szCs w:val="24"/>
        </w:rPr>
      </w:r>
    </w:p>
    <w:p>
      <w:pPr>
        <w:pStyle w:val="Normal"/>
        <w:widowControl/>
        <w:shd w:val="clear" w:color="auto" w:fill="FFFFFF"/>
        <w:spacing w:before="0" w:after="0"/>
        <w:contextualSpacing/>
        <w:jc w:val="center"/>
        <w:rPr>
          <w:b/>
          <w:bCs/>
          <w:sz w:val="24"/>
          <w:szCs w:val="24"/>
        </w:rPr>
      </w:pPr>
      <w:r>
        <w:rPr>
          <w:b/>
          <w:bCs/>
          <w:sz w:val="24"/>
          <w:szCs w:val="24"/>
        </w:rPr>
        <w:t>8. Антикоррупционная оговорка</w:t>
      </w:r>
    </w:p>
    <w:p>
      <w:pPr>
        <w:pStyle w:val="Normal"/>
        <w:widowControl/>
        <w:shd w:val="clear" w:color="auto" w:fill="FFFFFF"/>
        <w:tabs>
          <w:tab w:val="clear" w:pos="708"/>
          <w:tab w:val="left" w:pos="1134" w:leader="none"/>
        </w:tabs>
        <w:spacing w:before="0" w:after="0"/>
        <w:contextualSpacing/>
        <w:jc w:val="both"/>
        <w:rPr>
          <w:bCs/>
          <w:color w:val="000000"/>
          <w:sz w:val="24"/>
          <w:szCs w:val="24"/>
        </w:rPr>
      </w:pPr>
      <w:r>
        <w:rPr>
          <w:color w:val="000000"/>
          <w:sz w:val="24"/>
          <w:szCs w:val="24"/>
        </w:rPr>
        <w:t xml:space="preserve">          </w:t>
      </w:r>
      <w:r>
        <w:rPr>
          <w:color w:val="000000"/>
          <w:sz w:val="24"/>
          <w:szCs w:val="24"/>
        </w:rPr>
        <w:t xml:space="preserve">8.1. 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widowControl/>
        <w:shd w:val="clear" w:color="auto" w:fill="FFFFFF"/>
        <w:tabs>
          <w:tab w:val="clear" w:pos="708"/>
          <w:tab w:val="left" w:pos="1134" w:leader="none"/>
          <w:tab w:val="left" w:pos="1276" w:leader="none"/>
        </w:tabs>
        <w:spacing w:before="0" w:after="0"/>
        <w:contextualSpacing/>
        <w:jc w:val="both"/>
        <w:rPr>
          <w:bCs/>
          <w:color w:val="000000"/>
          <w:sz w:val="24"/>
          <w:szCs w:val="24"/>
        </w:rPr>
      </w:pPr>
      <w:r>
        <w:rPr>
          <w:bCs/>
          <w:color w:val="000000"/>
          <w:sz w:val="24"/>
          <w:szCs w:val="24"/>
        </w:rPr>
        <w:t xml:space="preserve">          </w:t>
      </w:r>
      <w:r>
        <w:rPr>
          <w:bCs/>
          <w:color w:val="000000"/>
          <w:sz w:val="24"/>
          <w:szCs w:val="24"/>
        </w:rPr>
        <w:t>8.2.При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widowControl/>
        <w:shd w:val="clear" w:color="auto" w:fill="FFFFFF"/>
        <w:tabs>
          <w:tab w:val="clear" w:pos="708"/>
          <w:tab w:val="left" w:pos="1134" w:leader="none"/>
          <w:tab w:val="left" w:pos="1276" w:leader="none"/>
        </w:tabs>
        <w:spacing w:before="0" w:after="0"/>
        <w:contextualSpacing/>
        <w:jc w:val="both"/>
        <w:rPr>
          <w:bCs/>
          <w:color w:val="000000"/>
          <w:sz w:val="24"/>
          <w:szCs w:val="24"/>
        </w:rPr>
      </w:pPr>
      <w:r>
        <w:rPr>
          <w:bCs/>
          <w:color w:val="000000"/>
          <w:sz w:val="24"/>
          <w:szCs w:val="24"/>
        </w:rPr>
        <w:t xml:space="preserve">      </w:t>
      </w:r>
      <w:r>
        <w:rPr>
          <w:bCs/>
          <w:color w:val="000000"/>
          <w:sz w:val="24"/>
          <w:szCs w:val="24"/>
        </w:rPr>
        <w:t>8.3.В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widowControl/>
        <w:shd w:val="clear" w:color="auto" w:fill="FFFFFF"/>
        <w:tabs>
          <w:tab w:val="clear" w:pos="708"/>
          <w:tab w:val="left" w:pos="1134" w:leader="none"/>
          <w:tab w:val="left" w:pos="1276" w:leader="none"/>
        </w:tabs>
        <w:spacing w:before="0" w:after="0"/>
        <w:contextualSpacing/>
        <w:jc w:val="both"/>
        <w:rPr>
          <w:bCs/>
          <w:color w:val="000000"/>
          <w:sz w:val="24"/>
          <w:szCs w:val="24"/>
        </w:rPr>
      </w:pPr>
      <w:r>
        <w:rPr>
          <w:bCs/>
          <w:color w:val="000000"/>
          <w:sz w:val="24"/>
          <w:szCs w:val="24"/>
        </w:rPr>
        <w:t xml:space="preserve">        </w:t>
      </w:r>
      <w:r>
        <w:rPr>
          <w:bCs/>
          <w:color w:val="000000"/>
          <w:sz w:val="24"/>
          <w:szCs w:val="24"/>
        </w:rPr>
        <w:t>8.4.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widowControl/>
        <w:shd w:val="clear" w:color="auto" w:fill="FFFFFF"/>
        <w:tabs>
          <w:tab w:val="clear" w:pos="708"/>
          <w:tab w:val="left" w:pos="1134" w:leader="none"/>
          <w:tab w:val="left" w:pos="1276" w:leader="none"/>
        </w:tabs>
        <w:spacing w:before="0" w:after="0"/>
        <w:contextualSpacing/>
        <w:jc w:val="both"/>
        <w:rPr>
          <w:bCs/>
          <w:color w:val="000000"/>
          <w:sz w:val="24"/>
          <w:szCs w:val="24"/>
        </w:rPr>
      </w:pPr>
      <w:r>
        <w:rPr>
          <w:bCs/>
          <w:color w:val="000000"/>
          <w:sz w:val="24"/>
          <w:szCs w:val="24"/>
        </w:rPr>
        <w:t xml:space="preserve">    </w:t>
      </w:r>
      <w:r>
        <w:rPr>
          <w:bCs/>
          <w:color w:val="000000"/>
          <w:sz w:val="24"/>
          <w:szCs w:val="24"/>
        </w:rPr>
        <w:t xml:space="preserve">8.5.Стороны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widowControl/>
        <w:shd w:val="clear" w:color="auto" w:fill="FFFFFF"/>
        <w:tabs>
          <w:tab w:val="clear" w:pos="708"/>
          <w:tab w:val="left" w:pos="1134" w:leader="none"/>
          <w:tab w:val="left" w:pos="1276" w:leader="none"/>
        </w:tabs>
        <w:spacing w:before="0" w:after="0"/>
        <w:contextualSpacing/>
        <w:jc w:val="both"/>
        <w:rPr>
          <w:bCs/>
          <w:color w:val="000000"/>
          <w:sz w:val="24"/>
          <w:szCs w:val="24"/>
        </w:rPr>
      </w:pPr>
      <w:r>
        <w:rPr>
          <w:bCs/>
          <w:color w:val="000000"/>
          <w:sz w:val="24"/>
          <w:szCs w:val="24"/>
        </w:rPr>
        <w:t xml:space="preserve">         </w:t>
      </w:r>
      <w:r>
        <w:rPr>
          <w:bCs/>
          <w:color w:val="000000"/>
          <w:sz w:val="24"/>
          <w:szCs w:val="24"/>
        </w:rPr>
        <w:t xml:space="preserve">8.6.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widowControl/>
        <w:shd w:val="clear" w:color="auto" w:fill="FFFFFF"/>
        <w:tabs>
          <w:tab w:val="clear" w:pos="708"/>
          <w:tab w:val="left" w:pos="1134" w:leader="none"/>
          <w:tab w:val="left" w:pos="1276" w:leader="none"/>
        </w:tabs>
        <w:spacing w:before="0" w:after="0"/>
        <w:contextualSpacing/>
        <w:jc w:val="both"/>
        <w:rPr>
          <w:bCs/>
          <w:color w:val="000000"/>
          <w:sz w:val="24"/>
          <w:szCs w:val="24"/>
        </w:rPr>
      </w:pPr>
      <w:r>
        <w:rPr>
          <w:bCs/>
          <w:color w:val="000000"/>
          <w:sz w:val="24"/>
          <w:szCs w:val="24"/>
        </w:rPr>
        <w:t xml:space="preserve">            </w:t>
      </w:r>
      <w:r>
        <w:rPr>
          <w:bCs/>
          <w:color w:val="000000"/>
          <w:sz w:val="24"/>
          <w:szCs w:val="24"/>
        </w:rPr>
        <w:t xml:space="preserve">8.7.Каналы связи Линия доверия Группы РусГидро: </w:t>
      </w:r>
    </w:p>
    <w:p>
      <w:pPr>
        <w:pStyle w:val="Normal"/>
        <w:shd w:val="clear" w:color="auto" w:fill="FFFFFF"/>
        <w:tabs>
          <w:tab w:val="clear" w:pos="708"/>
          <w:tab w:val="left" w:pos="567" w:leader="none"/>
          <w:tab w:val="left" w:pos="1134" w:leader="none"/>
        </w:tabs>
        <w:ind w:firstLine="709"/>
        <w:jc w:val="both"/>
        <w:rPr>
          <w:sz w:val="24"/>
          <w:szCs w:val="24"/>
        </w:rPr>
      </w:pPr>
      <w:r>
        <w:rPr>
          <w:sz w:val="24"/>
          <w:szCs w:val="24"/>
        </w:rPr>
        <w:t>8.7.1. Электронная почта: ld@rushydro.ru.</w:t>
      </w:r>
    </w:p>
    <w:p>
      <w:pPr>
        <w:pStyle w:val="Normal"/>
        <w:shd w:val="clear" w:color="auto" w:fill="FFFFFF"/>
        <w:tabs>
          <w:tab w:val="clear" w:pos="708"/>
          <w:tab w:val="left" w:pos="567" w:leader="none"/>
          <w:tab w:val="left" w:pos="1134" w:leader="none"/>
        </w:tabs>
        <w:ind w:firstLine="709"/>
        <w:jc w:val="both"/>
        <w:rPr>
          <w:sz w:val="24"/>
          <w:szCs w:val="24"/>
        </w:rPr>
      </w:pPr>
      <w:r>
        <w:rPr>
          <w:sz w:val="24"/>
          <w:szCs w:val="24"/>
        </w:rPr>
        <w:t>8.7.2. 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Normal"/>
        <w:ind w:firstLine="709"/>
        <w:jc w:val="both"/>
        <w:rPr>
          <w:sz w:val="24"/>
          <w:szCs w:val="24"/>
        </w:rPr>
      </w:pPr>
      <w:r>
        <w:rPr>
          <w:sz w:val="24"/>
          <w:szCs w:val="24"/>
        </w:rPr>
        <w:t>8.7.3.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tabs>
          <w:tab w:val="clear" w:pos="708"/>
          <w:tab w:val="left" w:pos="0" w:leader="none"/>
          <w:tab w:val="left" w:pos="284" w:leader="none"/>
          <w:tab w:val="left" w:pos="567" w:leader="none"/>
        </w:tabs>
        <w:ind w:firstLine="709"/>
        <w:jc w:val="both"/>
        <w:rPr>
          <w:b/>
          <w:bCs/>
          <w:sz w:val="24"/>
          <w:szCs w:val="24"/>
        </w:rPr>
      </w:pPr>
      <w:r>
        <w:rPr>
          <w:b/>
          <w:bCs/>
          <w:sz w:val="24"/>
          <w:szCs w:val="24"/>
        </w:rPr>
      </w:r>
    </w:p>
    <w:p>
      <w:pPr>
        <w:pStyle w:val="Normal"/>
        <w:tabs>
          <w:tab w:val="clear" w:pos="708"/>
          <w:tab w:val="left" w:pos="0" w:leader="none"/>
          <w:tab w:val="left" w:pos="284" w:leader="none"/>
          <w:tab w:val="left" w:pos="567" w:leader="none"/>
        </w:tabs>
        <w:ind w:firstLine="709"/>
        <w:jc w:val="both"/>
        <w:rPr>
          <w:b/>
          <w:bCs/>
          <w:sz w:val="24"/>
          <w:szCs w:val="24"/>
        </w:rPr>
      </w:pPr>
      <w:r>
        <w:rPr>
          <w:b/>
          <w:bCs/>
          <w:sz w:val="24"/>
          <w:szCs w:val="24"/>
        </w:rPr>
      </w:r>
    </w:p>
    <w:p>
      <w:pPr>
        <w:pStyle w:val="Normal"/>
        <w:widowControl/>
        <w:shd w:val="clear" w:color="auto" w:fill="FFFFFF"/>
        <w:spacing w:before="0" w:after="0"/>
        <w:contextualSpacing/>
        <w:jc w:val="center"/>
        <w:rPr>
          <w:b/>
          <w:bCs/>
          <w:sz w:val="24"/>
          <w:szCs w:val="24"/>
        </w:rPr>
      </w:pPr>
      <w:r>
        <w:rPr>
          <w:b/>
          <w:bCs/>
          <w:sz w:val="24"/>
          <w:szCs w:val="24"/>
        </w:rPr>
        <w:t>9. Обстоятельства непреодолимой силы (форс-мажор)</w:t>
      </w:r>
    </w:p>
    <w:p>
      <w:pPr>
        <w:pStyle w:val="Normal"/>
        <w:widowControl/>
        <w:shd w:val="clear" w:color="auto" w:fill="FFFFFF"/>
        <w:tabs>
          <w:tab w:val="clear" w:pos="708"/>
          <w:tab w:val="left" w:pos="0" w:leader="none"/>
          <w:tab w:val="left" w:pos="1134" w:leader="none"/>
          <w:tab w:val="left" w:pos="1418" w:leader="none"/>
        </w:tabs>
        <w:spacing w:before="0" w:after="0"/>
        <w:contextualSpacing/>
        <w:jc w:val="both"/>
        <w:rPr>
          <w:bCs/>
          <w:sz w:val="24"/>
          <w:szCs w:val="24"/>
        </w:rPr>
      </w:pPr>
      <w:r>
        <w:rPr>
          <w:bCs/>
          <w:sz w:val="24"/>
          <w:szCs w:val="24"/>
        </w:rPr>
        <w:t xml:space="preserve">              </w:t>
      </w:r>
      <w:r>
        <w:rPr>
          <w:bCs/>
          <w:sz w:val="24"/>
          <w:szCs w:val="24"/>
        </w:rPr>
        <w:t>9.1. 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Normal"/>
        <w:widowControl/>
        <w:shd w:val="clear" w:color="auto" w:fill="FFFFFF"/>
        <w:tabs>
          <w:tab w:val="clear" w:pos="708"/>
          <w:tab w:val="left" w:pos="0" w:leader="none"/>
          <w:tab w:val="left" w:pos="1134" w:leader="none"/>
          <w:tab w:val="left" w:pos="1418" w:leader="none"/>
        </w:tabs>
        <w:spacing w:before="0" w:after="0"/>
        <w:contextualSpacing/>
        <w:jc w:val="both"/>
        <w:rPr>
          <w:bCs/>
          <w:sz w:val="24"/>
          <w:szCs w:val="24"/>
        </w:rPr>
      </w:pPr>
      <w:r>
        <w:rPr>
          <w:bCs/>
          <w:sz w:val="24"/>
          <w:szCs w:val="24"/>
        </w:rPr>
        <w:t xml:space="preserve">     </w:t>
      </w:r>
      <w:r>
        <w:rPr>
          <w:bCs/>
          <w:sz w:val="24"/>
          <w:szCs w:val="24"/>
        </w:rPr>
        <w:t xml:space="preserve">9.2. Сторона имеет право ссылаться на обстоятельства непреодолимой силы только </w:t>
        <w:br/>
        <w:t>в случае, если такие обстоятельства непосредственно повлияли на возможность исполнения этой Стороной условий Договора.</w:t>
      </w:r>
    </w:p>
    <w:p>
      <w:pPr>
        <w:pStyle w:val="Normal"/>
        <w:widowControl/>
        <w:shd w:val="clear" w:color="auto" w:fill="FFFFFF"/>
        <w:tabs>
          <w:tab w:val="clear" w:pos="708"/>
          <w:tab w:val="left" w:pos="0" w:leader="none"/>
          <w:tab w:val="left" w:pos="1134" w:leader="none"/>
          <w:tab w:val="left" w:pos="1418" w:leader="none"/>
        </w:tabs>
        <w:spacing w:before="0" w:after="0"/>
        <w:contextualSpacing/>
        <w:jc w:val="both"/>
        <w:rPr>
          <w:bCs/>
          <w:sz w:val="24"/>
          <w:szCs w:val="24"/>
        </w:rPr>
      </w:pPr>
      <w:r>
        <w:rPr>
          <w:bCs/>
          <w:sz w:val="24"/>
          <w:szCs w:val="24"/>
        </w:rPr>
        <w:t xml:space="preserve">   </w:t>
      </w:r>
      <w:r>
        <w:rPr>
          <w:bCs/>
          <w:sz w:val="24"/>
          <w:szCs w:val="24"/>
        </w:rPr>
        <w:t xml:space="preserve">9.3. 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br/>
        <w:t>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Normal"/>
        <w:widowControl/>
        <w:shd w:val="clear" w:color="auto" w:fill="FFFFFF"/>
        <w:tabs>
          <w:tab w:val="clear" w:pos="708"/>
          <w:tab w:val="left" w:pos="0" w:leader="none"/>
          <w:tab w:val="left" w:pos="1134" w:leader="none"/>
          <w:tab w:val="left" w:pos="1418" w:leader="none"/>
        </w:tabs>
        <w:spacing w:before="0" w:after="0"/>
        <w:contextualSpacing/>
        <w:jc w:val="both"/>
        <w:rPr>
          <w:bCs/>
          <w:sz w:val="24"/>
          <w:szCs w:val="24"/>
        </w:rPr>
      </w:pPr>
      <w:r>
        <w:rPr>
          <w:sz w:val="24"/>
          <w:szCs w:val="24"/>
        </w:rPr>
        <w:t xml:space="preserve">  </w:t>
      </w:r>
      <w:r>
        <w:rPr>
          <w:sz w:val="24"/>
          <w:szCs w:val="24"/>
        </w:rPr>
        <w:t>9.4. 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Normal"/>
        <w:widowControl/>
        <w:shd w:val="clear" w:color="auto" w:fill="FFFFFF"/>
        <w:tabs>
          <w:tab w:val="clear" w:pos="708"/>
          <w:tab w:val="left" w:pos="0" w:leader="none"/>
          <w:tab w:val="left" w:pos="1134" w:leader="none"/>
          <w:tab w:val="left" w:pos="1418" w:leader="none"/>
        </w:tabs>
        <w:spacing w:before="0" w:after="0"/>
        <w:contextualSpacing/>
        <w:jc w:val="both"/>
        <w:rPr>
          <w:bCs/>
          <w:sz w:val="24"/>
          <w:szCs w:val="24"/>
        </w:rPr>
      </w:pPr>
      <w:r>
        <w:rPr>
          <w:bCs/>
          <w:sz w:val="24"/>
          <w:szCs w:val="24"/>
        </w:rPr>
        <w:t xml:space="preserve"> </w:t>
      </w:r>
      <w:r>
        <w:rPr>
          <w:bCs/>
          <w:sz w:val="24"/>
          <w:szCs w:val="24"/>
        </w:rPr>
        <w:t xml:space="preserve">9.5. Отсутствие уведомления или несвоевременное уведомление </w:t>
        <w:br/>
        <w:t xml:space="preserve">об обстоятельствах непреодолимой силы лишает соответствующую Сторону права </w:t>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Normal"/>
        <w:widowControl/>
        <w:shd w:val="clear" w:color="auto" w:fill="FFFFFF"/>
        <w:tabs>
          <w:tab w:val="clear" w:pos="708"/>
          <w:tab w:val="left" w:pos="0" w:leader="none"/>
          <w:tab w:val="left" w:pos="568" w:leader="none"/>
          <w:tab w:val="left" w:pos="1134" w:leader="none"/>
          <w:tab w:val="left" w:pos="1418" w:leader="none"/>
        </w:tabs>
        <w:spacing w:before="0" w:after="0"/>
        <w:contextualSpacing/>
        <w:jc w:val="both"/>
        <w:rPr>
          <w:bCs/>
          <w:sz w:val="24"/>
          <w:szCs w:val="24"/>
        </w:rPr>
      </w:pPr>
      <w:r>
        <w:rPr>
          <w:bCs/>
          <w:sz w:val="24"/>
          <w:szCs w:val="24"/>
        </w:rPr>
        <w:t xml:space="preserve">   </w:t>
      </w:r>
      <w:r>
        <w:rPr>
          <w:bCs/>
          <w:sz w:val="24"/>
          <w:szCs w:val="24"/>
        </w:rPr>
        <w:t>9.6. 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Normal"/>
        <w:shd w:val="clear" w:color="auto" w:fill="FFFFFF"/>
        <w:tabs>
          <w:tab w:val="clear" w:pos="708"/>
          <w:tab w:val="left" w:pos="0" w:leader="none"/>
          <w:tab w:val="left" w:pos="568" w:leader="none"/>
          <w:tab w:val="left" w:pos="1418" w:leader="none"/>
        </w:tabs>
        <w:ind w:firstLine="709"/>
        <w:jc w:val="both"/>
        <w:rPr>
          <w:bCs/>
          <w:sz w:val="24"/>
          <w:szCs w:val="24"/>
        </w:rPr>
      </w:pPr>
      <w:r>
        <w:rPr>
          <w:bCs/>
          <w:sz w:val="24"/>
          <w:szCs w:val="24"/>
        </w:rPr>
        <w:t xml:space="preserve">При этом любая из Сторон вправе отказаться от исполнения Договора </w:t>
        <w:br/>
        <w:t>в одностороннем внесудебном порядке.</w:t>
      </w:r>
    </w:p>
    <w:p>
      <w:pPr>
        <w:pStyle w:val="Normal"/>
        <w:shd w:val="clear" w:color="auto" w:fill="FFFFFF"/>
        <w:ind w:firstLine="709"/>
        <w:jc w:val="both"/>
        <w:rPr>
          <w:sz w:val="24"/>
          <w:szCs w:val="24"/>
        </w:rPr>
      </w:pPr>
      <w:r>
        <w:rPr>
          <w:sz w:val="24"/>
          <w:szCs w:val="24"/>
        </w:rPr>
      </w:r>
    </w:p>
    <w:p>
      <w:pPr>
        <w:pStyle w:val="Normal"/>
        <w:widowControl/>
        <w:shd w:val="clear" w:color="auto" w:fill="FFFFFF"/>
        <w:spacing w:before="0" w:after="0"/>
        <w:contextualSpacing/>
        <w:jc w:val="center"/>
        <w:rPr>
          <w:b/>
          <w:bCs/>
          <w:sz w:val="24"/>
          <w:szCs w:val="24"/>
        </w:rPr>
      </w:pPr>
      <w:r>
        <w:rPr>
          <w:b/>
          <w:bCs/>
          <w:sz w:val="24"/>
          <w:szCs w:val="24"/>
        </w:rPr>
        <w:t>10. Особые положения</w:t>
      </w:r>
    </w:p>
    <w:p>
      <w:pPr>
        <w:pStyle w:val="Normal"/>
        <w:widowControl/>
        <w:shd w:val="clear" w:color="auto" w:fill="FFFFFF"/>
        <w:spacing w:before="0" w:after="0"/>
        <w:contextualSpacing/>
        <w:jc w:val="center"/>
        <w:rPr>
          <w:b/>
          <w:bCs/>
          <w:sz w:val="24"/>
          <w:szCs w:val="24"/>
        </w:rPr>
      </w:pPr>
      <w:r>
        <w:rPr>
          <w:b/>
          <w:bCs/>
          <w:sz w:val="24"/>
          <w:szCs w:val="24"/>
        </w:rPr>
      </w:r>
    </w:p>
    <w:p>
      <w:pPr>
        <w:pStyle w:val="Normal"/>
        <w:widowControl/>
        <w:shd w:val="clear" w:color="auto" w:fill="FFFFFF"/>
        <w:tabs>
          <w:tab w:val="clear" w:pos="708"/>
          <w:tab w:val="left" w:pos="0" w:leader="none"/>
          <w:tab w:val="left" w:pos="568" w:leader="none"/>
          <w:tab w:val="left" w:pos="1134" w:leader="none"/>
          <w:tab w:val="left" w:pos="1418" w:leader="none"/>
        </w:tabs>
        <w:spacing w:before="0" w:after="0"/>
        <w:contextualSpacing/>
        <w:jc w:val="both"/>
        <w:rPr>
          <w:bCs/>
          <w:sz w:val="24"/>
          <w:szCs w:val="24"/>
        </w:rPr>
      </w:pPr>
      <w:r>
        <w:rPr>
          <w:bCs/>
          <w:sz w:val="24"/>
          <w:szCs w:val="24"/>
        </w:rPr>
        <w:t xml:space="preserve">     </w:t>
      </w:r>
      <w:r>
        <w:rPr>
          <w:bCs/>
          <w:sz w:val="24"/>
          <w:szCs w:val="24"/>
        </w:rPr>
        <w:t xml:space="preserve">10.1. </w:t>
      </w:r>
      <w:bookmarkStart w:id="9" w:name="_Ref361337900"/>
      <w:r>
        <w:rPr>
          <w:bCs/>
          <w:sz w:val="24"/>
          <w:szCs w:val="24"/>
        </w:rPr>
        <w:t>Поставщик обязуется не привлекать и не допускать привлечения к исполнению обязательств по Договору организации:</w:t>
      </w:r>
    </w:p>
    <w:p>
      <w:pPr>
        <w:pStyle w:val="Normal"/>
        <w:widowControl/>
        <w:numPr>
          <w:ilvl w:val="1"/>
          <w:numId w:val="5"/>
        </w:numPr>
        <w:shd w:val="clear" w:color="auto" w:fill="FFFFFF"/>
        <w:tabs>
          <w:tab w:val="clear" w:pos="708"/>
          <w:tab w:val="left" w:pos="1134" w:leader="none"/>
        </w:tabs>
        <w:spacing w:before="0" w:after="0"/>
        <w:ind w:firstLine="709" w:left="0"/>
        <w:contextualSpacing/>
        <w:jc w:val="both"/>
        <w:rPr>
          <w:bCs/>
          <w:sz w:val="24"/>
          <w:szCs w:val="24"/>
        </w:rPr>
      </w:pPr>
      <w:r>
        <w:rPr>
          <w:bCs/>
          <w:sz w:val="24"/>
          <w:szCs w:val="24"/>
        </w:rPr>
        <w:t xml:space="preserve"> </w:t>
      </w:r>
      <w:r>
        <w:rPr>
          <w:bCs/>
          <w:sz w:val="24"/>
          <w:szCs w:val="24"/>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rStyle w:val="Hyperlink"/>
            <w:bCs/>
            <w:color w:val="auto"/>
            <w:sz w:val="24"/>
            <w:szCs w:val="24"/>
            <w:u w:val="none"/>
          </w:rPr>
          <w:t>№ 18162/09</w:t>
        </w:r>
      </w:hyperlink>
      <w:r>
        <w:rPr>
          <w:bCs/>
          <w:sz w:val="24"/>
          <w:szCs w:val="24"/>
        </w:rPr>
        <w:t xml:space="preserve"> </w:t>
        <w:br/>
        <w:t xml:space="preserve">и от 25.05.2010 </w:t>
      </w:r>
      <w:hyperlink r:id="rId3">
        <w:r>
          <w:rPr>
            <w:rStyle w:val="Hyperlink"/>
            <w:bCs/>
            <w:color w:val="auto"/>
            <w:sz w:val="24"/>
            <w:szCs w:val="24"/>
            <w:u w:val="none"/>
          </w:rPr>
          <w:t>№ 15658/09</w:t>
        </w:r>
      </w:hyperlink>
      <w:r>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w:t>
        <w:br/>
        <w:t xml:space="preserve">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w:t>
        <w:br/>
        <w:t xml:space="preserve">и / или </w:t>
      </w:r>
    </w:p>
    <w:p>
      <w:pPr>
        <w:pStyle w:val="Normal"/>
        <w:widowControl/>
        <w:numPr>
          <w:ilvl w:val="1"/>
          <w:numId w:val="5"/>
        </w:numPr>
        <w:shd w:val="clear" w:color="auto" w:fill="FFFFFF"/>
        <w:tabs>
          <w:tab w:val="clear" w:pos="708"/>
          <w:tab w:val="left" w:pos="1134" w:leader="none"/>
        </w:tabs>
        <w:spacing w:before="0" w:after="0"/>
        <w:ind w:firstLine="709" w:left="0"/>
        <w:contextualSpacing/>
        <w:jc w:val="both"/>
        <w:rPr>
          <w:bCs/>
          <w:sz w:val="24"/>
          <w:szCs w:val="24"/>
        </w:rPr>
      </w:pPr>
      <w:r>
        <w:rPr>
          <w:bCs/>
          <w:sz w:val="24"/>
          <w:szCs w:val="24"/>
        </w:rPr>
        <w:t xml:space="preserve">соответствующие </w:t>
      </w:r>
      <w:hyperlink r:id="rId4">
        <w:r>
          <w:rPr>
            <w:rStyle w:val="Hyperlink"/>
            <w:bCs/>
            <w:color w:val="auto"/>
            <w:sz w:val="24"/>
            <w:szCs w:val="24"/>
            <w:u w:val="none"/>
          </w:rPr>
          <w:t>Критери</w:t>
        </w:r>
      </w:hyperlink>
      <w:r>
        <w:rPr>
          <w:bCs/>
          <w:sz w:val="24"/>
          <w:szCs w:val="24"/>
        </w:rPr>
        <w:t xml:space="preserve">ям самостоятельной оценки рисков </w:t>
        <w:br/>
        <w:t xml:space="preserve">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w:t>
        <w:br/>
        <w:t>от 30.05.2007 № ММ-3-06/333@).</w:t>
      </w:r>
      <w:bookmarkEnd w:id="9"/>
    </w:p>
    <w:p>
      <w:pPr>
        <w:pStyle w:val="Normal"/>
        <w:widowControl/>
        <w:shd w:val="clear" w:color="auto" w:fill="FFFFFF"/>
        <w:tabs>
          <w:tab w:val="clear" w:pos="708"/>
          <w:tab w:val="left" w:pos="0" w:leader="none"/>
          <w:tab w:val="left" w:pos="568" w:leader="none"/>
          <w:tab w:val="left" w:pos="1134" w:leader="none"/>
          <w:tab w:val="left" w:pos="1418" w:leader="none"/>
        </w:tabs>
        <w:spacing w:before="0" w:after="0"/>
        <w:contextualSpacing/>
        <w:jc w:val="both"/>
        <w:rPr>
          <w:bCs/>
          <w:sz w:val="24"/>
          <w:szCs w:val="24"/>
        </w:rPr>
      </w:pPr>
      <w:r>
        <w:rPr>
          <w:bCs/>
          <w:sz w:val="24"/>
          <w:szCs w:val="24"/>
        </w:rPr>
        <w:t xml:space="preserve">   </w:t>
      </w:r>
      <w:r>
        <w:rPr>
          <w:bCs/>
          <w:sz w:val="24"/>
          <w:szCs w:val="24"/>
        </w:rPr>
        <w:t>10.2.</w:t>
      </w:r>
      <w:bookmarkStart w:id="10" w:name="_Ref361337921"/>
      <w:r>
        <w:rPr>
          <w:bCs/>
          <w:sz w:val="24"/>
          <w:szCs w:val="24"/>
        </w:rPr>
        <w:t xml:space="preserve">Поставщик обязуется незамедлительно уведомить Покупателя о появлении </w:t>
        <w:br/>
        <w:t>в ходе исполнения Договора у привлеченных Поставщиком Субпоставщиков признаков недобросовестности, указанных в пункте 9.1 Договора, а также обеспечить прекращение участия таких организаций в исполнении Договора.</w:t>
      </w:r>
      <w:bookmarkEnd w:id="10"/>
    </w:p>
    <w:p>
      <w:pPr>
        <w:pStyle w:val="Normal"/>
        <w:widowControl/>
        <w:shd w:val="clear" w:color="auto" w:fill="FFFFFF"/>
        <w:tabs>
          <w:tab w:val="clear" w:pos="708"/>
          <w:tab w:val="left" w:pos="0" w:leader="none"/>
          <w:tab w:val="left" w:pos="568" w:leader="none"/>
          <w:tab w:val="left" w:pos="1134" w:leader="none"/>
          <w:tab w:val="left" w:pos="1418" w:leader="none"/>
        </w:tabs>
        <w:spacing w:before="0" w:after="0"/>
        <w:contextualSpacing/>
        <w:jc w:val="both"/>
        <w:rPr>
          <w:bCs/>
          <w:sz w:val="24"/>
          <w:szCs w:val="24"/>
        </w:rPr>
      </w:pPr>
      <w:r>
        <w:rPr>
          <w:bCs/>
          <w:sz w:val="24"/>
          <w:szCs w:val="24"/>
        </w:rPr>
        <w:t xml:space="preserve">       </w:t>
      </w:r>
      <w:r>
        <w:rPr>
          <w:bCs/>
          <w:sz w:val="24"/>
          <w:szCs w:val="24"/>
        </w:rPr>
        <w:t>10.3.</w:t>
      </w:r>
      <w:bookmarkStart w:id="11" w:name="_Ref361337948"/>
      <w:r>
        <w:rPr>
          <w:bCs/>
          <w:sz w:val="24"/>
          <w:szCs w:val="24"/>
        </w:rPr>
        <w:t xml:space="preserve"> В случае нарушения Поставщиком обязательств, установленных пунктами 9.1, 9.2 Договора, Покупатель вправе в одностороннем внесудебном порядке отказаться </w:t>
        <w:br/>
        <w:t xml:space="preserve">от Договора путем направления уведомления об отказе от Договора (исполнения Договора) </w:t>
        <w:br/>
        <w:t xml:space="preserve">с указанием даты прекращения (расторжения) Договора, которая не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w:t>
        <w:br/>
        <w:t>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до наступления указанной Покупателем даты расторжения.</w:t>
      </w:r>
      <w:bookmarkEnd w:id="11"/>
    </w:p>
    <w:p>
      <w:pPr>
        <w:pStyle w:val="Normal"/>
        <w:widowControl/>
        <w:shd w:val="clear" w:color="auto" w:fill="FFFFFF"/>
        <w:tabs>
          <w:tab w:val="clear" w:pos="708"/>
          <w:tab w:val="left" w:pos="0" w:leader="none"/>
          <w:tab w:val="left" w:pos="568" w:leader="none"/>
          <w:tab w:val="left" w:pos="1134" w:leader="none"/>
          <w:tab w:val="left" w:pos="1418" w:leader="none"/>
        </w:tabs>
        <w:spacing w:before="0" w:after="0"/>
        <w:contextualSpacing/>
        <w:jc w:val="both"/>
        <w:rPr>
          <w:bCs/>
          <w:sz w:val="24"/>
          <w:szCs w:val="24"/>
        </w:rPr>
      </w:pPr>
      <w:r>
        <w:rPr>
          <w:bCs/>
          <w:sz w:val="24"/>
          <w:szCs w:val="24"/>
        </w:rPr>
        <w:t xml:space="preserve">          </w:t>
      </w:r>
      <w:r>
        <w:rPr>
          <w:bCs/>
          <w:sz w:val="24"/>
          <w:szCs w:val="24"/>
        </w:rPr>
        <w:t>10.4. П</w:t>
      </w:r>
      <w:bookmarkStart w:id="12" w:name="_Ref361337980"/>
      <w:r>
        <w:rPr>
          <w:bCs/>
          <w:sz w:val="24"/>
          <w:szCs w:val="24"/>
        </w:rPr>
        <w:t>оставщик обязан уплатить Покупателю штраф в размере суммы денежных средств, перечисленных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9.1, 9.2 Договора.</w:t>
      </w:r>
      <w:bookmarkEnd w:id="12"/>
    </w:p>
    <w:p>
      <w:pPr>
        <w:pStyle w:val="Normal"/>
        <w:widowControl/>
        <w:shd w:val="clear" w:color="auto" w:fill="FFFFFF"/>
        <w:tabs>
          <w:tab w:val="clear" w:pos="708"/>
          <w:tab w:val="left" w:pos="0" w:leader="none"/>
          <w:tab w:val="left" w:pos="568" w:leader="none"/>
          <w:tab w:val="left" w:pos="1134" w:leader="none"/>
          <w:tab w:val="left" w:pos="1418" w:leader="none"/>
        </w:tabs>
        <w:spacing w:before="0" w:after="0"/>
        <w:contextualSpacing/>
        <w:jc w:val="both"/>
        <w:rPr>
          <w:bCs/>
          <w:sz w:val="24"/>
          <w:szCs w:val="24"/>
        </w:rPr>
      </w:pPr>
      <w:r>
        <w:rPr>
          <w:bCs/>
          <w:sz w:val="24"/>
          <w:szCs w:val="24"/>
        </w:rPr>
        <w:t xml:space="preserve">   </w:t>
      </w:r>
      <w:r>
        <w:rPr>
          <w:bCs/>
          <w:sz w:val="24"/>
          <w:szCs w:val="24"/>
        </w:rPr>
        <w:t xml:space="preserve">10.5. </w:t>
      </w:r>
      <w:bookmarkStart w:id="13" w:name="_Ref373243071"/>
      <w:r>
        <w:rPr>
          <w:bCs/>
          <w:sz w:val="24"/>
          <w:szCs w:val="24"/>
        </w:rPr>
        <w:t xml:space="preserve">Штраф, предусмотренный пунктом 9.4 Договора, оплачивается Поставщиком </w:t>
        <w:br/>
        <w:t xml:space="preserve">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w:t>
        <w:br/>
        <w:t>вне независимости от направления уведомления об отказе от Договора (исполнения Договора), предусмотренного пунктом 9.3 Договора.</w:t>
      </w:r>
      <w:bookmarkEnd w:id="13"/>
    </w:p>
    <w:p>
      <w:pPr>
        <w:pStyle w:val="Normal"/>
        <w:widowControl/>
        <w:shd w:val="clear" w:color="auto" w:fill="FFFFFF"/>
        <w:tabs>
          <w:tab w:val="clear" w:pos="708"/>
          <w:tab w:val="left" w:pos="0" w:leader="none"/>
          <w:tab w:val="left" w:pos="568" w:leader="none"/>
          <w:tab w:val="left" w:pos="1134" w:leader="none"/>
          <w:tab w:val="left" w:pos="1418" w:leader="none"/>
        </w:tabs>
        <w:spacing w:before="0" w:after="0"/>
        <w:contextualSpacing/>
        <w:jc w:val="both"/>
        <w:rPr>
          <w:bCs/>
          <w:sz w:val="24"/>
          <w:szCs w:val="24"/>
        </w:rPr>
      </w:pPr>
      <w:r>
        <w:rPr>
          <w:bCs/>
          <w:sz w:val="24"/>
          <w:szCs w:val="24"/>
        </w:rPr>
        <w:t xml:space="preserve">    </w:t>
      </w:r>
      <w:r>
        <w:rPr>
          <w:bCs/>
          <w:sz w:val="24"/>
          <w:szCs w:val="24"/>
        </w:rPr>
        <w:t xml:space="preserve">10.6. </w:t>
      </w:r>
      <w:bookmarkStart w:id="14" w:name="_Ref361337992"/>
      <w:r>
        <w:rPr>
          <w:bCs/>
          <w:sz w:val="24"/>
          <w:szCs w:val="24"/>
        </w:rPr>
        <w:t xml:space="preserve">Покупатель вправе приостановить осуществление любых платежей 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9.4. Договора. </w:t>
        <w:br/>
        <w:t>При этом Покупатель не будет считаться просрочившим и / или нарушившим свои обязательства по Договору.</w:t>
      </w:r>
      <w:bookmarkEnd w:id="14"/>
    </w:p>
    <w:p>
      <w:pPr>
        <w:pStyle w:val="Normal"/>
        <w:widowControl/>
        <w:shd w:val="clear" w:color="auto" w:fill="FFFFFF"/>
        <w:tabs>
          <w:tab w:val="clear" w:pos="708"/>
          <w:tab w:val="left" w:pos="0" w:leader="none"/>
          <w:tab w:val="left" w:pos="568" w:leader="none"/>
          <w:tab w:val="left" w:pos="1134" w:leader="none"/>
          <w:tab w:val="left" w:pos="1418" w:leader="none"/>
        </w:tabs>
        <w:spacing w:before="0" w:after="0"/>
        <w:contextualSpacing/>
        <w:jc w:val="both"/>
        <w:rPr>
          <w:bCs/>
          <w:sz w:val="24"/>
          <w:szCs w:val="24"/>
        </w:rPr>
      </w:pPr>
      <w:r>
        <w:rPr>
          <w:bCs/>
          <w:sz w:val="24"/>
          <w:szCs w:val="24"/>
        </w:rPr>
        <w:t xml:space="preserve">     </w:t>
      </w:r>
      <w:r>
        <w:rPr>
          <w:bCs/>
          <w:sz w:val="24"/>
          <w:szCs w:val="24"/>
        </w:rPr>
        <w:t>10.7. Независимо от других положений Договора, положения пунктов 9.4, 9.5 Договора продолжают действовать в течение 4 (четырех) лет после его прекращения (расторжения) или исполнения.</w:t>
      </w:r>
    </w:p>
    <w:p>
      <w:pPr>
        <w:pStyle w:val="Normal"/>
        <w:widowControl/>
        <w:shd w:val="clear" w:color="auto" w:fill="FFFFFF"/>
        <w:tabs>
          <w:tab w:val="clear" w:pos="708"/>
          <w:tab w:val="left" w:pos="1134" w:leader="none"/>
        </w:tabs>
        <w:jc w:val="both"/>
        <w:rPr>
          <w:bCs/>
          <w:sz w:val="24"/>
          <w:szCs w:val="24"/>
        </w:rPr>
      </w:pPr>
      <w:r>
        <w:rPr>
          <w:bCs/>
          <w:sz w:val="24"/>
          <w:szCs w:val="24"/>
        </w:rPr>
      </w:r>
    </w:p>
    <w:p>
      <w:pPr>
        <w:pStyle w:val="Normal"/>
        <w:widowControl/>
        <w:shd w:val="clear" w:color="auto" w:fill="FFFFFF"/>
        <w:tabs>
          <w:tab w:val="clear" w:pos="708"/>
          <w:tab w:val="left" w:pos="426" w:leader="none"/>
        </w:tabs>
        <w:spacing w:before="0" w:after="0"/>
        <w:contextualSpacing/>
        <w:jc w:val="center"/>
        <w:rPr>
          <w:b/>
          <w:sz w:val="24"/>
          <w:szCs w:val="24"/>
        </w:rPr>
      </w:pPr>
      <w:r>
        <w:rPr>
          <w:b/>
          <w:bCs/>
          <w:sz w:val="24"/>
          <w:szCs w:val="24"/>
        </w:rPr>
        <w:t>11. Заверения</w:t>
      </w:r>
      <w:r>
        <w:rPr>
          <w:b/>
          <w:sz w:val="24"/>
          <w:szCs w:val="24"/>
        </w:rPr>
        <w:t xml:space="preserve"> Сторон</w:t>
      </w:r>
    </w:p>
    <w:p>
      <w:pPr>
        <w:pStyle w:val="Normal"/>
        <w:widowControl/>
        <w:shd w:val="clear" w:color="auto" w:fill="FFFFFF"/>
        <w:tabs>
          <w:tab w:val="clear" w:pos="708"/>
          <w:tab w:val="left" w:pos="426" w:leader="none"/>
        </w:tabs>
        <w:spacing w:before="0" w:after="0"/>
        <w:contextualSpacing/>
        <w:jc w:val="center"/>
        <w:rPr>
          <w:b/>
          <w:sz w:val="24"/>
          <w:szCs w:val="24"/>
        </w:rPr>
      </w:pPr>
      <w:r>
        <w:rPr>
          <w:b/>
          <w:sz w:val="24"/>
          <w:szCs w:val="24"/>
        </w:rPr>
        <w:t xml:space="preserve"> </w:t>
      </w:r>
    </w:p>
    <w:p>
      <w:pPr>
        <w:pStyle w:val="Normal"/>
        <w:widowControl/>
        <w:shd w:val="clear" w:color="auto" w:fill="FFFFFF"/>
        <w:tabs>
          <w:tab w:val="clear" w:pos="708"/>
          <w:tab w:val="left" w:pos="1134" w:leader="none"/>
          <w:tab w:val="left" w:pos="1418" w:leader="none"/>
        </w:tabs>
        <w:spacing w:before="0" w:after="0"/>
        <w:contextualSpacing/>
        <w:jc w:val="both"/>
        <w:rPr>
          <w:sz w:val="24"/>
          <w:szCs w:val="24"/>
        </w:rPr>
      </w:pPr>
      <w:r>
        <w:rPr>
          <w:bCs/>
          <w:sz w:val="24"/>
          <w:szCs w:val="24"/>
        </w:rPr>
        <w:t xml:space="preserve">          </w:t>
      </w:r>
      <w:r>
        <w:rPr>
          <w:bCs/>
          <w:sz w:val="24"/>
          <w:szCs w:val="24"/>
        </w:rPr>
        <w:t>11.1. Каждая</w:t>
      </w:r>
      <w:r>
        <w:rPr>
          <w:sz w:val="24"/>
          <w:szCs w:val="24"/>
        </w:rPr>
        <w:t xml:space="preserve"> из Сторон заявляет и подтверждает другой Стороне, что: </w:t>
      </w:r>
    </w:p>
    <w:p>
      <w:pPr>
        <w:pStyle w:val="Normal"/>
        <w:widowControl/>
        <w:numPr>
          <w:ilvl w:val="0"/>
          <w:numId w:val="6"/>
        </w:numPr>
        <w:shd w:val="clear" w:color="auto" w:fill="FFFFFF"/>
        <w:tabs>
          <w:tab w:val="clear" w:pos="708"/>
          <w:tab w:val="left" w:pos="0" w:leader="none"/>
          <w:tab w:val="left" w:pos="709" w:leader="none"/>
          <w:tab w:val="left" w:pos="1418" w:leader="none"/>
        </w:tabs>
        <w:spacing w:before="0" w:after="0"/>
        <w:ind w:firstLine="709" w:left="0"/>
        <w:contextualSpacing/>
        <w:jc w:val="both"/>
        <w:rPr>
          <w:sz w:val="24"/>
          <w:szCs w:val="24"/>
        </w:rPr>
      </w:pPr>
      <w:r>
        <w:rPr>
          <w:sz w:val="24"/>
          <w:szCs w:val="24"/>
        </w:rPr>
        <w:t xml:space="preserve">она является юридическим лицом, надлежащим образом учрежденным </w:t>
        <w:br/>
        <w:t>и правомерно осуществляющим свою деятельность в соответствии с законодательством Российской Федерации;</w:t>
      </w:r>
    </w:p>
    <w:p>
      <w:pPr>
        <w:pStyle w:val="Normal"/>
        <w:widowControl/>
        <w:numPr>
          <w:ilvl w:val="0"/>
          <w:numId w:val="6"/>
        </w:numPr>
        <w:shd w:val="clear" w:color="auto" w:fill="FFFFFF"/>
        <w:tabs>
          <w:tab w:val="clear" w:pos="708"/>
          <w:tab w:val="left" w:pos="0" w:leader="none"/>
          <w:tab w:val="left" w:pos="709" w:leader="none"/>
          <w:tab w:val="left" w:pos="1418" w:leader="none"/>
        </w:tabs>
        <w:spacing w:before="0" w:after="0"/>
        <w:ind w:firstLine="709" w:left="0"/>
        <w:contextualSpacing/>
        <w:jc w:val="both"/>
        <w:rPr>
          <w:sz w:val="24"/>
          <w:szCs w:val="24"/>
        </w:rPr>
      </w:pPr>
      <w:r>
        <w:rPr>
          <w:sz w:val="24"/>
          <w:szCs w:val="24"/>
        </w:rPr>
        <w:t xml:space="preserve">она обладает полной правоспособностью на заключение Договора </w:t>
        <w:br/>
        <w:t>и исполнение всех своих обязательств, возникающих из Договора или в связи с ним;</w:t>
      </w:r>
    </w:p>
    <w:p>
      <w:pPr>
        <w:pStyle w:val="Normal"/>
        <w:widowControl/>
        <w:numPr>
          <w:ilvl w:val="0"/>
          <w:numId w:val="6"/>
        </w:numPr>
        <w:shd w:val="clear" w:color="auto" w:fill="FFFFFF"/>
        <w:tabs>
          <w:tab w:val="clear" w:pos="708"/>
          <w:tab w:val="left" w:pos="0" w:leader="none"/>
          <w:tab w:val="left" w:pos="709" w:leader="none"/>
          <w:tab w:val="left" w:pos="1418" w:leader="none"/>
        </w:tabs>
        <w:spacing w:before="0" w:after="0"/>
        <w:ind w:firstLine="709" w:left="0"/>
        <w:contextualSpacing/>
        <w:jc w:val="both"/>
        <w:rPr>
          <w:sz w:val="24"/>
          <w:szCs w:val="24"/>
        </w:rPr>
      </w:pPr>
      <w:r>
        <w:rPr>
          <w:sz w:val="24"/>
          <w:szCs w:val="24"/>
        </w:rPr>
        <w:t xml:space="preserve">она получила все корпоративные одобрения Договора органами управления </w:t>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br/>
        <w:t>и иных лиц, необходимые для заключения и исполнения Договора;</w:t>
      </w:r>
    </w:p>
    <w:p>
      <w:pPr>
        <w:pStyle w:val="Normal"/>
        <w:widowControl/>
        <w:numPr>
          <w:ilvl w:val="0"/>
          <w:numId w:val="6"/>
        </w:numPr>
        <w:shd w:val="clear" w:color="auto" w:fill="FFFFFF"/>
        <w:tabs>
          <w:tab w:val="clear" w:pos="708"/>
          <w:tab w:val="left" w:pos="0" w:leader="none"/>
          <w:tab w:val="left" w:pos="709" w:leader="none"/>
          <w:tab w:val="left" w:pos="1418" w:leader="none"/>
        </w:tabs>
        <w:spacing w:before="0" w:after="0"/>
        <w:ind w:firstLine="709" w:left="0"/>
        <w:contextualSpacing/>
        <w:jc w:val="both"/>
        <w:rPr>
          <w:sz w:val="24"/>
          <w:szCs w:val="24"/>
        </w:rPr>
      </w:pPr>
      <w:r>
        <w:rPr>
          <w:sz w:val="24"/>
          <w:szCs w:val="24"/>
        </w:rPr>
        <w:t>лица, подписывающие от имени Сторон Договор, надлежащим образом уполномочены на его подписание;</w:t>
      </w:r>
    </w:p>
    <w:p>
      <w:pPr>
        <w:pStyle w:val="Normal"/>
        <w:widowControl/>
        <w:numPr>
          <w:ilvl w:val="0"/>
          <w:numId w:val="6"/>
        </w:numPr>
        <w:shd w:val="clear" w:color="auto" w:fill="FFFFFF"/>
        <w:tabs>
          <w:tab w:val="clear" w:pos="708"/>
          <w:tab w:val="left" w:pos="0" w:leader="none"/>
          <w:tab w:val="left" w:pos="709" w:leader="none"/>
          <w:tab w:val="left" w:pos="1418" w:leader="none"/>
        </w:tabs>
        <w:spacing w:before="0" w:after="0"/>
        <w:ind w:firstLine="709" w:left="0"/>
        <w:contextualSpacing/>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br/>
        <w:t xml:space="preserve">или в связи с ним. </w:t>
      </w:r>
    </w:p>
    <w:p>
      <w:pPr>
        <w:pStyle w:val="Normal"/>
        <w:widowControl/>
        <w:shd w:val="clear" w:color="auto" w:fill="FFFFFF"/>
        <w:tabs>
          <w:tab w:val="clear" w:pos="708"/>
          <w:tab w:val="left" w:pos="1418" w:leader="none"/>
        </w:tabs>
        <w:spacing w:before="0" w:after="0"/>
        <w:contextualSpacing/>
        <w:jc w:val="both"/>
        <w:rPr>
          <w:sz w:val="24"/>
          <w:szCs w:val="24"/>
        </w:rPr>
      </w:pPr>
      <w:r>
        <w:rPr>
          <w:sz w:val="24"/>
          <w:szCs w:val="24"/>
        </w:rPr>
        <w:t xml:space="preserve">       </w:t>
      </w:r>
      <w:r>
        <w:rPr>
          <w:sz w:val="24"/>
          <w:szCs w:val="24"/>
        </w:rPr>
        <w:t>11.2. Поставщик заявляет и заверяет Покупателя в том, что на момент заключения Договора:</w:t>
      </w:r>
    </w:p>
    <w:p>
      <w:pPr>
        <w:pStyle w:val="Normal"/>
        <w:widowControl/>
        <w:numPr>
          <w:ilvl w:val="0"/>
          <w:numId w:val="7"/>
        </w:numPr>
        <w:shd w:val="clear" w:color="auto" w:fill="FFFFFF"/>
        <w:tabs>
          <w:tab w:val="clear" w:pos="708"/>
          <w:tab w:val="left" w:pos="0" w:leader="none"/>
          <w:tab w:val="left" w:pos="709" w:leader="none"/>
        </w:tabs>
        <w:spacing w:before="0" w:after="0"/>
        <w:ind w:firstLine="709" w:left="0"/>
        <w:contextualSpacing/>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Normal"/>
        <w:widowControl/>
        <w:numPr>
          <w:ilvl w:val="0"/>
          <w:numId w:val="7"/>
        </w:numPr>
        <w:shd w:val="clear" w:color="auto" w:fill="FFFFFF"/>
        <w:tabs>
          <w:tab w:val="clear" w:pos="708"/>
          <w:tab w:val="left" w:pos="0" w:leader="none"/>
          <w:tab w:val="left" w:pos="709" w:leader="none"/>
        </w:tabs>
        <w:spacing w:before="0" w:after="0"/>
        <w:ind w:firstLine="709" w:left="0"/>
        <w:contextualSpacing/>
        <w:jc w:val="both"/>
        <w:rPr>
          <w:sz w:val="24"/>
          <w:szCs w:val="24"/>
        </w:rPr>
      </w:pPr>
      <w:r>
        <w:rPr>
          <w:sz w:val="24"/>
          <w:szCs w:val="24"/>
        </w:rPr>
        <w:t>руководителем Поставщика является лицо, не являющееся массовым руководителем;</w:t>
      </w:r>
    </w:p>
    <w:p>
      <w:pPr>
        <w:pStyle w:val="Normal"/>
        <w:widowControl/>
        <w:numPr>
          <w:ilvl w:val="0"/>
          <w:numId w:val="7"/>
        </w:numPr>
        <w:shd w:val="clear" w:color="auto" w:fill="FFFFFF"/>
        <w:tabs>
          <w:tab w:val="clear" w:pos="708"/>
          <w:tab w:val="left" w:pos="0" w:leader="none"/>
          <w:tab w:val="left" w:pos="709" w:leader="none"/>
        </w:tabs>
        <w:spacing w:before="0" w:after="0"/>
        <w:ind w:firstLine="709" w:left="0"/>
        <w:contextualSpacing/>
        <w:jc w:val="both"/>
        <w:rPr>
          <w:sz w:val="24"/>
          <w:szCs w:val="24"/>
        </w:rPr>
      </w:pPr>
      <w:r>
        <w:rPr>
          <w:sz w:val="24"/>
          <w:szCs w:val="24"/>
        </w:rPr>
        <w:t xml:space="preserve">Поставщик фактически находится по адресу, указанному в Едином государственном реестре юридических лиц; </w:t>
      </w:r>
    </w:p>
    <w:p>
      <w:pPr>
        <w:pStyle w:val="Normal"/>
        <w:widowControl/>
        <w:numPr>
          <w:ilvl w:val="0"/>
          <w:numId w:val="7"/>
        </w:numPr>
        <w:shd w:val="clear" w:color="auto" w:fill="FFFFFF"/>
        <w:tabs>
          <w:tab w:val="clear" w:pos="708"/>
          <w:tab w:val="left" w:pos="0" w:leader="none"/>
          <w:tab w:val="left" w:pos="709" w:leader="none"/>
        </w:tabs>
        <w:spacing w:before="0" w:after="0"/>
        <w:ind w:firstLine="709" w:left="0"/>
        <w:contextualSpacing/>
        <w:jc w:val="both"/>
        <w:rPr>
          <w:sz w:val="24"/>
          <w:szCs w:val="24"/>
        </w:rPr>
      </w:pPr>
      <w:r>
        <w:rPr>
          <w:sz w:val="24"/>
          <w:szCs w:val="24"/>
        </w:rPr>
        <w:t xml:space="preserve">Поставщик своевременно и в полном объеме уплачивает налоги и сборы </w:t>
        <w:br/>
        <w:t>в соответствии с законодательством Российской Федерации;</w:t>
      </w:r>
    </w:p>
    <w:p>
      <w:pPr>
        <w:pStyle w:val="Normal"/>
        <w:widowControl/>
        <w:numPr>
          <w:ilvl w:val="0"/>
          <w:numId w:val="8"/>
        </w:numPr>
        <w:shd w:val="clear" w:color="auto" w:fill="FFFFFF"/>
        <w:tabs>
          <w:tab w:val="clear" w:pos="708"/>
          <w:tab w:val="left" w:pos="0" w:leader="none"/>
          <w:tab w:val="left" w:pos="567" w:leader="none"/>
        </w:tabs>
        <w:spacing w:before="0" w:after="0"/>
        <w:ind w:firstLine="709" w:left="0"/>
        <w:contextualSpacing/>
        <w:jc w:val="both"/>
        <w:rPr>
          <w:sz w:val="24"/>
          <w:szCs w:val="24"/>
        </w:rPr>
      </w:pPr>
      <w:r>
        <w:rPr>
          <w:sz w:val="24"/>
          <w:szCs w:val="24"/>
        </w:rPr>
        <w:t xml:space="preserve">Поставщик не находится в процедуре несостоятельности (банкротства) </w:t>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Normal"/>
        <w:widowControl/>
        <w:numPr>
          <w:ilvl w:val="0"/>
          <w:numId w:val="8"/>
        </w:numPr>
        <w:shd w:val="clear" w:color="auto" w:fill="FFFFFF"/>
        <w:tabs>
          <w:tab w:val="clear" w:pos="708"/>
          <w:tab w:val="left" w:pos="0" w:leader="none"/>
          <w:tab w:val="left" w:pos="567" w:leader="none"/>
        </w:tabs>
        <w:spacing w:before="0" w:after="0"/>
        <w:ind w:firstLine="709" w:left="0"/>
        <w:contextualSpacing/>
        <w:jc w:val="both"/>
        <w:rPr>
          <w:sz w:val="24"/>
          <w:szCs w:val="24"/>
        </w:rPr>
      </w:pPr>
      <w:r>
        <w:rPr>
          <w:sz w:val="24"/>
          <w:szCs w:val="24"/>
        </w:rPr>
        <w:t xml:space="preserve">Поставщик тщательно изучил всю информацию, связанную с Договором, </w:t>
        <w:br/>
        <w:t>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и трудности исполнения обязательств, возникающих из Договора или в связи с ним;</w:t>
      </w:r>
    </w:p>
    <w:p>
      <w:pPr>
        <w:pStyle w:val="Normal"/>
        <w:widowControl/>
        <w:numPr>
          <w:ilvl w:val="0"/>
          <w:numId w:val="8"/>
        </w:numPr>
        <w:shd w:val="clear" w:color="auto" w:fill="FFFFFF"/>
        <w:tabs>
          <w:tab w:val="clear" w:pos="708"/>
          <w:tab w:val="left" w:pos="0" w:leader="none"/>
          <w:tab w:val="left" w:pos="567" w:leader="none"/>
        </w:tabs>
        <w:spacing w:before="0" w:after="0"/>
        <w:ind w:firstLine="709" w:left="0"/>
        <w:contextualSpacing/>
        <w:jc w:val="both"/>
        <w:rPr>
          <w:sz w:val="24"/>
          <w:szCs w:val="24"/>
        </w:rPr>
      </w:pPr>
      <w:r>
        <w:rPr>
          <w:sz w:val="24"/>
          <w:szCs w:val="24"/>
        </w:rPr>
        <w:t xml:space="preserve">Поставщик своевременно и в полном объеме в соответствии </w:t>
        <w:br/>
        <w:t>с законодательством Российской Федерации намерен отражать все финансово-хозяйственные операции, связанные с исполнением Договора;</w:t>
      </w:r>
    </w:p>
    <w:p>
      <w:pPr>
        <w:pStyle w:val="Normal"/>
        <w:widowControl/>
        <w:numPr>
          <w:ilvl w:val="0"/>
          <w:numId w:val="8"/>
        </w:numPr>
        <w:shd w:val="clear" w:color="auto" w:fill="FFFFFF"/>
        <w:tabs>
          <w:tab w:val="clear" w:pos="708"/>
          <w:tab w:val="left" w:pos="0" w:leader="none"/>
          <w:tab w:val="left" w:pos="567" w:leader="none"/>
        </w:tabs>
        <w:spacing w:before="0" w:after="0"/>
        <w:ind w:firstLine="709" w:left="0"/>
        <w:contextualSpacing/>
        <w:jc w:val="both"/>
        <w:rPr>
          <w:sz w:val="24"/>
          <w:szCs w:val="24"/>
        </w:rPr>
      </w:pPr>
      <w:r>
        <w:rPr>
          <w:sz w:val="24"/>
          <w:szCs w:val="24"/>
        </w:rPr>
        <w:t xml:space="preserve">вся информация, предоставленная Покупателю, является достоверной, полной </w:t>
        <w:br/>
        <w:t xml:space="preserve">и точной, и Поставщик не скрыл никаких обстоятельств, которые при их обнаружении могли </w:t>
        <w:br/>
        <w:t>бы негативно повлиять на решение Покупателя заключить Договор на указанных в нем условиях.</w:t>
      </w:r>
    </w:p>
    <w:p>
      <w:pPr>
        <w:pStyle w:val="Normal"/>
        <w:widowControl/>
        <w:tabs>
          <w:tab w:val="clear" w:pos="708"/>
          <w:tab w:val="left" w:pos="1418" w:leader="none"/>
        </w:tabs>
        <w:jc w:val="both"/>
        <w:rPr>
          <w:sz w:val="24"/>
          <w:szCs w:val="24"/>
        </w:rPr>
      </w:pPr>
      <w:r>
        <w:rPr>
          <w:sz w:val="24"/>
          <w:szCs w:val="24"/>
        </w:rPr>
        <w:t xml:space="preserve">   </w:t>
      </w:r>
      <w:r>
        <w:rPr>
          <w:sz w:val="24"/>
          <w:szCs w:val="24"/>
        </w:rPr>
        <w:t xml:space="preserve">11.3. При заключении и исполнении Договора каждая Сторона полагается </w:t>
        <w:br/>
        <w:t xml:space="preserve">на достоверность, точность и полноту заверений другой Стороны, изложенных в настоящем разделе Договора. </w:t>
      </w:r>
    </w:p>
    <w:p>
      <w:pPr>
        <w:pStyle w:val="Normal"/>
        <w:widowControl/>
        <w:shd w:val="clear" w:color="auto" w:fill="FFFFFF"/>
        <w:tabs>
          <w:tab w:val="clear" w:pos="708"/>
          <w:tab w:val="left" w:pos="1418" w:leader="none"/>
        </w:tabs>
        <w:spacing w:before="0" w:after="0"/>
        <w:contextualSpacing/>
        <w:jc w:val="both"/>
        <w:rPr>
          <w:sz w:val="24"/>
          <w:szCs w:val="24"/>
        </w:rPr>
      </w:pPr>
      <w:r>
        <w:rPr>
          <w:sz w:val="24"/>
          <w:szCs w:val="24"/>
        </w:rPr>
        <w:t xml:space="preserve">    </w:t>
      </w:r>
      <w:r>
        <w:rPr>
          <w:sz w:val="24"/>
          <w:szCs w:val="24"/>
        </w:rPr>
        <w:t xml:space="preserve">11.4. В случае, если </w:t>
      </w:r>
      <w:r>
        <w:rPr>
          <w:bCs/>
          <w:sz w:val="24"/>
          <w:szCs w:val="24"/>
        </w:rPr>
        <w:t xml:space="preserve">Поставщик </w:t>
      </w:r>
      <w:r>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w:t>
        <w:br/>
        <w:t>по письменному требованию Покупателя уплатить последнему штраф в размере 5 (пяти) процентов от Цены Договора, указанной в пункте 2.1 Договора.</w:t>
      </w:r>
    </w:p>
    <w:p>
      <w:pPr>
        <w:pStyle w:val="Normal"/>
        <w:widowControl/>
        <w:shd w:val="clear" w:color="auto" w:fill="FFFFFF"/>
        <w:tabs>
          <w:tab w:val="clear" w:pos="708"/>
          <w:tab w:val="left" w:pos="1418" w:leader="none"/>
        </w:tabs>
        <w:spacing w:before="0" w:after="0"/>
        <w:contextualSpacing/>
        <w:jc w:val="both"/>
        <w:rPr>
          <w:sz w:val="24"/>
          <w:szCs w:val="24"/>
        </w:rPr>
      </w:pPr>
      <w:r>
        <w:rPr>
          <w:sz w:val="24"/>
          <w:szCs w:val="24"/>
        </w:rPr>
        <w:t xml:space="preserve">        </w:t>
      </w:r>
      <w:r>
        <w:rPr>
          <w:sz w:val="24"/>
          <w:szCs w:val="24"/>
        </w:rPr>
        <w:t>11.5. 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Normal"/>
        <w:widowControl/>
        <w:shd w:val="clear" w:color="auto" w:fill="FFFFFF"/>
        <w:tabs>
          <w:tab w:val="clear" w:pos="708"/>
          <w:tab w:val="left" w:pos="1134" w:leader="none"/>
          <w:tab w:val="left" w:pos="1418" w:leader="none"/>
        </w:tabs>
        <w:ind w:firstLine="709"/>
        <w:jc w:val="both"/>
        <w:rPr>
          <w:sz w:val="24"/>
          <w:szCs w:val="24"/>
        </w:rPr>
      </w:pPr>
      <w:r>
        <w:rPr>
          <w:sz w:val="24"/>
          <w:szCs w:val="24"/>
        </w:rPr>
      </w:r>
    </w:p>
    <w:p>
      <w:pPr>
        <w:pStyle w:val="Normal"/>
        <w:widowControl/>
        <w:shd w:val="clear" w:color="auto" w:fill="FFFFFF"/>
        <w:tabs>
          <w:tab w:val="clear" w:pos="708"/>
          <w:tab w:val="left" w:pos="426" w:leader="none"/>
        </w:tabs>
        <w:spacing w:before="0" w:after="0"/>
        <w:contextualSpacing/>
        <w:jc w:val="center"/>
        <w:rPr>
          <w:b/>
          <w:sz w:val="24"/>
          <w:szCs w:val="24"/>
        </w:rPr>
      </w:pPr>
      <w:r>
        <w:rPr>
          <w:b/>
          <w:bCs/>
          <w:sz w:val="24"/>
          <w:szCs w:val="24"/>
        </w:rPr>
        <w:t>12. П</w:t>
      </w:r>
      <w:r>
        <w:rPr>
          <w:b/>
          <w:sz w:val="24"/>
          <w:szCs w:val="24"/>
        </w:rPr>
        <w:t>рекращение (расторжение) Договора</w:t>
      </w:r>
    </w:p>
    <w:p>
      <w:pPr>
        <w:pStyle w:val="Normal"/>
        <w:widowControl/>
        <w:shd w:val="clear" w:color="auto" w:fill="FFFFFF"/>
        <w:tabs>
          <w:tab w:val="clear" w:pos="708"/>
          <w:tab w:val="left" w:pos="426" w:leader="none"/>
        </w:tabs>
        <w:spacing w:before="0" w:after="0"/>
        <w:contextualSpacing/>
        <w:jc w:val="center"/>
        <w:rPr>
          <w:b/>
          <w:sz w:val="24"/>
          <w:szCs w:val="24"/>
        </w:rPr>
      </w:pPr>
      <w:r>
        <w:rPr>
          <w:b/>
          <w:sz w:val="24"/>
          <w:szCs w:val="24"/>
        </w:rPr>
      </w:r>
    </w:p>
    <w:p>
      <w:pPr>
        <w:pStyle w:val="Normal"/>
        <w:widowControl/>
        <w:shd w:val="clear" w:color="auto" w:fill="FFFFFF"/>
        <w:tabs>
          <w:tab w:val="clear" w:pos="708"/>
          <w:tab w:val="left" w:pos="1418" w:leader="none"/>
        </w:tabs>
        <w:spacing w:before="0" w:after="0"/>
        <w:contextualSpacing/>
        <w:jc w:val="both"/>
        <w:rPr>
          <w:sz w:val="24"/>
          <w:szCs w:val="24"/>
        </w:rPr>
      </w:pPr>
      <w:r>
        <w:rPr>
          <w:sz w:val="24"/>
          <w:szCs w:val="24"/>
        </w:rPr>
        <w:t xml:space="preserve">     </w:t>
      </w:r>
      <w:r>
        <w:rPr>
          <w:sz w:val="24"/>
          <w:szCs w:val="24"/>
        </w:rPr>
        <w:t>12.1. 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12.8 Договора, с приложением подписанного соглашения о расторжении Договора. Уведомление должно быть рассмотрено Стороной</w:t>
      </w:r>
      <w:r>
        <w:rPr>
          <w:spacing w:val="2"/>
          <w:sz w:val="24"/>
          <w:szCs w:val="24"/>
        </w:rPr>
        <w:t>–</w:t>
      </w:r>
      <w:r>
        <w:rPr>
          <w:sz w:val="24"/>
          <w:szCs w:val="24"/>
        </w:rPr>
        <w:t>получателем в течение 30 (тридцати) календарных дней со дня его получения.</w:t>
      </w:r>
    </w:p>
    <w:p>
      <w:pPr>
        <w:pStyle w:val="Normal"/>
        <w:widowControl/>
        <w:shd w:val="clear" w:color="auto" w:fill="FFFFFF"/>
        <w:tabs>
          <w:tab w:val="clear" w:pos="708"/>
          <w:tab w:val="left" w:pos="1418" w:leader="none"/>
        </w:tabs>
        <w:spacing w:before="0" w:after="0"/>
        <w:contextualSpacing/>
        <w:jc w:val="both"/>
        <w:rPr>
          <w:sz w:val="24"/>
          <w:szCs w:val="24"/>
        </w:rPr>
      </w:pPr>
      <w:r>
        <w:rPr>
          <w:sz w:val="24"/>
          <w:szCs w:val="24"/>
        </w:rPr>
        <w:t xml:space="preserve">         </w:t>
      </w:r>
      <w:r>
        <w:rPr>
          <w:sz w:val="24"/>
          <w:szCs w:val="24"/>
        </w:rPr>
        <w:t xml:space="preserve">12.2. Покупатель вправе в одностороннем внесудебном порядке отказаться от Договора при условии обязательного направления письменного уведомления об этом Поставщику не позднее чем за 30 (тридцать) календарных дней до предполагаемой даты расторжения Договора. В этом случае 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Normal"/>
        <w:widowControl/>
        <w:shd w:val="clear" w:color="auto" w:fill="FFFFFF"/>
        <w:tabs>
          <w:tab w:val="clear" w:pos="708"/>
          <w:tab w:val="left" w:pos="709" w:leader="none"/>
          <w:tab w:val="left" w:pos="1418" w:leader="none"/>
        </w:tabs>
        <w:spacing w:before="0" w:after="0"/>
        <w:contextualSpacing/>
        <w:jc w:val="both"/>
        <w:rPr/>
      </w:pPr>
      <w:r>
        <w:rPr>
          <w:sz w:val="24"/>
          <w:szCs w:val="24"/>
        </w:rPr>
        <w:t xml:space="preserve">      </w:t>
      </w:r>
      <w:r>
        <w:rPr>
          <w:sz w:val="24"/>
          <w:szCs w:val="24"/>
        </w:rPr>
        <w:t xml:space="preserve">12.3. В случае существенного нарушения Договора Поставщиком Покупатель вправе в одностороннем внесудебном порядке отказаться от Договора. </w:t>
      </w:r>
    </w:p>
    <w:p>
      <w:pPr>
        <w:pStyle w:val="Normal"/>
        <w:widowControl/>
        <w:shd w:val="clear" w:color="auto" w:fill="FFFFFF"/>
        <w:tabs>
          <w:tab w:val="clear" w:pos="708"/>
          <w:tab w:val="left" w:pos="1134" w:leader="none"/>
          <w:tab w:val="left" w:pos="1418" w:leader="none"/>
        </w:tabs>
        <w:ind w:firstLine="709"/>
        <w:jc w:val="both"/>
        <w:rPr/>
      </w:pPr>
      <w:r>
        <w:rPr>
          <w:sz w:val="24"/>
          <w:szCs w:val="24"/>
        </w:rPr>
        <w:t xml:space="preserve">Стороны установили, что существенным нарушением Договора Поставщиком является: </w:t>
      </w:r>
    </w:p>
    <w:p>
      <w:pPr>
        <w:pStyle w:val="Normal"/>
        <w:widowControl/>
        <w:numPr>
          <w:ilvl w:val="0"/>
          <w:numId w:val="9"/>
        </w:numPr>
        <w:tabs>
          <w:tab w:val="clear" w:pos="708"/>
          <w:tab w:val="left" w:pos="1418" w:leader="none"/>
        </w:tabs>
        <w:ind w:firstLine="709" w:left="0"/>
        <w:jc w:val="both"/>
        <w:rPr>
          <w:sz w:val="24"/>
          <w:szCs w:val="24"/>
        </w:rPr>
      </w:pPr>
      <w:r>
        <w:rPr>
          <w:sz w:val="24"/>
          <w:szCs w:val="24"/>
        </w:rPr>
        <w:t xml:space="preserve">нарушение Поставщиком общего срока поставки Товара по Договору, а также промежуточных сроков поставки Товара (партий Товара), установленных Заявками Покупателя, более чем на 30 (тридцать) календарных дней по причинам, не зависящим от Покупателя; </w:t>
      </w:r>
    </w:p>
    <w:p>
      <w:pPr>
        <w:pStyle w:val="Normal"/>
        <w:widowControl/>
        <w:numPr>
          <w:ilvl w:val="0"/>
          <w:numId w:val="9"/>
        </w:numPr>
        <w:tabs>
          <w:tab w:val="clear" w:pos="708"/>
          <w:tab w:val="left" w:pos="1418" w:leader="none"/>
        </w:tabs>
        <w:ind w:firstLine="709" w:left="0"/>
        <w:jc w:val="both"/>
        <w:rPr>
          <w:sz w:val="24"/>
          <w:szCs w:val="24"/>
        </w:rPr>
      </w:pPr>
      <w:r>
        <w:rPr>
          <w:sz w:val="24"/>
          <w:szCs w:val="24"/>
        </w:rPr>
        <w:t xml:space="preserve">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30 (тридцать) календарных дней, либо такие недостатки (дефекты) являются неустранимыми; </w:t>
      </w:r>
    </w:p>
    <w:p>
      <w:pPr>
        <w:pStyle w:val="Normal"/>
        <w:widowControl/>
        <w:numPr>
          <w:ilvl w:val="0"/>
          <w:numId w:val="9"/>
        </w:numPr>
        <w:tabs>
          <w:tab w:val="clear" w:pos="708"/>
          <w:tab w:val="left" w:pos="1418" w:leader="none"/>
        </w:tabs>
        <w:ind w:firstLine="709" w:left="0"/>
        <w:jc w:val="both"/>
        <w:rPr>
          <w:sz w:val="24"/>
          <w:szCs w:val="24"/>
        </w:rPr>
      </w:pPr>
      <w:r>
        <w:rPr>
          <w:sz w:val="24"/>
          <w:szCs w:val="24"/>
        </w:rPr>
        <w:t xml:space="preserve">наложение ареста на имущество Поставщика, введение арбитражным судом процедуры несостоятельности (банкротства) в отношении Поставщика; </w:t>
      </w:r>
    </w:p>
    <w:p>
      <w:pPr>
        <w:pStyle w:val="Normal"/>
        <w:widowControl/>
        <w:numPr>
          <w:ilvl w:val="0"/>
          <w:numId w:val="9"/>
        </w:numPr>
        <w:tabs>
          <w:tab w:val="clear" w:pos="708"/>
          <w:tab w:val="left" w:pos="1418" w:leader="none"/>
        </w:tabs>
        <w:ind w:firstLine="709" w:left="0"/>
        <w:jc w:val="both"/>
        <w:rPr>
          <w:sz w:val="24"/>
          <w:szCs w:val="24"/>
        </w:rPr>
      </w:pPr>
      <w:r>
        <w:rPr>
          <w:sz w:val="24"/>
          <w:szCs w:val="24"/>
        </w:rP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10 Договора, и имеющих существенное значение для его заключения и исполнения. </w:t>
      </w:r>
    </w:p>
    <w:p>
      <w:pPr>
        <w:pStyle w:val="Normal"/>
        <w:widowControl/>
        <w:shd w:val="clear" w:color="auto" w:fill="FFFFFF"/>
        <w:tabs>
          <w:tab w:val="clear" w:pos="708"/>
          <w:tab w:val="left" w:pos="709" w:leader="none"/>
          <w:tab w:val="left" w:pos="1418" w:leader="none"/>
        </w:tabs>
        <w:spacing w:before="0" w:after="0"/>
        <w:contextualSpacing/>
        <w:jc w:val="both"/>
        <w:rPr>
          <w:sz w:val="24"/>
          <w:szCs w:val="24"/>
        </w:rPr>
      </w:pPr>
      <w:r>
        <w:rPr>
          <w:sz w:val="24"/>
          <w:szCs w:val="24"/>
        </w:rPr>
        <w:t xml:space="preserve">          </w:t>
      </w:r>
      <w:r>
        <w:rPr>
          <w:sz w:val="24"/>
          <w:szCs w:val="24"/>
        </w:rPr>
        <w:t>12.4. В случае отказа Покупателя от Договора в случаях, предусмотренных пунктами 11.3, 11.3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Normal"/>
        <w:widowControl/>
        <w:shd w:val="clear" w:color="auto" w:fill="FFFFFF"/>
        <w:tabs>
          <w:tab w:val="clear" w:pos="708"/>
          <w:tab w:val="left" w:pos="709" w:leader="none"/>
          <w:tab w:val="left" w:pos="1418" w:leader="none"/>
        </w:tabs>
        <w:spacing w:before="0" w:after="0"/>
        <w:contextualSpacing/>
        <w:jc w:val="both"/>
        <w:rPr>
          <w:sz w:val="24"/>
          <w:szCs w:val="24"/>
        </w:rPr>
      </w:pPr>
      <w:r>
        <w:rPr>
          <w:sz w:val="24"/>
          <w:szCs w:val="24"/>
        </w:rPr>
        <w:t xml:space="preserve">         </w:t>
      </w:r>
      <w:r>
        <w:rPr>
          <w:sz w:val="24"/>
          <w:szCs w:val="24"/>
        </w:rPr>
        <w:t>12.5. С даты прекращения (расторжения) Договора Поставщик обязан прекратить поставку Товара.</w:t>
      </w:r>
    </w:p>
    <w:p>
      <w:pPr>
        <w:pStyle w:val="Normal"/>
        <w:widowControl/>
        <w:shd w:val="clear" w:color="auto" w:fill="FFFFFF"/>
        <w:tabs>
          <w:tab w:val="clear" w:pos="708"/>
          <w:tab w:val="left" w:pos="709" w:leader="none"/>
          <w:tab w:val="left" w:pos="1418" w:leader="none"/>
        </w:tabs>
        <w:spacing w:before="0" w:after="0"/>
        <w:contextualSpacing/>
        <w:jc w:val="both"/>
        <w:rPr>
          <w:sz w:val="24"/>
          <w:szCs w:val="24"/>
        </w:rPr>
      </w:pPr>
      <w:r>
        <w:rPr>
          <w:sz w:val="24"/>
          <w:szCs w:val="24"/>
        </w:rPr>
        <w:t xml:space="preserve">  </w:t>
      </w:r>
      <w:r>
        <w:rPr>
          <w:sz w:val="24"/>
          <w:szCs w:val="24"/>
        </w:rPr>
        <w:t xml:space="preserve">12.6. При прекращении (расторжении) Договора по основаниям, указанным </w:t>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а также обязательств Поставщика по оплате неустойки, штрафов, возмещению убытков в случаях и размерах, предусмотренных Договором.</w:t>
      </w:r>
    </w:p>
    <w:p>
      <w:pPr>
        <w:pStyle w:val="Normal"/>
        <w:ind w:hanging="0" w:left="709"/>
        <w:jc w:val="both"/>
        <w:rPr>
          <w:sz w:val="24"/>
          <w:szCs w:val="24"/>
        </w:rPr>
      </w:pPr>
      <w:r>
        <w:rPr>
          <w:sz w:val="24"/>
          <w:szCs w:val="24"/>
        </w:rPr>
      </w:r>
    </w:p>
    <w:p>
      <w:pPr>
        <w:pStyle w:val="Normal"/>
        <w:widowControl/>
        <w:shd w:val="clear" w:color="auto" w:fill="FFFFFF"/>
        <w:tabs>
          <w:tab w:val="clear" w:pos="708"/>
          <w:tab w:val="left" w:pos="426" w:leader="none"/>
        </w:tabs>
        <w:spacing w:before="0" w:after="0"/>
        <w:contextualSpacing/>
        <w:jc w:val="center"/>
        <w:rPr>
          <w:b/>
          <w:bCs/>
          <w:sz w:val="24"/>
          <w:szCs w:val="24"/>
        </w:rPr>
      </w:pPr>
      <w:r>
        <w:rPr>
          <w:b/>
          <w:bCs/>
          <w:sz w:val="24"/>
          <w:szCs w:val="24"/>
        </w:rPr>
        <w:t>13. Заключительные положения</w:t>
      </w:r>
    </w:p>
    <w:p>
      <w:pPr>
        <w:pStyle w:val="Normal"/>
        <w:widowControl/>
        <w:shd w:val="clear" w:color="auto" w:fill="FFFFFF"/>
        <w:tabs>
          <w:tab w:val="clear" w:pos="708"/>
          <w:tab w:val="left" w:pos="426" w:leader="none"/>
        </w:tabs>
        <w:spacing w:before="0" w:after="0"/>
        <w:contextualSpacing/>
        <w:jc w:val="center"/>
        <w:rPr>
          <w:b/>
          <w:bCs/>
          <w:sz w:val="24"/>
          <w:szCs w:val="24"/>
        </w:rPr>
      </w:pPr>
      <w:r>
        <w:rPr>
          <w:b/>
          <w:bCs/>
          <w:sz w:val="24"/>
          <w:szCs w:val="24"/>
        </w:rPr>
      </w:r>
    </w:p>
    <w:p>
      <w:pPr>
        <w:pStyle w:val="Normal"/>
        <w:widowControl/>
        <w:shd w:val="clear" w:color="auto" w:fill="FFFFFF"/>
        <w:tabs>
          <w:tab w:val="clear" w:pos="708"/>
          <w:tab w:val="left" w:pos="142" w:leader="none"/>
          <w:tab w:val="left" w:pos="1418" w:leader="none"/>
        </w:tabs>
        <w:spacing w:before="0" w:after="0"/>
        <w:ind w:firstLine="709"/>
        <w:contextualSpacing/>
        <w:jc w:val="both"/>
        <w:rPr>
          <w:sz w:val="24"/>
          <w:szCs w:val="24"/>
        </w:rPr>
      </w:pPr>
      <w:r>
        <w:rPr>
          <w:sz w:val="24"/>
          <w:szCs w:val="24"/>
        </w:rPr>
        <w:t>13.1.</w:t>
        <w:tab/>
        <w:t>Договор вступает в силу с даты его подписания Сторонами и действует в течение 12 (двенадцати) месяцев, либо до исчерпания предельной суммы по Договору, в зависимости что наступит ранее.</w:t>
      </w:r>
    </w:p>
    <w:p>
      <w:pPr>
        <w:pStyle w:val="Normal"/>
        <w:widowControl/>
        <w:shd w:val="clear" w:color="auto" w:fill="FFFFFF"/>
        <w:tabs>
          <w:tab w:val="clear" w:pos="708"/>
          <w:tab w:val="left" w:pos="0" w:leader="none"/>
          <w:tab w:val="left" w:pos="1418" w:leader="none"/>
        </w:tabs>
        <w:ind w:firstLine="709"/>
        <w:jc w:val="both"/>
        <w:rPr>
          <w:sz w:val="24"/>
          <w:szCs w:val="24"/>
        </w:rPr>
      </w:pPr>
      <w:r>
        <w:rPr>
          <w:sz w:val="24"/>
          <w:szCs w:val="24"/>
        </w:rPr>
        <w:t>13.2.</w:t>
        <w:tab/>
        <w:t>Договор заключается в электронной форме с использованием программно-аппаратных средств электронной площадки путем его подписания усиленными квалифицированными электронными подписями (далее – УКЭП) уполномоченных представителей Сторон.</w:t>
      </w:r>
    </w:p>
    <w:p>
      <w:pPr>
        <w:pStyle w:val="Normal"/>
        <w:widowControl/>
        <w:shd w:val="clear" w:color="auto" w:fill="FFFFFF"/>
        <w:tabs>
          <w:tab w:val="clear" w:pos="708"/>
          <w:tab w:val="left" w:pos="0" w:leader="none"/>
          <w:tab w:val="left" w:pos="1418" w:leader="none"/>
        </w:tabs>
        <w:ind w:firstLine="709"/>
        <w:jc w:val="both"/>
        <w:rPr>
          <w:sz w:val="24"/>
          <w:szCs w:val="24"/>
        </w:rPr>
      </w:pPr>
      <w:r>
        <w:rPr>
          <w:sz w:val="24"/>
          <w:szCs w:val="24"/>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pPr>
        <w:pStyle w:val="Normal"/>
        <w:widowControl/>
        <w:shd w:val="clear" w:color="auto" w:fill="FFFFFF"/>
        <w:tabs>
          <w:tab w:val="clear" w:pos="708"/>
          <w:tab w:val="left" w:pos="0" w:leader="none"/>
          <w:tab w:val="left" w:pos="1418" w:leader="none"/>
        </w:tabs>
        <w:ind w:firstLine="709"/>
        <w:jc w:val="both"/>
        <w:rPr>
          <w:sz w:val="24"/>
          <w:szCs w:val="24"/>
        </w:rPr>
      </w:pPr>
      <w:r>
        <w:rPr>
          <w:sz w:val="24"/>
          <w:szCs w:val="24"/>
        </w:rPr>
        <w:t>13.3.</w:t>
        <w:tab/>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12.7 Договора. </w:t>
      </w:r>
    </w:p>
    <w:p>
      <w:pPr>
        <w:pStyle w:val="Normal"/>
        <w:widowControl/>
        <w:shd w:val="clear" w:color="auto" w:fill="FFFFFF"/>
        <w:tabs>
          <w:tab w:val="clear" w:pos="708"/>
          <w:tab w:val="left" w:pos="0" w:leader="none"/>
          <w:tab w:val="left" w:pos="1418" w:leader="none"/>
        </w:tabs>
        <w:ind w:firstLine="709"/>
        <w:jc w:val="both"/>
        <w:rPr>
          <w:sz w:val="24"/>
          <w:szCs w:val="24"/>
        </w:rPr>
      </w:pPr>
      <w:r>
        <w:rPr>
          <w:sz w:val="24"/>
          <w:szCs w:val="24"/>
        </w:rPr>
        <w:t>13.4.</w:t>
        <w:tab/>
        <w:t>Все приложения к Договору, а также любые изменения и дополнения, оформленные надлежащим образом, являются неотъемлемой частью Договора.</w:t>
      </w:r>
    </w:p>
    <w:p>
      <w:pPr>
        <w:pStyle w:val="Normal"/>
        <w:widowControl/>
        <w:shd w:val="clear" w:color="auto" w:fill="FFFFFF"/>
        <w:tabs>
          <w:tab w:val="clear" w:pos="708"/>
          <w:tab w:val="left" w:pos="0" w:leader="none"/>
          <w:tab w:val="left" w:pos="1418" w:leader="none"/>
        </w:tabs>
        <w:ind w:firstLine="709"/>
        <w:jc w:val="both"/>
        <w:rPr>
          <w:sz w:val="24"/>
          <w:szCs w:val="24"/>
        </w:rPr>
      </w:pPr>
      <w:r>
        <w:rPr>
          <w:sz w:val="24"/>
          <w:szCs w:val="24"/>
        </w:rPr>
        <w:t>13.5.</w:t>
        <w:tab/>
        <w:t xml:space="preserve">В случае наличия любых расхождений между содержанием Договора </w:t>
      </w:r>
    </w:p>
    <w:p>
      <w:pPr>
        <w:pStyle w:val="Normal"/>
        <w:widowControl/>
        <w:shd w:val="clear" w:color="auto" w:fill="FFFFFF"/>
        <w:tabs>
          <w:tab w:val="clear" w:pos="708"/>
          <w:tab w:val="left" w:pos="0" w:leader="none"/>
          <w:tab w:val="left" w:pos="1418" w:leader="none"/>
        </w:tabs>
        <w:ind w:firstLine="709"/>
        <w:jc w:val="both"/>
        <w:rPr>
          <w:sz w:val="24"/>
          <w:szCs w:val="24"/>
        </w:rPr>
      </w:pPr>
      <w:r>
        <w:rPr>
          <w:sz w:val="24"/>
          <w:szCs w:val="24"/>
        </w:rPr>
        <w:t>и приложений к нему, приоритет имеет текст Договора.</w:t>
      </w:r>
    </w:p>
    <w:p>
      <w:pPr>
        <w:pStyle w:val="Normal"/>
        <w:widowControl/>
        <w:shd w:val="clear" w:color="auto" w:fill="FFFFFF"/>
        <w:tabs>
          <w:tab w:val="clear" w:pos="708"/>
          <w:tab w:val="left" w:pos="0" w:leader="none"/>
          <w:tab w:val="left" w:pos="1418" w:leader="none"/>
        </w:tabs>
        <w:ind w:firstLine="709"/>
        <w:jc w:val="both"/>
        <w:rPr>
          <w:sz w:val="24"/>
          <w:szCs w:val="24"/>
        </w:rPr>
      </w:pPr>
      <w:r>
        <w:rPr>
          <w:sz w:val="24"/>
          <w:szCs w:val="24"/>
        </w:rPr>
        <w:t>13.6.</w:t>
        <w:tab/>
        <w:t>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12.8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Normal"/>
        <w:widowControl/>
        <w:shd w:val="clear" w:color="auto" w:fill="FFFFFF"/>
        <w:tabs>
          <w:tab w:val="clear" w:pos="708"/>
          <w:tab w:val="left" w:pos="0" w:leader="none"/>
          <w:tab w:val="left" w:pos="1418" w:leader="none"/>
        </w:tabs>
        <w:ind w:firstLine="709"/>
        <w:jc w:val="both"/>
        <w:rPr>
          <w:sz w:val="24"/>
          <w:szCs w:val="24"/>
        </w:rPr>
      </w:pPr>
      <w:r>
        <w:rPr>
          <w:sz w:val="24"/>
          <w:szCs w:val="24"/>
        </w:rPr>
        <w:t>13.7.</w:t>
        <w:tab/>
        <w:t xml:space="preserve">Стороны обязуются уведомлять друг друга об изменении адреса и / или реквизитов, указанных в разделе 14 Договора, не позднее 3 (трех) рабочих дней после такого изменения в порядке, установленном пунктом 12.8 Договора. </w:t>
      </w:r>
    </w:p>
    <w:p>
      <w:pPr>
        <w:pStyle w:val="Normal"/>
        <w:widowControl/>
        <w:shd w:val="clear" w:color="auto" w:fill="FFFFFF"/>
        <w:tabs>
          <w:tab w:val="clear" w:pos="708"/>
          <w:tab w:val="left" w:pos="0" w:leader="none"/>
          <w:tab w:val="left" w:pos="1418" w:leader="none"/>
        </w:tabs>
        <w:ind w:firstLine="709"/>
        <w:jc w:val="both"/>
        <w:rPr>
          <w:sz w:val="24"/>
          <w:szCs w:val="24"/>
        </w:rPr>
      </w:pPr>
      <w:r>
        <w:rPr>
          <w:sz w:val="24"/>
          <w:szCs w:val="24"/>
        </w:rPr>
        <w:t>13.8.</w:t>
        <w:tab/>
        <w:t xml:space="preserve">Письма, уведомления и / или сообщения направляются Стороне-получателю по адресу ее места нахождения, указанному в разделе 14 Договора, или в ранее полученном уведомлении Стороны об изменении адреса, одним из следующих способов, при этом документ будет считаться полученным: </w:t>
      </w:r>
    </w:p>
    <w:p>
      <w:pPr>
        <w:pStyle w:val="Normal"/>
        <w:widowControl/>
        <w:shd w:val="clear" w:color="auto" w:fill="FFFFFF"/>
        <w:tabs>
          <w:tab w:val="clear" w:pos="708"/>
          <w:tab w:val="left" w:pos="0" w:leader="none"/>
          <w:tab w:val="left" w:pos="1418" w:leader="none"/>
        </w:tabs>
        <w:ind w:firstLine="709"/>
        <w:jc w:val="both"/>
        <w:rPr>
          <w:sz w:val="24"/>
          <w:szCs w:val="24"/>
        </w:rPr>
      </w:pPr>
      <w:r>
        <w:rPr>
          <w:sz w:val="24"/>
          <w:szCs w:val="24"/>
        </w:rPr>
        <w:t>13.8.1.</w:t>
        <w:tab/>
        <w:t>Заказным почтовым отправлением с уведомлением о вручении – 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Normal"/>
        <w:widowControl/>
        <w:shd w:val="clear" w:color="auto" w:fill="FFFFFF"/>
        <w:tabs>
          <w:tab w:val="clear" w:pos="708"/>
          <w:tab w:val="left" w:pos="0" w:leader="none"/>
          <w:tab w:val="left" w:pos="1418" w:leader="none"/>
        </w:tabs>
        <w:ind w:firstLine="709"/>
        <w:jc w:val="both"/>
        <w:rPr>
          <w:sz w:val="24"/>
          <w:szCs w:val="24"/>
        </w:rPr>
      </w:pPr>
      <w:r>
        <w:rPr>
          <w:sz w:val="24"/>
          <w:szCs w:val="24"/>
        </w:rPr>
        <w:t>13.8.2.</w:t>
        <w:tab/>
        <w:t xml:space="preserve">Доставкой лично или курьером Стороны-отправителя – в дату и время фактического приема уведомления Стороной-получателем с отметкой о получении; </w:t>
      </w:r>
    </w:p>
    <w:p>
      <w:pPr>
        <w:pStyle w:val="Normal"/>
        <w:widowControl/>
        <w:shd w:val="clear" w:color="auto" w:fill="FFFFFF"/>
        <w:tabs>
          <w:tab w:val="clear" w:pos="708"/>
          <w:tab w:val="left" w:pos="0" w:leader="none"/>
          <w:tab w:val="left" w:pos="1418" w:leader="none"/>
        </w:tabs>
        <w:ind w:firstLine="709"/>
        <w:jc w:val="both"/>
        <w:rPr>
          <w:sz w:val="24"/>
          <w:szCs w:val="24"/>
        </w:rPr>
      </w:pPr>
      <w:r>
        <w:rPr>
          <w:sz w:val="24"/>
          <w:szCs w:val="24"/>
        </w:rPr>
        <w:t>13.8.3.</w:t>
        <w:tab/>
        <w:t>Посредством электронной почты (e-mail) – в дату направления электронного сообщения, зафиксированную на почтовом сервере отправителя.</w:t>
      </w:r>
    </w:p>
    <w:p>
      <w:pPr>
        <w:pStyle w:val="Normal"/>
        <w:widowControl/>
        <w:shd w:val="clear" w:color="auto" w:fill="FFFFFF"/>
        <w:tabs>
          <w:tab w:val="clear" w:pos="708"/>
          <w:tab w:val="left" w:pos="0" w:leader="none"/>
          <w:tab w:val="left" w:pos="1418" w:leader="none"/>
        </w:tabs>
        <w:ind w:firstLine="709"/>
        <w:jc w:val="both"/>
        <w:rPr>
          <w:sz w:val="24"/>
          <w:szCs w:val="24"/>
        </w:rPr>
      </w:pPr>
      <w:r>
        <w:rPr>
          <w:sz w:val="24"/>
          <w:szCs w:val="24"/>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13.8.1 – 13.8.2 Договора. </w:t>
      </w:r>
    </w:p>
    <w:p>
      <w:pPr>
        <w:pStyle w:val="Normal"/>
        <w:widowControl/>
        <w:shd w:val="clear" w:color="auto" w:fill="FFFFFF"/>
        <w:tabs>
          <w:tab w:val="clear" w:pos="708"/>
          <w:tab w:val="left" w:pos="0" w:leader="none"/>
          <w:tab w:val="left" w:pos="1418" w:leader="none"/>
        </w:tabs>
        <w:ind w:firstLine="709"/>
        <w:jc w:val="both"/>
        <w:rPr>
          <w:sz w:val="24"/>
          <w:szCs w:val="24"/>
        </w:rPr>
      </w:pPr>
      <w:r>
        <w:rPr>
          <w:sz w:val="24"/>
          <w:szCs w:val="24"/>
        </w:rPr>
        <w:t>13.9.</w:t>
        <w:tab/>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Normal"/>
        <w:widowControl/>
        <w:shd w:val="clear" w:color="auto" w:fill="FFFFFF"/>
        <w:tabs>
          <w:tab w:val="clear" w:pos="708"/>
          <w:tab w:val="left" w:pos="0" w:leader="none"/>
          <w:tab w:val="left" w:pos="1418" w:leader="none"/>
        </w:tabs>
        <w:ind w:firstLine="709"/>
        <w:jc w:val="both"/>
        <w:rPr>
          <w:sz w:val="24"/>
          <w:szCs w:val="24"/>
        </w:rPr>
      </w:pPr>
      <w:r>
        <w:rPr>
          <w:sz w:val="24"/>
          <w:szCs w:val="24"/>
        </w:rPr>
        <w:t>13.10.</w:t>
        <w:tab/>
        <w:t xml:space="preserve">Уступка (передача), в том числе в залог, прав (требований) к Покупателю </w:t>
      </w:r>
    </w:p>
    <w:p>
      <w:pPr>
        <w:pStyle w:val="Normal"/>
        <w:widowControl/>
        <w:shd w:val="clear" w:color="auto" w:fill="FFFFFF"/>
        <w:tabs>
          <w:tab w:val="clear" w:pos="708"/>
          <w:tab w:val="left" w:pos="0" w:leader="none"/>
          <w:tab w:val="left" w:pos="1418" w:leader="none"/>
        </w:tabs>
        <w:ind w:firstLine="709"/>
        <w:jc w:val="both"/>
        <w:rPr>
          <w:sz w:val="24"/>
          <w:szCs w:val="24"/>
        </w:rPr>
      </w:pPr>
      <w:r>
        <w:rPr>
          <w:sz w:val="24"/>
          <w:szCs w:val="24"/>
        </w:rPr>
        <w:t xml:space="preserve">по денежным обязательствам, возникших из Договора и принадлежащих Поставщику, допускается только с предварительного письменного согласия Покупателя и оформляется трехсторонним договором. </w:t>
      </w:r>
    </w:p>
    <w:p>
      <w:pPr>
        <w:pStyle w:val="Normal"/>
        <w:widowControl/>
        <w:shd w:val="clear" w:color="auto" w:fill="FFFFFF"/>
        <w:tabs>
          <w:tab w:val="clear" w:pos="708"/>
          <w:tab w:val="left" w:pos="0" w:leader="none"/>
          <w:tab w:val="left" w:pos="1418" w:leader="none"/>
        </w:tabs>
        <w:ind w:firstLine="709"/>
        <w:jc w:val="both"/>
        <w:rPr>
          <w:sz w:val="24"/>
          <w:szCs w:val="24"/>
        </w:rPr>
      </w:pPr>
      <w:r>
        <w:rPr>
          <w:sz w:val="24"/>
          <w:szCs w:val="24"/>
        </w:rPr>
        <w:t>13.11.</w:t>
        <w:tab/>
        <w:t xml:space="preserve">Во всем остальном, что не урегулировано Договором, Стороны руководствуются законодательством Российской Федерации. </w:t>
      </w:r>
    </w:p>
    <w:p>
      <w:pPr>
        <w:pStyle w:val="Normal"/>
        <w:widowControl/>
        <w:shd w:val="clear" w:color="auto" w:fill="FFFFFF"/>
        <w:tabs>
          <w:tab w:val="clear" w:pos="708"/>
          <w:tab w:val="left" w:pos="0" w:leader="none"/>
          <w:tab w:val="left" w:pos="1418" w:leader="none"/>
        </w:tabs>
        <w:ind w:firstLine="709"/>
        <w:jc w:val="both"/>
        <w:rPr>
          <w:sz w:val="24"/>
          <w:szCs w:val="24"/>
        </w:rPr>
      </w:pPr>
      <w:r>
        <w:rPr>
          <w:sz w:val="24"/>
          <w:szCs w:val="24"/>
        </w:rPr>
        <w:t>13.12.</w:t>
        <w:tab/>
        <w:t>Договор составлен в 2 (двух) оригинальных экземплярах, имеющих равную юридическую силу, по 1 (одному) для каждой из Сторон</w:t>
      </w:r>
      <w:r>
        <w:rPr>
          <w:rStyle w:val="FootnoteReference"/>
          <w:sz w:val="24"/>
          <w:szCs w:val="24"/>
        </w:rPr>
        <w:footnoteReference w:id="2"/>
      </w:r>
      <w:r>
        <w:rPr>
          <w:sz w:val="24"/>
          <w:szCs w:val="24"/>
        </w:rPr>
        <w:t>.</w:t>
      </w:r>
    </w:p>
    <w:p>
      <w:pPr>
        <w:pStyle w:val="Normal"/>
        <w:widowControl/>
        <w:shd w:val="clear" w:color="auto" w:fill="FFFFFF"/>
        <w:tabs>
          <w:tab w:val="clear" w:pos="708"/>
          <w:tab w:val="left" w:pos="0" w:leader="none"/>
          <w:tab w:val="left" w:pos="1418" w:leader="none"/>
        </w:tabs>
        <w:ind w:firstLine="709"/>
        <w:jc w:val="both"/>
        <w:rPr>
          <w:sz w:val="24"/>
          <w:szCs w:val="24"/>
        </w:rPr>
      </w:pPr>
      <w:r>
        <w:rPr>
          <w:sz w:val="24"/>
          <w:szCs w:val="24"/>
        </w:rPr>
      </w:r>
    </w:p>
    <w:p>
      <w:pPr>
        <w:pStyle w:val="Normal"/>
        <w:widowControl/>
        <w:shd w:val="clear" w:color="auto" w:fill="FFFFFF"/>
        <w:spacing w:before="0" w:after="0"/>
        <w:contextualSpacing/>
        <w:jc w:val="center"/>
        <w:rPr>
          <w:b/>
          <w:bCs/>
          <w:sz w:val="24"/>
          <w:szCs w:val="24"/>
        </w:rPr>
      </w:pPr>
      <w:r>
        <w:rPr>
          <w:b/>
          <w:bCs/>
          <w:sz w:val="24"/>
          <w:szCs w:val="24"/>
        </w:rPr>
        <w:t xml:space="preserve">14. Список приложений </w:t>
      </w:r>
    </w:p>
    <w:p>
      <w:pPr>
        <w:pStyle w:val="Normal"/>
        <w:widowControl/>
        <w:shd w:val="clear" w:color="auto" w:fill="FFFFFF"/>
        <w:spacing w:before="0" w:after="0"/>
        <w:contextualSpacing/>
        <w:jc w:val="center"/>
        <w:rPr>
          <w:b/>
          <w:bCs/>
          <w:sz w:val="24"/>
          <w:szCs w:val="24"/>
        </w:rPr>
      </w:pPr>
      <w:r>
        <w:rPr>
          <w:b/>
          <w:bCs/>
          <w:sz w:val="24"/>
          <w:szCs w:val="24"/>
        </w:rPr>
      </w:r>
    </w:p>
    <w:p>
      <w:pPr>
        <w:pStyle w:val="Normal"/>
        <w:widowControl/>
        <w:shd w:val="clear" w:color="auto" w:fill="FFFFFF"/>
        <w:tabs>
          <w:tab w:val="clear" w:pos="708"/>
          <w:tab w:val="left" w:pos="0" w:leader="none"/>
        </w:tabs>
        <w:ind w:firstLine="709"/>
        <w:jc w:val="both"/>
        <w:rPr>
          <w:sz w:val="24"/>
          <w:szCs w:val="24"/>
          <w:lang w:eastAsia="en-US"/>
        </w:rPr>
      </w:pPr>
      <w:bookmarkStart w:id="15" w:name="sub_1"/>
      <w:r>
        <w:rPr>
          <w:sz w:val="24"/>
          <w:szCs w:val="24"/>
          <w:lang w:eastAsia="en-US"/>
        </w:rPr>
        <w:t>Приложение № 1 – Спецификация;</w:t>
      </w:r>
    </w:p>
    <w:p>
      <w:pPr>
        <w:pStyle w:val="Normal"/>
        <w:widowControl/>
        <w:shd w:val="clear" w:color="auto" w:fill="FFFFFF"/>
        <w:tabs>
          <w:tab w:val="clear" w:pos="708"/>
          <w:tab w:val="left" w:pos="0" w:leader="none"/>
          <w:tab w:val="left" w:pos="2694" w:leader="none"/>
        </w:tabs>
        <w:ind w:firstLine="709"/>
        <w:jc w:val="both"/>
        <w:rPr>
          <w:sz w:val="24"/>
          <w:szCs w:val="24"/>
          <w:lang w:eastAsia="x-none"/>
        </w:rPr>
      </w:pPr>
      <w:r>
        <w:rPr>
          <w:sz w:val="24"/>
          <w:szCs w:val="24"/>
          <w:lang w:eastAsia="x-none"/>
        </w:rPr>
        <w:t>Приложение № 2 –</w:t>
      </w:r>
      <w:r>
        <w:rPr>
          <w:sz w:val="24"/>
          <w:szCs w:val="24"/>
          <w:lang w:eastAsia="en-US"/>
        </w:rPr>
        <w:t xml:space="preserve"> Форма Заявки на поставку Товара;</w:t>
      </w:r>
      <w:bookmarkEnd w:id="15"/>
    </w:p>
    <w:p>
      <w:pPr>
        <w:pStyle w:val="Normal"/>
        <w:ind w:firstLine="709"/>
        <w:jc w:val="both"/>
        <w:rPr>
          <w:bCs/>
          <w:sz w:val="24"/>
          <w:szCs w:val="24"/>
        </w:rPr>
      </w:pPr>
      <w:r>
        <w:rPr>
          <w:bCs/>
          <w:sz w:val="24"/>
          <w:szCs w:val="24"/>
        </w:rPr>
        <w:t xml:space="preserve">Приложение № 3 </w:t>
      </w:r>
      <w:r>
        <w:rPr>
          <w:sz w:val="24"/>
          <w:szCs w:val="24"/>
          <w:lang w:eastAsia="en-US"/>
        </w:rPr>
        <w:t>–</w:t>
      </w:r>
      <w:r>
        <w:rPr>
          <w:bCs/>
          <w:sz w:val="24"/>
          <w:szCs w:val="24"/>
        </w:rPr>
        <w:t xml:space="preserve"> Размер ответственности Поставщика за нарушения пропускного и внутриобъектового режима, требований охраны труда, пожарной и промышленной безопасности.</w:t>
      </w:r>
    </w:p>
    <w:p>
      <w:pPr>
        <w:pStyle w:val="Normal"/>
        <w:ind w:firstLine="709"/>
        <w:jc w:val="both"/>
        <w:rPr>
          <w:sz w:val="24"/>
          <w:szCs w:val="24"/>
          <w:lang w:eastAsia="en-US"/>
        </w:rPr>
      </w:pPr>
      <w:r>
        <w:rPr>
          <w:sz w:val="24"/>
          <w:szCs w:val="24"/>
          <w:lang w:eastAsia="en-US"/>
        </w:rPr>
        <w:t>Приложение № 4 – Техническое задание на поставку МТР</w:t>
      </w:r>
    </w:p>
    <w:p>
      <w:pPr>
        <w:pStyle w:val="Normal"/>
        <w:ind w:firstLine="709"/>
        <w:jc w:val="both"/>
        <w:rPr>
          <w:sz w:val="24"/>
          <w:szCs w:val="24"/>
          <w:lang w:eastAsia="en-US"/>
        </w:rPr>
      </w:pPr>
      <w:r>
        <w:rPr>
          <w:sz w:val="24"/>
          <w:szCs w:val="24"/>
          <w:lang w:eastAsia="en-US"/>
        </w:rPr>
        <w:t>Приложение № 5 – Критерии отбора банков-гарантов</w:t>
      </w:r>
    </w:p>
    <w:p>
      <w:pPr>
        <w:pStyle w:val="Normal"/>
        <w:ind w:firstLine="709"/>
        <w:jc w:val="both"/>
        <w:rPr>
          <w:sz w:val="24"/>
          <w:szCs w:val="24"/>
          <w:lang w:eastAsia="en-US"/>
        </w:rPr>
      </w:pPr>
      <w:r>
        <w:rPr>
          <w:sz w:val="24"/>
          <w:szCs w:val="24"/>
          <w:lang w:eastAsia="en-US"/>
        </w:rPr>
      </w:r>
    </w:p>
    <w:p>
      <w:pPr>
        <w:pStyle w:val="Normal"/>
        <w:ind w:firstLine="709"/>
        <w:jc w:val="both"/>
        <w:rPr>
          <w:sz w:val="24"/>
          <w:szCs w:val="24"/>
          <w:lang w:eastAsia="en-US"/>
        </w:rPr>
      </w:pPr>
      <w:r>
        <w:rPr>
          <w:sz w:val="24"/>
          <w:szCs w:val="24"/>
          <w:lang w:eastAsia="en-US"/>
        </w:rPr>
      </w:r>
    </w:p>
    <w:p>
      <w:pPr>
        <w:pStyle w:val="Normal"/>
        <w:widowControl/>
        <w:shd w:val="clear" w:color="auto" w:fill="FFFFFF"/>
        <w:spacing w:before="0" w:after="0"/>
        <w:contextualSpacing/>
        <w:jc w:val="center"/>
        <w:rPr>
          <w:b/>
          <w:bCs/>
          <w:sz w:val="24"/>
          <w:szCs w:val="24"/>
        </w:rPr>
      </w:pPr>
      <w:r>
        <w:rPr>
          <w:b/>
          <w:bCs/>
          <w:sz w:val="24"/>
          <w:szCs w:val="24"/>
        </w:rPr>
        <w:t>15. Адреса и платежные реквизиты Сторон</w:t>
      </w:r>
    </w:p>
    <w:p>
      <w:pPr>
        <w:pStyle w:val="Normal"/>
        <w:widowControl/>
        <w:shd w:val="clear" w:color="auto" w:fill="FFFFFF"/>
        <w:tabs>
          <w:tab w:val="clear" w:pos="708"/>
          <w:tab w:val="left" w:pos="426" w:leader="none"/>
        </w:tabs>
        <w:ind w:firstLine="709"/>
        <w:rPr>
          <w:b/>
          <w:bCs/>
          <w:sz w:val="24"/>
          <w:szCs w:val="24"/>
        </w:rPr>
      </w:pPr>
      <w:r>
        <w:rPr>
          <w:b/>
          <w:bCs/>
          <w:sz w:val="24"/>
          <w:szCs w:val="24"/>
        </w:rPr>
      </w:r>
    </w:p>
    <w:tbl>
      <w:tblPr>
        <w:tblW w:w="9781" w:type="dxa"/>
        <w:jc w:val="left"/>
        <w:tblInd w:w="216" w:type="dxa"/>
        <w:tblLayout w:type="fixed"/>
        <w:tblCellMar>
          <w:top w:w="0" w:type="dxa"/>
          <w:left w:w="108" w:type="dxa"/>
          <w:bottom w:w="0" w:type="dxa"/>
          <w:right w:w="108" w:type="dxa"/>
        </w:tblCellMar>
        <w:tblLook w:val="01e0" w:noHBand="0" w:noVBand="0" w:firstColumn="1" w:lastRow="1" w:lastColumn="1" w:firstRow="1"/>
      </w:tblPr>
      <w:tblGrid>
        <w:gridCol w:w="4912"/>
        <w:gridCol w:w="4868"/>
      </w:tblGrid>
      <w:tr>
        <w:trPr/>
        <w:tc>
          <w:tcPr>
            <w:tcW w:w="4912" w:type="dxa"/>
            <w:tcBorders/>
          </w:tcPr>
          <w:p>
            <w:pPr>
              <w:pStyle w:val="Normal"/>
              <w:widowControl w:val="false"/>
              <w:rPr>
                <w:b/>
                <w:sz w:val="24"/>
                <w:szCs w:val="24"/>
              </w:rPr>
            </w:pPr>
            <w:r>
              <w:rPr>
                <w:b/>
                <w:sz w:val="24"/>
                <w:szCs w:val="24"/>
              </w:rPr>
              <w:t>Покупатель:</w:t>
            </w:r>
          </w:p>
        </w:tc>
        <w:tc>
          <w:tcPr>
            <w:tcW w:w="4868" w:type="dxa"/>
            <w:tcBorders/>
          </w:tcPr>
          <w:p>
            <w:pPr>
              <w:pStyle w:val="Normal"/>
              <w:widowControl w:val="false"/>
              <w:rPr>
                <w:b/>
                <w:sz w:val="24"/>
                <w:szCs w:val="24"/>
              </w:rPr>
            </w:pPr>
            <w:r>
              <w:rPr>
                <w:b/>
                <w:sz w:val="24"/>
                <w:szCs w:val="24"/>
              </w:rPr>
              <w:t>Поставщик:</w:t>
            </w:r>
          </w:p>
        </w:tc>
      </w:tr>
      <w:tr>
        <w:trPr/>
        <w:tc>
          <w:tcPr>
            <w:tcW w:w="4912" w:type="dxa"/>
            <w:tcBorders/>
          </w:tcPr>
          <w:p>
            <w:pPr>
              <w:pStyle w:val="Normal"/>
              <w:widowControl w:val="false"/>
              <w:rPr>
                <w:b/>
                <w:color w:val="000000"/>
                <w:sz w:val="24"/>
                <w:szCs w:val="24"/>
              </w:rPr>
            </w:pPr>
            <w:r>
              <w:rPr>
                <w:b/>
                <w:color w:val="000000"/>
                <w:sz w:val="24"/>
                <w:szCs w:val="24"/>
              </w:rPr>
              <w:t>АО «ТК РусГидро»</w:t>
            </w:r>
          </w:p>
          <w:p>
            <w:pPr>
              <w:pStyle w:val="Normal"/>
              <w:widowControl w:val="false"/>
              <w:rPr>
                <w:color w:val="000000"/>
                <w:sz w:val="24"/>
                <w:szCs w:val="24"/>
              </w:rPr>
            </w:pPr>
            <w:r>
              <w:rPr>
                <w:color w:val="000000"/>
                <w:sz w:val="24"/>
                <w:szCs w:val="24"/>
              </w:rPr>
              <w:t>Место нахождения: 655619, Республика Хакасия, г. Саяногорск, рп. Черемушки, стр. № 101</w:t>
            </w:r>
          </w:p>
          <w:p>
            <w:pPr>
              <w:pStyle w:val="Normal"/>
              <w:widowControl w:val="false"/>
              <w:rPr>
                <w:b/>
                <w:bCs/>
              </w:rPr>
            </w:pPr>
            <w:r>
              <w:rPr>
                <w:b/>
                <w:bCs/>
                <w:color w:val="000000"/>
                <w:sz w:val="24"/>
                <w:szCs w:val="24"/>
              </w:rPr>
              <w:t>Центральный филиал АО «ТК РусГидро»</w:t>
            </w:r>
          </w:p>
          <w:p>
            <w:pPr>
              <w:pStyle w:val="Normal"/>
              <w:widowControl w:val="false"/>
              <w:rPr>
                <w:color w:val="000000"/>
                <w:sz w:val="24"/>
                <w:szCs w:val="24"/>
              </w:rPr>
            </w:pPr>
            <w:r>
              <w:rPr>
                <w:color w:val="000000"/>
                <w:sz w:val="24"/>
                <w:szCs w:val="24"/>
              </w:rPr>
              <w:t>Место нахождения и почтовый адрес: 141342, Российская Федерация, Московская область, Сергиево-Посадский г.о., пгт. Богородское, д. 100,</w:t>
            </w:r>
          </w:p>
          <w:p>
            <w:pPr>
              <w:pStyle w:val="Normal"/>
              <w:widowControl w:val="false"/>
              <w:rPr>
                <w:color w:val="000000"/>
                <w:sz w:val="24"/>
                <w:szCs w:val="24"/>
              </w:rPr>
            </w:pPr>
            <w:r>
              <w:rPr>
                <w:color w:val="000000"/>
                <w:sz w:val="24"/>
                <w:szCs w:val="24"/>
              </w:rPr>
              <w:t>Р/с 40702810940020015572</w:t>
            </w:r>
          </w:p>
          <w:p>
            <w:pPr>
              <w:pStyle w:val="Normal"/>
              <w:widowControl w:val="false"/>
              <w:rPr>
                <w:color w:val="000000"/>
                <w:sz w:val="24"/>
                <w:szCs w:val="24"/>
              </w:rPr>
            </w:pPr>
            <w:r>
              <w:rPr>
                <w:color w:val="000000"/>
                <w:sz w:val="24"/>
                <w:szCs w:val="24"/>
              </w:rPr>
              <w:t>в ПАО «Сбербанк России», г. Москва</w:t>
            </w:r>
          </w:p>
          <w:p>
            <w:pPr>
              <w:pStyle w:val="Normal"/>
              <w:widowControl w:val="false"/>
              <w:rPr>
                <w:color w:val="000000"/>
                <w:sz w:val="24"/>
                <w:szCs w:val="24"/>
              </w:rPr>
            </w:pPr>
            <w:r>
              <w:rPr>
                <w:color w:val="000000"/>
                <w:sz w:val="24"/>
                <w:szCs w:val="24"/>
              </w:rPr>
              <w:t>к/с 30101810400000000225</w:t>
            </w:r>
          </w:p>
          <w:p>
            <w:pPr>
              <w:pStyle w:val="Normal"/>
              <w:widowControl w:val="false"/>
              <w:rPr>
                <w:color w:val="000000"/>
                <w:sz w:val="24"/>
                <w:szCs w:val="24"/>
              </w:rPr>
            </w:pPr>
            <w:r>
              <w:rPr>
                <w:color w:val="000000"/>
                <w:sz w:val="24"/>
                <w:szCs w:val="24"/>
              </w:rPr>
              <w:t>БИК: 044525225</w:t>
            </w:r>
          </w:p>
          <w:p>
            <w:pPr>
              <w:pStyle w:val="Normal"/>
              <w:widowControl w:val="false"/>
              <w:rPr>
                <w:color w:val="000000"/>
                <w:sz w:val="24"/>
                <w:szCs w:val="24"/>
              </w:rPr>
            </w:pPr>
            <w:r>
              <w:rPr>
                <w:color w:val="000000"/>
                <w:sz w:val="24"/>
                <w:szCs w:val="24"/>
              </w:rPr>
              <w:t>ИНН: 1902018248</w:t>
            </w:r>
          </w:p>
          <w:p>
            <w:pPr>
              <w:pStyle w:val="Normal"/>
              <w:widowControl w:val="false"/>
              <w:rPr>
                <w:color w:val="000000"/>
                <w:sz w:val="24"/>
                <w:szCs w:val="24"/>
              </w:rPr>
            </w:pPr>
            <w:r>
              <w:rPr>
                <w:color w:val="000000"/>
                <w:sz w:val="24"/>
                <w:szCs w:val="24"/>
              </w:rPr>
              <w:t>КПП: 504 243 001</w:t>
            </w:r>
          </w:p>
          <w:p>
            <w:pPr>
              <w:pStyle w:val="Normal"/>
              <w:widowControl w:val="false"/>
              <w:rPr>
                <w:color w:val="000000"/>
                <w:sz w:val="24"/>
                <w:szCs w:val="24"/>
              </w:rPr>
            </w:pPr>
            <w:r>
              <w:rPr>
                <w:color w:val="000000"/>
                <w:sz w:val="24"/>
                <w:szCs w:val="24"/>
              </w:rPr>
              <w:t>ОГРН:1031900676356</w:t>
            </w:r>
          </w:p>
        </w:tc>
        <w:tc>
          <w:tcPr>
            <w:tcW w:w="4868" w:type="dxa"/>
            <w:tcBorders/>
            <w:shd w:color="auto" w:fill="auto" w:val="clear"/>
          </w:tcPr>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tc>
      </w:tr>
      <w:tr>
        <w:trPr/>
        <w:tc>
          <w:tcPr>
            <w:tcW w:w="4912" w:type="dxa"/>
            <w:tcBorders/>
          </w:tcPr>
          <w:p>
            <w:pPr>
              <w:pStyle w:val="Normal"/>
              <w:widowControl w:val="false"/>
              <w:jc w:val="center"/>
              <w:rPr>
                <w:b/>
                <w:bCs/>
              </w:rPr>
            </w:pPr>
            <w:r>
              <w:rPr>
                <w:b/>
                <w:bCs/>
              </w:rPr>
            </w:r>
          </w:p>
          <w:p>
            <w:pPr>
              <w:pStyle w:val="Normal"/>
              <w:widowControl w:val="false"/>
              <w:jc w:val="center"/>
              <w:rPr>
                <w:sz w:val="24"/>
                <w:szCs w:val="24"/>
              </w:rPr>
            </w:pPr>
            <w:r>
              <w:rPr>
                <w:b/>
                <w:bCs/>
                <w:sz w:val="24"/>
                <w:szCs w:val="24"/>
              </w:rPr>
              <w:t xml:space="preserve">                                   </w:t>
            </w:r>
            <w:r>
              <w:rPr>
                <w:b/>
                <w:bCs/>
                <w:sz w:val="24"/>
                <w:szCs w:val="24"/>
              </w:rPr>
              <w:t>ПОДПИСИ СТОРОН:</w:t>
            </w:r>
          </w:p>
          <w:p>
            <w:pPr>
              <w:pStyle w:val="Normal"/>
              <w:widowControl w:val="false"/>
              <w:rPr>
                <w:sz w:val="24"/>
                <w:szCs w:val="24"/>
              </w:rPr>
            </w:pPr>
            <w:r>
              <w:rPr>
                <w:sz w:val="24"/>
                <w:szCs w:val="24"/>
              </w:rPr>
            </w:r>
          </w:p>
          <w:p>
            <w:pPr>
              <w:pStyle w:val="Normal"/>
              <w:widowControl w:val="false"/>
              <w:rPr>
                <w:sz w:val="24"/>
                <w:szCs w:val="24"/>
              </w:rPr>
            </w:pPr>
            <w:r>
              <w:rPr>
                <w:sz w:val="24"/>
                <w:szCs w:val="24"/>
              </w:rPr>
              <w:t>Директор Центрального филиала</w:t>
            </w:r>
          </w:p>
          <w:p>
            <w:pPr>
              <w:pStyle w:val="Normal"/>
              <w:widowControl w:val="false"/>
              <w:rPr>
                <w:sz w:val="24"/>
                <w:szCs w:val="24"/>
              </w:rPr>
            </w:pPr>
            <w:r>
              <w:rPr>
                <w:sz w:val="24"/>
                <w:szCs w:val="24"/>
              </w:rPr>
              <w:t>АО «ТК РусГидро»</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 /</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tc>
        <w:tc>
          <w:tcPr>
            <w:tcW w:w="4868" w:type="dxa"/>
            <w:tcBorders/>
            <w:shd w:color="auto" w:fill="auto" w:val="clear"/>
          </w:tcPr>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Генеральный директор</w:t>
            </w:r>
          </w:p>
          <w:p>
            <w:pPr>
              <w:pStyle w:val="Normal"/>
              <w:widowControl w:val="false"/>
              <w:rPr>
                <w:sz w:val="24"/>
                <w:szCs w:val="24"/>
              </w:rPr>
            </w:pPr>
            <w:r>
              <w:rPr>
                <w:sz w:val="24"/>
                <w:szCs w:val="24"/>
              </w:rPr>
              <w:t xml:space="preserve">ООО </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 xml:space="preserve">    </w:t>
            </w:r>
            <w:r>
              <w:rPr>
                <w:sz w:val="24"/>
                <w:szCs w:val="24"/>
              </w:rPr>
              <w:t>_______________ /</w:t>
            </w:r>
          </w:p>
        </w:tc>
      </w:tr>
    </w:tbl>
    <w:p>
      <w:pPr>
        <w:sectPr>
          <w:headerReference w:type="default" r:id="rId5"/>
          <w:footnotePr>
            <w:numFmt w:val="decimal"/>
          </w:footnotePr>
          <w:type w:val="nextPage"/>
          <w:pgSz w:w="11906" w:h="16838"/>
          <w:pgMar w:left="1134" w:right="851" w:gutter="0" w:header="680" w:top="1134" w:footer="0" w:bottom="992"/>
          <w:pgNumType w:fmt="decimal"/>
          <w:formProt w:val="false"/>
          <w:textDirection w:val="lrTb"/>
          <w:docGrid w:type="default" w:linePitch="381" w:charSpace="24576"/>
        </w:sectPr>
      </w:pPr>
    </w:p>
    <w:p>
      <w:pPr>
        <w:pStyle w:val="Normal"/>
        <w:ind w:firstLine="4820"/>
        <w:jc w:val="right"/>
        <w:rPr/>
      </w:pPr>
      <w:r>
        <w:rPr>
          <w:sz w:val="22"/>
          <w:szCs w:val="22"/>
        </w:rPr>
        <w:t>Приложение № 1</w:t>
      </w:r>
    </w:p>
    <w:p>
      <w:pPr>
        <w:pStyle w:val="Normal"/>
        <w:ind w:firstLine="4820"/>
        <w:jc w:val="right"/>
        <w:rPr/>
      </w:pPr>
      <w:r>
        <w:rPr>
          <w:sz w:val="22"/>
          <w:szCs w:val="22"/>
        </w:rPr>
        <w:t>к Договору поставки</w:t>
      </w:r>
    </w:p>
    <w:p>
      <w:pPr>
        <w:pStyle w:val="Normal"/>
        <w:ind w:firstLine="4820"/>
        <w:jc w:val="right"/>
        <w:rPr>
          <w:sz w:val="22"/>
          <w:szCs w:val="22"/>
        </w:rPr>
      </w:pPr>
      <w:r>
        <w:rPr>
          <w:sz w:val="22"/>
          <w:szCs w:val="22"/>
        </w:rPr>
        <w:t>от «» августа 2026 г. №</w:t>
      </w:r>
    </w:p>
    <w:p>
      <w:pPr>
        <w:pStyle w:val="Normal"/>
        <w:ind w:firstLine="709"/>
        <w:jc w:val="center"/>
        <w:rPr>
          <w:b/>
        </w:rPr>
      </w:pPr>
      <w:r>
        <w:rPr>
          <w:b/>
        </w:rPr>
      </w:r>
    </w:p>
    <w:p>
      <w:pPr>
        <w:pStyle w:val="Normal"/>
        <w:jc w:val="center"/>
        <w:rPr>
          <w:b/>
        </w:rPr>
      </w:pPr>
      <w:r>
        <w:rPr>
          <w:b/>
          <w:sz w:val="24"/>
          <w:szCs w:val="24"/>
        </w:rPr>
        <w:t xml:space="preserve">СПЕЦИФИКАЦИЯ </w:t>
      </w:r>
    </w:p>
    <w:p>
      <w:pPr>
        <w:pStyle w:val="Normal"/>
        <w:jc w:val="center"/>
        <w:rPr>
          <w:b/>
        </w:rPr>
      </w:pPr>
      <w:r>
        <w:rPr>
          <w:b/>
        </w:rPr>
      </w:r>
    </w:p>
    <w:tbl>
      <w:tblPr>
        <w:tblW w:w="15081" w:type="dxa"/>
        <w:jc w:val="left"/>
        <w:tblInd w:w="-488" w:type="dxa"/>
        <w:tblLayout w:type="fixed"/>
        <w:tblCellMar>
          <w:top w:w="0" w:type="dxa"/>
          <w:left w:w="108" w:type="dxa"/>
          <w:bottom w:w="0" w:type="dxa"/>
          <w:right w:w="108" w:type="dxa"/>
        </w:tblCellMar>
        <w:tblLook w:val="0000" w:noHBand="0" w:noVBand="0" w:firstColumn="0" w:lastRow="0" w:lastColumn="0" w:firstRow="0"/>
      </w:tblPr>
      <w:tblGrid>
        <w:gridCol w:w="666"/>
        <w:gridCol w:w="1585"/>
        <w:gridCol w:w="1199"/>
        <w:gridCol w:w="1134"/>
        <w:gridCol w:w="1751"/>
        <w:gridCol w:w="849"/>
        <w:gridCol w:w="852"/>
        <w:gridCol w:w="1249"/>
        <w:gridCol w:w="1817"/>
        <w:gridCol w:w="1368"/>
        <w:gridCol w:w="1422"/>
        <w:gridCol w:w="1188"/>
      </w:tblGrid>
      <w:tr>
        <w:trPr>
          <w:trHeight w:val="526" w:hRule="atLeast"/>
        </w:trPr>
        <w:tc>
          <w:tcPr>
            <w:tcW w:w="66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 xml:space="preserve">№ </w:t>
            </w:r>
            <w:r>
              <w:rPr>
                <w:bCs/>
              </w:rPr>
              <w:t>поз.</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Наименование Товара</w:t>
            </w:r>
          </w:p>
        </w:tc>
        <w:tc>
          <w:tcPr>
            <w:tcW w:w="119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t>Страна происхождения Товара</w:t>
            </w:r>
            <w:r>
              <w:rPr>
                <w:rStyle w:val="FootnoteReference"/>
                <w:bCs/>
              </w:rPr>
              <w:footnoteReference w:id="3"/>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t>Страна регистрации производителя Товара</w:t>
            </w:r>
          </w:p>
        </w:tc>
        <w:tc>
          <w:tcPr>
            <w:tcW w:w="175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Код ОКПД 2 (с наименованием)</w:t>
            </w:r>
          </w:p>
        </w:tc>
        <w:tc>
          <w:tcPr>
            <w:tcW w:w="84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Единица измерения</w:t>
            </w:r>
          </w:p>
        </w:tc>
        <w:tc>
          <w:tcPr>
            <w:tcW w:w="85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Количество</w:t>
            </w:r>
          </w:p>
        </w:tc>
        <w:tc>
          <w:tcPr>
            <w:tcW w:w="124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Цена за единицу, руб. без НДС</w:t>
            </w:r>
          </w:p>
        </w:tc>
        <w:tc>
          <w:tcPr>
            <w:tcW w:w="18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Цена, руб. без НДС</w:t>
            </w:r>
          </w:p>
        </w:tc>
        <w:tc>
          <w:tcPr>
            <w:tcW w:w="136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НДС</w:t>
            </w:r>
          </w:p>
          <w:p>
            <w:pPr>
              <w:pStyle w:val="Normal"/>
              <w:widowControl w:val="false"/>
              <w:jc w:val="center"/>
              <w:rPr>
                <w:bCs/>
              </w:rPr>
            </w:pPr>
            <w:r>
              <w:rPr>
                <w:bCs/>
              </w:rPr>
              <w:t>(22%) руб.</w:t>
            </w:r>
          </w:p>
        </w:tc>
        <w:tc>
          <w:tcPr>
            <w:tcW w:w="14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Стоимость, руб., с НДС</w:t>
            </w:r>
          </w:p>
        </w:tc>
        <w:tc>
          <w:tcPr>
            <w:tcW w:w="118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Перечень сопроводительных документов (в том числе подтверждающих качество Товара)</w:t>
            </w:r>
          </w:p>
        </w:tc>
      </w:tr>
      <w:tr>
        <w:trPr>
          <w:trHeight w:val="538" w:hRule="atLeast"/>
        </w:trPr>
        <w:tc>
          <w:tcPr>
            <w:tcW w:w="66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shd w:fill="C0C0C0" w:val="clear"/>
              </w:rPr>
            </w:pPr>
            <w:r>
              <w:rPr>
                <w:shd w:fill="C0C0C0" w:val="clear"/>
              </w:rPr>
              <w:t>1</w:t>
            </w:r>
          </w:p>
        </w:tc>
        <w:tc>
          <w:tcPr>
            <w:tcW w:w="1585" w:type="dxa"/>
            <w:tcBorders>
              <w:top w:val="single" w:sz="4" w:space="0" w:color="000000"/>
              <w:left w:val="single" w:sz="4" w:space="0" w:color="000000"/>
              <w:bottom w:val="single" w:sz="4" w:space="0" w:color="000000"/>
              <w:right w:val="single" w:sz="4" w:space="0" w:color="000000"/>
            </w:tcBorders>
          </w:tcPr>
          <w:p>
            <w:pPr>
              <w:pStyle w:val="Style30"/>
              <w:widowControl w:val="false"/>
              <w:jc w:val="left"/>
              <w:rPr>
                <w:color w:val="000000"/>
              </w:rPr>
            </w:pPr>
            <w:r>
              <w:rPr>
                <w:color w:val="000000"/>
              </w:rPr>
              <w:t>Каток поддерживающий. 81EM-10031-TK .</w:t>
            </w:r>
          </w:p>
        </w:tc>
        <w:tc>
          <w:tcPr>
            <w:tcW w:w="1199"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1751" w:type="dxa"/>
            <w:tcBorders>
              <w:top w:val="single" w:sz="4" w:space="0" w:color="000000"/>
              <w:left w:val="single" w:sz="4" w:space="0" w:color="000000"/>
              <w:bottom w:val="single" w:sz="4" w:space="0" w:color="000000"/>
              <w:right w:val="single" w:sz="4" w:space="0" w:color="000000"/>
            </w:tcBorders>
          </w:tcPr>
          <w:p>
            <w:pPr>
              <w:pStyle w:val="Normal"/>
              <w:widowControl w:val="false"/>
              <w:rPr>
                <w:rFonts w:eastAsia="Calibri"/>
              </w:rPr>
            </w:pPr>
            <w:r>
              <w:rPr>
                <w:rFonts w:eastAsia="Calibri"/>
              </w:rPr>
            </w:r>
          </w:p>
        </w:tc>
        <w:tc>
          <w:tcPr>
            <w:tcW w:w="849"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t>шт</w:t>
            </w:r>
          </w:p>
        </w:tc>
        <w:tc>
          <w:tcPr>
            <w:tcW w:w="85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lang w:val="en-US"/>
              </w:rPr>
            </w:pPr>
            <w:r>
              <w:rPr>
                <w:sz w:val="24"/>
                <w:szCs w:val="24"/>
                <w:lang w:val="en-US"/>
              </w:rPr>
              <w:t>4</w:t>
            </w:r>
          </w:p>
        </w:tc>
        <w:tc>
          <w:tcPr>
            <w:tcW w:w="124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r>
          </w:p>
        </w:tc>
        <w:tc>
          <w:tcPr>
            <w:tcW w:w="18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r>
          </w:p>
        </w:tc>
        <w:tc>
          <w:tcPr>
            <w:tcW w:w="136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r>
          </w:p>
        </w:tc>
        <w:tc>
          <w:tcPr>
            <w:tcW w:w="14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r>
          </w:p>
        </w:tc>
        <w:tc>
          <w:tcPr>
            <w:tcW w:w="1188" w:type="dxa"/>
            <w:vMerge w:val="restart"/>
            <w:tcBorders>
              <w:top w:val="single" w:sz="4" w:space="0" w:color="000000"/>
              <w:left w:val="single" w:sz="4" w:space="0" w:color="000000"/>
              <w:right w:val="single" w:sz="4" w:space="0" w:color="000000"/>
            </w:tcBorders>
            <w:vAlign w:val="center"/>
          </w:tcPr>
          <w:p>
            <w:pPr>
              <w:pStyle w:val="Normal"/>
              <w:widowControl w:val="false"/>
              <w:rPr>
                <w:sz w:val="22"/>
                <w:szCs w:val="22"/>
              </w:rPr>
            </w:pPr>
            <w:r>
              <w:rPr>
                <w:sz w:val="22"/>
                <w:szCs w:val="22"/>
              </w:rPr>
              <w:t>Паспорт качества;</w:t>
            </w:r>
          </w:p>
          <w:p>
            <w:pPr>
              <w:pStyle w:val="Normal"/>
              <w:widowControl w:val="false"/>
              <w:rPr>
                <w:sz w:val="22"/>
                <w:szCs w:val="22"/>
              </w:rPr>
            </w:pPr>
            <w:r>
              <w:rPr>
                <w:sz w:val="22"/>
                <w:szCs w:val="22"/>
              </w:rPr>
              <w:t xml:space="preserve"> </w:t>
            </w:r>
            <w:r>
              <w:rPr>
                <w:sz w:val="22"/>
                <w:szCs w:val="22"/>
              </w:rPr>
              <w:t>товарно-транспортная накладная</w:t>
            </w:r>
          </w:p>
        </w:tc>
      </w:tr>
      <w:tr>
        <w:trPr>
          <w:trHeight w:val="538" w:hRule="atLeast"/>
        </w:trPr>
        <w:tc>
          <w:tcPr>
            <w:tcW w:w="666" w:type="dxa"/>
            <w:tcBorders>
              <w:left w:val="single" w:sz="4" w:space="0" w:color="000000"/>
              <w:bottom w:val="single" w:sz="4" w:space="0" w:color="000000"/>
              <w:right w:val="single" w:sz="4" w:space="0" w:color="000000"/>
            </w:tcBorders>
            <w:vAlign w:val="center"/>
          </w:tcPr>
          <w:p>
            <w:pPr>
              <w:pStyle w:val="Normal"/>
              <w:widowControl w:val="false"/>
              <w:rPr>
                <w:shd w:fill="C0C0C0" w:val="clear"/>
              </w:rPr>
            </w:pPr>
            <w:r>
              <w:rPr>
                <w:shd w:fill="C0C0C0" w:val="clear"/>
              </w:rPr>
              <w:t>2</w:t>
            </w:r>
          </w:p>
        </w:tc>
        <w:tc>
          <w:tcPr>
            <w:tcW w:w="1585" w:type="dxa"/>
            <w:tcBorders>
              <w:left w:val="single" w:sz="4" w:space="0" w:color="000000"/>
              <w:bottom w:val="single" w:sz="4" w:space="0" w:color="000000"/>
              <w:right w:val="single" w:sz="4" w:space="0" w:color="000000"/>
            </w:tcBorders>
          </w:tcPr>
          <w:p>
            <w:pPr>
              <w:pStyle w:val="Style30"/>
              <w:widowControl w:val="false"/>
              <w:jc w:val="left"/>
              <w:rPr>
                <w:color w:val="000000"/>
              </w:rPr>
            </w:pPr>
            <w:r>
              <w:rPr>
                <w:color w:val="000000"/>
              </w:rPr>
              <w:t>Колесо направляющее. 81N6-13010-TK.</w:t>
            </w:r>
          </w:p>
        </w:tc>
        <w:tc>
          <w:tcPr>
            <w:tcW w:w="1199" w:type="dxa"/>
            <w:tcBorders>
              <w:left w:val="single" w:sz="4" w:space="0" w:color="000000"/>
              <w:bottom w:val="single" w:sz="4" w:space="0" w:color="000000"/>
              <w:right w:val="single" w:sz="4" w:space="0" w:color="000000"/>
            </w:tcBorders>
          </w:tcPr>
          <w:p>
            <w:pPr>
              <w:pStyle w:val="Normal"/>
              <w:widowControl w:val="false"/>
              <w:rPr/>
            </w:pPr>
            <w:r>
              <w:rPr/>
            </w:r>
          </w:p>
        </w:tc>
        <w:tc>
          <w:tcPr>
            <w:tcW w:w="1134" w:type="dxa"/>
            <w:tcBorders>
              <w:left w:val="single" w:sz="4" w:space="0" w:color="000000"/>
              <w:bottom w:val="single" w:sz="4" w:space="0" w:color="000000"/>
              <w:right w:val="single" w:sz="4" w:space="0" w:color="000000"/>
            </w:tcBorders>
          </w:tcPr>
          <w:p>
            <w:pPr>
              <w:pStyle w:val="Normal"/>
              <w:widowControl w:val="false"/>
              <w:rPr/>
            </w:pPr>
            <w:r>
              <w:rPr/>
            </w:r>
          </w:p>
        </w:tc>
        <w:tc>
          <w:tcPr>
            <w:tcW w:w="1751" w:type="dxa"/>
            <w:tcBorders>
              <w:left w:val="single" w:sz="4" w:space="0" w:color="000000"/>
              <w:bottom w:val="single" w:sz="4" w:space="0" w:color="000000"/>
              <w:right w:val="single" w:sz="4" w:space="0" w:color="000000"/>
            </w:tcBorders>
          </w:tcPr>
          <w:p>
            <w:pPr>
              <w:pStyle w:val="Normal"/>
              <w:widowControl w:val="false"/>
              <w:rPr>
                <w:color w:val="000000"/>
              </w:rPr>
            </w:pPr>
            <w:r>
              <w:rPr>
                <w:color w:val="000000"/>
              </w:rPr>
            </w:r>
          </w:p>
        </w:tc>
        <w:tc>
          <w:tcPr>
            <w:tcW w:w="849" w:type="dxa"/>
            <w:tcBorders>
              <w:left w:val="single" w:sz="4" w:space="0" w:color="000000"/>
              <w:bottom w:val="single" w:sz="4" w:space="0" w:color="000000"/>
              <w:right w:val="single" w:sz="4" w:space="0" w:color="000000"/>
            </w:tcBorders>
          </w:tcPr>
          <w:p>
            <w:pPr>
              <w:pStyle w:val="Normal"/>
              <w:widowControl w:val="false"/>
              <w:rPr/>
            </w:pPr>
            <w:r>
              <w:rPr/>
              <w:t>шт</w:t>
            </w:r>
          </w:p>
        </w:tc>
        <w:tc>
          <w:tcPr>
            <w:tcW w:w="852" w:type="dxa"/>
            <w:tcBorders>
              <w:left w:val="single" w:sz="4" w:space="0" w:color="000000"/>
              <w:bottom w:val="single" w:sz="4" w:space="0" w:color="000000"/>
              <w:right w:val="single" w:sz="4" w:space="0" w:color="000000"/>
            </w:tcBorders>
          </w:tcPr>
          <w:p>
            <w:pPr>
              <w:pStyle w:val="Normal"/>
              <w:widowControl w:val="false"/>
              <w:jc w:val="center"/>
              <w:rPr>
                <w:sz w:val="24"/>
                <w:szCs w:val="24"/>
                <w:lang w:val="en-US"/>
              </w:rPr>
            </w:pPr>
            <w:r>
              <w:rPr>
                <w:sz w:val="24"/>
                <w:szCs w:val="24"/>
                <w:lang w:val="en-US"/>
              </w:rPr>
              <w:t>2</w:t>
            </w:r>
          </w:p>
        </w:tc>
        <w:tc>
          <w:tcPr>
            <w:tcW w:w="1249" w:type="dxa"/>
            <w:tcBorders>
              <w:left w:val="single" w:sz="4" w:space="0" w:color="000000"/>
              <w:bottom w:val="single" w:sz="4" w:space="0" w:color="000000"/>
              <w:right w:val="single" w:sz="4" w:space="0" w:color="000000"/>
            </w:tcBorders>
            <w:vAlign w:val="center"/>
          </w:tcPr>
          <w:p>
            <w:pPr>
              <w:pStyle w:val="Normal"/>
              <w:widowControl w:val="false"/>
              <w:jc w:val="center"/>
              <w:rPr/>
            </w:pPr>
            <w:r>
              <w:rPr/>
            </w:r>
          </w:p>
        </w:tc>
        <w:tc>
          <w:tcPr>
            <w:tcW w:w="1817" w:type="dxa"/>
            <w:tcBorders>
              <w:left w:val="single" w:sz="4" w:space="0" w:color="000000"/>
              <w:bottom w:val="single" w:sz="4" w:space="0" w:color="000000"/>
              <w:right w:val="single" w:sz="4" w:space="0" w:color="000000"/>
            </w:tcBorders>
            <w:vAlign w:val="center"/>
          </w:tcPr>
          <w:p>
            <w:pPr>
              <w:pStyle w:val="Normal"/>
              <w:widowControl w:val="false"/>
              <w:jc w:val="center"/>
              <w:rPr/>
            </w:pPr>
            <w:r>
              <w:rPr/>
            </w:r>
          </w:p>
        </w:tc>
        <w:tc>
          <w:tcPr>
            <w:tcW w:w="1368" w:type="dxa"/>
            <w:tcBorders>
              <w:left w:val="single" w:sz="4" w:space="0" w:color="000000"/>
              <w:bottom w:val="single" w:sz="4" w:space="0" w:color="000000"/>
              <w:right w:val="single" w:sz="4" w:space="0" w:color="000000"/>
            </w:tcBorders>
            <w:vAlign w:val="center"/>
          </w:tcPr>
          <w:p>
            <w:pPr>
              <w:pStyle w:val="Normal"/>
              <w:widowControl w:val="false"/>
              <w:jc w:val="center"/>
              <w:rPr/>
            </w:pPr>
            <w:r>
              <w:rPr/>
            </w:r>
          </w:p>
        </w:tc>
        <w:tc>
          <w:tcPr>
            <w:tcW w:w="1422" w:type="dxa"/>
            <w:tcBorders>
              <w:left w:val="single" w:sz="4" w:space="0" w:color="000000"/>
              <w:bottom w:val="single" w:sz="4" w:space="0" w:color="000000"/>
              <w:right w:val="single" w:sz="4" w:space="0" w:color="000000"/>
            </w:tcBorders>
            <w:vAlign w:val="center"/>
          </w:tcPr>
          <w:p>
            <w:pPr>
              <w:pStyle w:val="Normal"/>
              <w:widowControl w:val="false"/>
              <w:jc w:val="center"/>
              <w:rPr/>
            </w:pPr>
            <w:r>
              <w:rPr/>
            </w:r>
          </w:p>
        </w:tc>
        <w:tc>
          <w:tcPr>
            <w:tcW w:w="1188" w:type="dxa"/>
            <w:vMerge w:val="continue"/>
            <w:tcBorders>
              <w:left w:val="single" w:sz="4" w:space="0" w:color="000000"/>
              <w:right w:val="single" w:sz="4" w:space="0" w:color="000000"/>
            </w:tcBorders>
            <w:vAlign w:val="center"/>
          </w:tcPr>
          <w:p>
            <w:pPr>
              <w:pStyle w:val="Normal"/>
              <w:widowControl w:val="false"/>
              <w:rPr>
                <w:sz w:val="22"/>
                <w:szCs w:val="22"/>
              </w:rPr>
            </w:pPr>
            <w:r>
              <w:rPr>
                <w:sz w:val="22"/>
                <w:szCs w:val="22"/>
              </w:rPr>
            </w:r>
          </w:p>
        </w:tc>
      </w:tr>
      <w:tr>
        <w:trPr>
          <w:trHeight w:val="538" w:hRule="atLeast"/>
        </w:trPr>
        <w:tc>
          <w:tcPr>
            <w:tcW w:w="666" w:type="dxa"/>
            <w:tcBorders>
              <w:left w:val="single" w:sz="4" w:space="0" w:color="000000"/>
              <w:bottom w:val="single" w:sz="4" w:space="0" w:color="000000"/>
              <w:right w:val="single" w:sz="4" w:space="0" w:color="000000"/>
            </w:tcBorders>
            <w:vAlign w:val="center"/>
          </w:tcPr>
          <w:p>
            <w:pPr>
              <w:pStyle w:val="Normal"/>
              <w:widowControl w:val="false"/>
              <w:rPr>
                <w:shd w:fill="C0C0C0" w:val="clear"/>
              </w:rPr>
            </w:pPr>
            <w:r>
              <w:rPr>
                <w:shd w:fill="C0C0C0" w:val="clear"/>
              </w:rPr>
              <w:t>3</w:t>
            </w:r>
          </w:p>
        </w:tc>
        <w:tc>
          <w:tcPr>
            <w:tcW w:w="1585" w:type="dxa"/>
            <w:tcBorders>
              <w:left w:val="single" w:sz="4" w:space="0" w:color="000000"/>
              <w:bottom w:val="single" w:sz="4" w:space="0" w:color="000000"/>
              <w:right w:val="single" w:sz="4" w:space="0" w:color="000000"/>
            </w:tcBorders>
          </w:tcPr>
          <w:p>
            <w:pPr>
              <w:pStyle w:val="Style30"/>
              <w:widowControl w:val="false"/>
              <w:jc w:val="left"/>
              <w:rPr>
                <w:color w:val="000000"/>
              </w:rPr>
            </w:pPr>
            <w:r>
              <w:rPr>
                <w:color w:val="000000"/>
              </w:rPr>
              <w:t>Звездочка (30 крепежных отверстий). 81EM-10010-TK .</w:t>
            </w:r>
          </w:p>
        </w:tc>
        <w:tc>
          <w:tcPr>
            <w:tcW w:w="1199" w:type="dxa"/>
            <w:tcBorders>
              <w:left w:val="single" w:sz="4" w:space="0" w:color="000000"/>
              <w:bottom w:val="single" w:sz="4" w:space="0" w:color="000000"/>
              <w:right w:val="single" w:sz="4" w:space="0" w:color="000000"/>
            </w:tcBorders>
          </w:tcPr>
          <w:p>
            <w:pPr>
              <w:pStyle w:val="Normal"/>
              <w:widowControl w:val="false"/>
              <w:rPr/>
            </w:pPr>
            <w:r>
              <w:rPr/>
            </w:r>
          </w:p>
        </w:tc>
        <w:tc>
          <w:tcPr>
            <w:tcW w:w="1134" w:type="dxa"/>
            <w:tcBorders>
              <w:left w:val="single" w:sz="4" w:space="0" w:color="000000"/>
              <w:bottom w:val="single" w:sz="4" w:space="0" w:color="000000"/>
              <w:right w:val="single" w:sz="4" w:space="0" w:color="000000"/>
            </w:tcBorders>
          </w:tcPr>
          <w:p>
            <w:pPr>
              <w:pStyle w:val="Normal"/>
              <w:widowControl w:val="false"/>
              <w:rPr/>
            </w:pPr>
            <w:r>
              <w:rPr/>
            </w:r>
          </w:p>
        </w:tc>
        <w:tc>
          <w:tcPr>
            <w:tcW w:w="1751" w:type="dxa"/>
            <w:tcBorders>
              <w:left w:val="single" w:sz="4" w:space="0" w:color="000000"/>
              <w:bottom w:val="single" w:sz="4" w:space="0" w:color="000000"/>
              <w:right w:val="single" w:sz="4" w:space="0" w:color="000000"/>
            </w:tcBorders>
          </w:tcPr>
          <w:p>
            <w:pPr>
              <w:pStyle w:val="Normal"/>
              <w:widowControl w:val="false"/>
              <w:rPr>
                <w:color w:val="000000"/>
              </w:rPr>
            </w:pPr>
            <w:r>
              <w:rPr>
                <w:color w:val="000000"/>
              </w:rPr>
            </w:r>
          </w:p>
        </w:tc>
        <w:tc>
          <w:tcPr>
            <w:tcW w:w="849" w:type="dxa"/>
            <w:tcBorders>
              <w:left w:val="single" w:sz="4" w:space="0" w:color="000000"/>
              <w:bottom w:val="single" w:sz="4" w:space="0" w:color="000000"/>
              <w:right w:val="single" w:sz="4" w:space="0" w:color="000000"/>
            </w:tcBorders>
          </w:tcPr>
          <w:p>
            <w:pPr>
              <w:pStyle w:val="Normal"/>
              <w:widowControl w:val="false"/>
              <w:rPr/>
            </w:pPr>
            <w:r>
              <w:rPr/>
              <w:t>шт</w:t>
            </w:r>
          </w:p>
        </w:tc>
        <w:tc>
          <w:tcPr>
            <w:tcW w:w="852" w:type="dxa"/>
            <w:tcBorders>
              <w:left w:val="single" w:sz="4" w:space="0" w:color="000000"/>
              <w:bottom w:val="single" w:sz="4" w:space="0" w:color="000000"/>
              <w:right w:val="single" w:sz="4" w:space="0" w:color="000000"/>
            </w:tcBorders>
          </w:tcPr>
          <w:p>
            <w:pPr>
              <w:pStyle w:val="Normal"/>
              <w:widowControl w:val="false"/>
              <w:jc w:val="center"/>
              <w:rPr>
                <w:sz w:val="24"/>
                <w:szCs w:val="24"/>
                <w:lang w:val="en-US"/>
              </w:rPr>
            </w:pPr>
            <w:r>
              <w:rPr>
                <w:sz w:val="24"/>
                <w:szCs w:val="24"/>
                <w:lang w:val="en-US"/>
              </w:rPr>
              <w:t>2</w:t>
            </w:r>
          </w:p>
        </w:tc>
        <w:tc>
          <w:tcPr>
            <w:tcW w:w="1249" w:type="dxa"/>
            <w:tcBorders>
              <w:left w:val="single" w:sz="4" w:space="0" w:color="000000"/>
              <w:bottom w:val="single" w:sz="4" w:space="0" w:color="000000"/>
              <w:right w:val="single" w:sz="4" w:space="0" w:color="000000"/>
            </w:tcBorders>
            <w:vAlign w:val="center"/>
          </w:tcPr>
          <w:p>
            <w:pPr>
              <w:pStyle w:val="Normal"/>
              <w:widowControl w:val="false"/>
              <w:jc w:val="center"/>
              <w:rPr/>
            </w:pPr>
            <w:r>
              <w:rPr/>
            </w:r>
          </w:p>
        </w:tc>
        <w:tc>
          <w:tcPr>
            <w:tcW w:w="1817" w:type="dxa"/>
            <w:tcBorders>
              <w:left w:val="single" w:sz="4" w:space="0" w:color="000000"/>
              <w:bottom w:val="single" w:sz="4" w:space="0" w:color="000000"/>
              <w:right w:val="single" w:sz="4" w:space="0" w:color="000000"/>
            </w:tcBorders>
            <w:vAlign w:val="center"/>
          </w:tcPr>
          <w:p>
            <w:pPr>
              <w:pStyle w:val="Normal"/>
              <w:widowControl w:val="false"/>
              <w:jc w:val="center"/>
              <w:rPr/>
            </w:pPr>
            <w:r>
              <w:rPr/>
            </w:r>
          </w:p>
        </w:tc>
        <w:tc>
          <w:tcPr>
            <w:tcW w:w="1368" w:type="dxa"/>
            <w:tcBorders>
              <w:left w:val="single" w:sz="4" w:space="0" w:color="000000"/>
              <w:bottom w:val="single" w:sz="4" w:space="0" w:color="000000"/>
              <w:right w:val="single" w:sz="4" w:space="0" w:color="000000"/>
            </w:tcBorders>
            <w:vAlign w:val="center"/>
          </w:tcPr>
          <w:p>
            <w:pPr>
              <w:pStyle w:val="Normal"/>
              <w:widowControl w:val="false"/>
              <w:jc w:val="center"/>
              <w:rPr/>
            </w:pPr>
            <w:r>
              <w:rPr/>
            </w:r>
          </w:p>
        </w:tc>
        <w:tc>
          <w:tcPr>
            <w:tcW w:w="1422" w:type="dxa"/>
            <w:tcBorders>
              <w:left w:val="single" w:sz="4" w:space="0" w:color="000000"/>
              <w:bottom w:val="single" w:sz="4" w:space="0" w:color="000000"/>
              <w:right w:val="single" w:sz="4" w:space="0" w:color="000000"/>
            </w:tcBorders>
            <w:vAlign w:val="center"/>
          </w:tcPr>
          <w:p>
            <w:pPr>
              <w:pStyle w:val="Normal"/>
              <w:widowControl w:val="false"/>
              <w:jc w:val="center"/>
              <w:rPr/>
            </w:pPr>
            <w:r>
              <w:rPr/>
            </w:r>
          </w:p>
        </w:tc>
        <w:tc>
          <w:tcPr>
            <w:tcW w:w="1188" w:type="dxa"/>
            <w:vMerge w:val="continue"/>
            <w:tcBorders>
              <w:left w:val="single" w:sz="4" w:space="0" w:color="000000"/>
              <w:right w:val="single" w:sz="4" w:space="0" w:color="000000"/>
            </w:tcBorders>
            <w:vAlign w:val="center"/>
          </w:tcPr>
          <w:p>
            <w:pPr>
              <w:pStyle w:val="Normal"/>
              <w:widowControl w:val="false"/>
              <w:rPr>
                <w:sz w:val="22"/>
                <w:szCs w:val="22"/>
              </w:rPr>
            </w:pPr>
            <w:r>
              <w:rPr>
                <w:sz w:val="22"/>
                <w:szCs w:val="22"/>
              </w:rPr>
            </w:r>
          </w:p>
        </w:tc>
      </w:tr>
      <w:tr>
        <w:trPr>
          <w:trHeight w:val="538" w:hRule="atLeast"/>
        </w:trPr>
        <w:tc>
          <w:tcPr>
            <w:tcW w:w="666" w:type="dxa"/>
            <w:tcBorders>
              <w:left w:val="single" w:sz="4" w:space="0" w:color="000000"/>
              <w:bottom w:val="single" w:sz="4" w:space="0" w:color="000000"/>
              <w:right w:val="single" w:sz="4" w:space="0" w:color="000000"/>
            </w:tcBorders>
            <w:vAlign w:val="center"/>
          </w:tcPr>
          <w:p>
            <w:pPr>
              <w:pStyle w:val="Normal"/>
              <w:widowControl w:val="false"/>
              <w:rPr>
                <w:shd w:fill="C0C0C0" w:val="clear"/>
              </w:rPr>
            </w:pPr>
            <w:r>
              <w:rPr>
                <w:shd w:fill="C0C0C0" w:val="clear"/>
              </w:rPr>
              <w:t>4</w:t>
            </w:r>
          </w:p>
        </w:tc>
        <w:tc>
          <w:tcPr>
            <w:tcW w:w="1585" w:type="dxa"/>
            <w:tcBorders>
              <w:left w:val="single" w:sz="4" w:space="0" w:color="000000"/>
              <w:bottom w:val="single" w:sz="4" w:space="0" w:color="000000"/>
              <w:right w:val="single" w:sz="4" w:space="0" w:color="000000"/>
            </w:tcBorders>
          </w:tcPr>
          <w:p>
            <w:pPr>
              <w:pStyle w:val="Style30"/>
              <w:widowControl w:val="false"/>
              <w:jc w:val="left"/>
              <w:rPr>
                <w:color w:val="000000"/>
              </w:rPr>
            </w:pPr>
            <w:r>
              <w:rPr>
                <w:color w:val="000000"/>
              </w:rPr>
              <w:t>Втулка. X114-802100 .</w:t>
            </w:r>
          </w:p>
        </w:tc>
        <w:tc>
          <w:tcPr>
            <w:tcW w:w="1199" w:type="dxa"/>
            <w:tcBorders>
              <w:left w:val="single" w:sz="4" w:space="0" w:color="000000"/>
              <w:bottom w:val="single" w:sz="4" w:space="0" w:color="000000"/>
              <w:right w:val="single" w:sz="4" w:space="0" w:color="000000"/>
            </w:tcBorders>
          </w:tcPr>
          <w:p>
            <w:pPr>
              <w:pStyle w:val="Normal"/>
              <w:widowControl w:val="false"/>
              <w:rPr/>
            </w:pPr>
            <w:r>
              <w:rPr/>
            </w:r>
          </w:p>
        </w:tc>
        <w:tc>
          <w:tcPr>
            <w:tcW w:w="1134" w:type="dxa"/>
            <w:tcBorders>
              <w:left w:val="single" w:sz="4" w:space="0" w:color="000000"/>
              <w:bottom w:val="single" w:sz="4" w:space="0" w:color="000000"/>
              <w:right w:val="single" w:sz="4" w:space="0" w:color="000000"/>
            </w:tcBorders>
          </w:tcPr>
          <w:p>
            <w:pPr>
              <w:pStyle w:val="Normal"/>
              <w:widowControl w:val="false"/>
              <w:rPr/>
            </w:pPr>
            <w:r>
              <w:rPr/>
            </w:r>
          </w:p>
        </w:tc>
        <w:tc>
          <w:tcPr>
            <w:tcW w:w="1751" w:type="dxa"/>
            <w:tcBorders>
              <w:left w:val="single" w:sz="4" w:space="0" w:color="000000"/>
              <w:bottom w:val="single" w:sz="4" w:space="0" w:color="000000"/>
              <w:right w:val="single" w:sz="4" w:space="0" w:color="000000"/>
            </w:tcBorders>
          </w:tcPr>
          <w:p>
            <w:pPr>
              <w:pStyle w:val="Normal"/>
              <w:widowControl w:val="false"/>
              <w:rPr>
                <w:color w:val="000000"/>
              </w:rPr>
            </w:pPr>
            <w:r>
              <w:rPr>
                <w:color w:val="000000"/>
              </w:rPr>
            </w:r>
          </w:p>
        </w:tc>
        <w:tc>
          <w:tcPr>
            <w:tcW w:w="849" w:type="dxa"/>
            <w:tcBorders>
              <w:left w:val="single" w:sz="4" w:space="0" w:color="000000"/>
              <w:bottom w:val="single" w:sz="4" w:space="0" w:color="000000"/>
              <w:right w:val="single" w:sz="4" w:space="0" w:color="000000"/>
            </w:tcBorders>
          </w:tcPr>
          <w:p>
            <w:pPr>
              <w:pStyle w:val="Normal"/>
              <w:widowControl w:val="false"/>
              <w:rPr/>
            </w:pPr>
            <w:r>
              <w:rPr/>
              <w:t>шт</w:t>
            </w:r>
          </w:p>
        </w:tc>
        <w:tc>
          <w:tcPr>
            <w:tcW w:w="852" w:type="dxa"/>
            <w:tcBorders>
              <w:left w:val="single" w:sz="4" w:space="0" w:color="000000"/>
              <w:bottom w:val="single" w:sz="4" w:space="0" w:color="000000"/>
              <w:right w:val="single" w:sz="4" w:space="0" w:color="000000"/>
            </w:tcBorders>
          </w:tcPr>
          <w:p>
            <w:pPr>
              <w:pStyle w:val="Normal"/>
              <w:widowControl w:val="false"/>
              <w:jc w:val="center"/>
              <w:rPr>
                <w:sz w:val="24"/>
                <w:szCs w:val="24"/>
                <w:lang w:val="en-US"/>
              </w:rPr>
            </w:pPr>
            <w:r>
              <w:rPr>
                <w:sz w:val="24"/>
                <w:szCs w:val="24"/>
                <w:lang w:val="en-US"/>
              </w:rPr>
              <w:t>4</w:t>
            </w:r>
          </w:p>
        </w:tc>
        <w:tc>
          <w:tcPr>
            <w:tcW w:w="1249" w:type="dxa"/>
            <w:tcBorders>
              <w:left w:val="single" w:sz="4" w:space="0" w:color="000000"/>
              <w:bottom w:val="single" w:sz="4" w:space="0" w:color="000000"/>
              <w:right w:val="single" w:sz="4" w:space="0" w:color="000000"/>
            </w:tcBorders>
            <w:vAlign w:val="center"/>
          </w:tcPr>
          <w:p>
            <w:pPr>
              <w:pStyle w:val="Normal"/>
              <w:widowControl w:val="false"/>
              <w:jc w:val="center"/>
              <w:rPr/>
            </w:pPr>
            <w:r>
              <w:rPr/>
            </w:r>
          </w:p>
        </w:tc>
        <w:tc>
          <w:tcPr>
            <w:tcW w:w="1817" w:type="dxa"/>
            <w:tcBorders>
              <w:left w:val="single" w:sz="4" w:space="0" w:color="000000"/>
              <w:bottom w:val="single" w:sz="4" w:space="0" w:color="000000"/>
              <w:right w:val="single" w:sz="4" w:space="0" w:color="000000"/>
            </w:tcBorders>
            <w:vAlign w:val="center"/>
          </w:tcPr>
          <w:p>
            <w:pPr>
              <w:pStyle w:val="Normal"/>
              <w:widowControl w:val="false"/>
              <w:jc w:val="center"/>
              <w:rPr/>
            </w:pPr>
            <w:r>
              <w:rPr/>
            </w:r>
          </w:p>
        </w:tc>
        <w:tc>
          <w:tcPr>
            <w:tcW w:w="1368" w:type="dxa"/>
            <w:tcBorders>
              <w:left w:val="single" w:sz="4" w:space="0" w:color="000000"/>
              <w:bottom w:val="single" w:sz="4" w:space="0" w:color="000000"/>
              <w:right w:val="single" w:sz="4" w:space="0" w:color="000000"/>
            </w:tcBorders>
            <w:vAlign w:val="center"/>
          </w:tcPr>
          <w:p>
            <w:pPr>
              <w:pStyle w:val="Normal"/>
              <w:widowControl w:val="false"/>
              <w:jc w:val="center"/>
              <w:rPr/>
            </w:pPr>
            <w:r>
              <w:rPr/>
            </w:r>
          </w:p>
        </w:tc>
        <w:tc>
          <w:tcPr>
            <w:tcW w:w="1422" w:type="dxa"/>
            <w:tcBorders>
              <w:left w:val="single" w:sz="4" w:space="0" w:color="000000"/>
              <w:bottom w:val="single" w:sz="4" w:space="0" w:color="000000"/>
              <w:right w:val="single" w:sz="4" w:space="0" w:color="000000"/>
            </w:tcBorders>
            <w:vAlign w:val="center"/>
          </w:tcPr>
          <w:p>
            <w:pPr>
              <w:pStyle w:val="Normal"/>
              <w:widowControl w:val="false"/>
              <w:jc w:val="center"/>
              <w:rPr/>
            </w:pPr>
            <w:r>
              <w:rPr/>
            </w:r>
          </w:p>
        </w:tc>
        <w:tc>
          <w:tcPr>
            <w:tcW w:w="1188" w:type="dxa"/>
            <w:vMerge w:val="continue"/>
            <w:tcBorders>
              <w:left w:val="single" w:sz="4" w:space="0" w:color="000000"/>
              <w:right w:val="single" w:sz="4" w:space="0" w:color="000000"/>
            </w:tcBorders>
            <w:vAlign w:val="center"/>
          </w:tcPr>
          <w:p>
            <w:pPr>
              <w:pStyle w:val="Normal"/>
              <w:widowControl w:val="false"/>
              <w:rPr>
                <w:sz w:val="22"/>
                <w:szCs w:val="22"/>
              </w:rPr>
            </w:pPr>
            <w:r>
              <w:rPr>
                <w:sz w:val="22"/>
                <w:szCs w:val="22"/>
              </w:rPr>
            </w:r>
          </w:p>
        </w:tc>
      </w:tr>
      <w:tr>
        <w:trPr>
          <w:trHeight w:val="538" w:hRule="atLeast"/>
        </w:trPr>
        <w:tc>
          <w:tcPr>
            <w:tcW w:w="666" w:type="dxa"/>
            <w:tcBorders>
              <w:left w:val="single" w:sz="4" w:space="0" w:color="000000"/>
              <w:bottom w:val="single" w:sz="4" w:space="0" w:color="000000"/>
              <w:right w:val="single" w:sz="4" w:space="0" w:color="000000"/>
            </w:tcBorders>
            <w:vAlign w:val="center"/>
          </w:tcPr>
          <w:p>
            <w:pPr>
              <w:pStyle w:val="Normal"/>
              <w:widowControl w:val="false"/>
              <w:rPr>
                <w:shd w:fill="C0C0C0" w:val="clear"/>
              </w:rPr>
            </w:pPr>
            <w:r>
              <w:rPr>
                <w:shd w:fill="C0C0C0" w:val="clear"/>
              </w:rPr>
              <w:t>5</w:t>
            </w:r>
          </w:p>
        </w:tc>
        <w:tc>
          <w:tcPr>
            <w:tcW w:w="1585" w:type="dxa"/>
            <w:tcBorders>
              <w:left w:val="single" w:sz="4" w:space="0" w:color="000000"/>
              <w:bottom w:val="single" w:sz="4" w:space="0" w:color="000000"/>
              <w:right w:val="single" w:sz="4" w:space="0" w:color="000000"/>
            </w:tcBorders>
          </w:tcPr>
          <w:p>
            <w:pPr>
              <w:pStyle w:val="Style30"/>
              <w:widowControl w:val="false"/>
              <w:jc w:val="left"/>
              <w:rPr>
                <w:color w:val="000000"/>
              </w:rPr>
            </w:pPr>
            <w:r>
              <w:rPr>
                <w:color w:val="000000"/>
              </w:rPr>
              <w:t>Палец  61N6-11100-HS.</w:t>
            </w:r>
          </w:p>
        </w:tc>
        <w:tc>
          <w:tcPr>
            <w:tcW w:w="1199" w:type="dxa"/>
            <w:tcBorders>
              <w:left w:val="single" w:sz="4" w:space="0" w:color="000000"/>
              <w:bottom w:val="single" w:sz="4" w:space="0" w:color="000000"/>
              <w:right w:val="single" w:sz="4" w:space="0" w:color="000000"/>
            </w:tcBorders>
          </w:tcPr>
          <w:p>
            <w:pPr>
              <w:pStyle w:val="Normal"/>
              <w:widowControl w:val="false"/>
              <w:rPr/>
            </w:pPr>
            <w:r>
              <w:rPr/>
            </w:r>
          </w:p>
        </w:tc>
        <w:tc>
          <w:tcPr>
            <w:tcW w:w="1134" w:type="dxa"/>
            <w:tcBorders>
              <w:left w:val="single" w:sz="4" w:space="0" w:color="000000"/>
              <w:bottom w:val="single" w:sz="4" w:space="0" w:color="000000"/>
              <w:right w:val="single" w:sz="4" w:space="0" w:color="000000"/>
            </w:tcBorders>
          </w:tcPr>
          <w:p>
            <w:pPr>
              <w:pStyle w:val="Normal"/>
              <w:widowControl w:val="false"/>
              <w:rPr/>
            </w:pPr>
            <w:r>
              <w:rPr/>
            </w:r>
          </w:p>
        </w:tc>
        <w:tc>
          <w:tcPr>
            <w:tcW w:w="1751" w:type="dxa"/>
            <w:tcBorders>
              <w:left w:val="single" w:sz="4" w:space="0" w:color="000000"/>
              <w:bottom w:val="single" w:sz="4" w:space="0" w:color="000000"/>
              <w:right w:val="single" w:sz="4" w:space="0" w:color="000000"/>
            </w:tcBorders>
          </w:tcPr>
          <w:p>
            <w:pPr>
              <w:pStyle w:val="Normal"/>
              <w:widowControl w:val="false"/>
              <w:rPr>
                <w:color w:val="000000"/>
              </w:rPr>
            </w:pPr>
            <w:r>
              <w:rPr>
                <w:color w:val="000000"/>
              </w:rPr>
            </w:r>
          </w:p>
        </w:tc>
        <w:tc>
          <w:tcPr>
            <w:tcW w:w="849" w:type="dxa"/>
            <w:tcBorders>
              <w:left w:val="single" w:sz="4" w:space="0" w:color="000000"/>
              <w:bottom w:val="single" w:sz="4" w:space="0" w:color="000000"/>
              <w:right w:val="single" w:sz="4" w:space="0" w:color="000000"/>
            </w:tcBorders>
          </w:tcPr>
          <w:p>
            <w:pPr>
              <w:pStyle w:val="Normal"/>
              <w:widowControl w:val="false"/>
              <w:rPr/>
            </w:pPr>
            <w:r>
              <w:rPr/>
              <w:t>шт</w:t>
            </w:r>
          </w:p>
        </w:tc>
        <w:tc>
          <w:tcPr>
            <w:tcW w:w="852" w:type="dxa"/>
            <w:tcBorders>
              <w:left w:val="single" w:sz="4" w:space="0" w:color="000000"/>
              <w:bottom w:val="single" w:sz="4" w:space="0" w:color="000000"/>
              <w:right w:val="single" w:sz="4" w:space="0" w:color="000000"/>
            </w:tcBorders>
          </w:tcPr>
          <w:p>
            <w:pPr>
              <w:pStyle w:val="Normal"/>
              <w:widowControl w:val="false"/>
              <w:jc w:val="center"/>
              <w:rPr>
                <w:sz w:val="24"/>
                <w:szCs w:val="24"/>
                <w:lang w:val="en-US"/>
              </w:rPr>
            </w:pPr>
            <w:r>
              <w:rPr>
                <w:sz w:val="24"/>
                <w:szCs w:val="24"/>
                <w:lang w:val="en-US"/>
              </w:rPr>
              <w:t>2</w:t>
            </w:r>
          </w:p>
        </w:tc>
        <w:tc>
          <w:tcPr>
            <w:tcW w:w="1249" w:type="dxa"/>
            <w:tcBorders>
              <w:left w:val="single" w:sz="4" w:space="0" w:color="000000"/>
              <w:bottom w:val="single" w:sz="4" w:space="0" w:color="000000"/>
              <w:right w:val="single" w:sz="4" w:space="0" w:color="000000"/>
            </w:tcBorders>
            <w:vAlign w:val="center"/>
          </w:tcPr>
          <w:p>
            <w:pPr>
              <w:pStyle w:val="Normal"/>
              <w:widowControl w:val="false"/>
              <w:jc w:val="center"/>
              <w:rPr/>
            </w:pPr>
            <w:r>
              <w:rPr/>
            </w:r>
          </w:p>
        </w:tc>
        <w:tc>
          <w:tcPr>
            <w:tcW w:w="1817" w:type="dxa"/>
            <w:tcBorders>
              <w:left w:val="single" w:sz="4" w:space="0" w:color="000000"/>
              <w:bottom w:val="single" w:sz="4" w:space="0" w:color="000000"/>
              <w:right w:val="single" w:sz="4" w:space="0" w:color="000000"/>
            </w:tcBorders>
            <w:vAlign w:val="center"/>
          </w:tcPr>
          <w:p>
            <w:pPr>
              <w:pStyle w:val="Normal"/>
              <w:widowControl w:val="false"/>
              <w:jc w:val="center"/>
              <w:rPr/>
            </w:pPr>
            <w:r>
              <w:rPr/>
            </w:r>
          </w:p>
        </w:tc>
        <w:tc>
          <w:tcPr>
            <w:tcW w:w="1368" w:type="dxa"/>
            <w:tcBorders>
              <w:left w:val="single" w:sz="4" w:space="0" w:color="000000"/>
              <w:bottom w:val="single" w:sz="4" w:space="0" w:color="000000"/>
              <w:right w:val="single" w:sz="4" w:space="0" w:color="000000"/>
            </w:tcBorders>
            <w:vAlign w:val="center"/>
          </w:tcPr>
          <w:p>
            <w:pPr>
              <w:pStyle w:val="Normal"/>
              <w:widowControl w:val="false"/>
              <w:jc w:val="center"/>
              <w:rPr/>
            </w:pPr>
            <w:r>
              <w:rPr/>
            </w:r>
          </w:p>
        </w:tc>
        <w:tc>
          <w:tcPr>
            <w:tcW w:w="1422" w:type="dxa"/>
            <w:tcBorders>
              <w:left w:val="single" w:sz="4" w:space="0" w:color="000000"/>
              <w:bottom w:val="single" w:sz="4" w:space="0" w:color="000000"/>
              <w:right w:val="single" w:sz="4" w:space="0" w:color="000000"/>
            </w:tcBorders>
            <w:vAlign w:val="center"/>
          </w:tcPr>
          <w:p>
            <w:pPr>
              <w:pStyle w:val="Normal"/>
              <w:widowControl w:val="false"/>
              <w:jc w:val="center"/>
              <w:rPr/>
            </w:pPr>
            <w:r>
              <w:rPr/>
            </w:r>
          </w:p>
        </w:tc>
        <w:tc>
          <w:tcPr>
            <w:tcW w:w="1188" w:type="dxa"/>
            <w:vMerge w:val="continue"/>
            <w:tcBorders>
              <w:left w:val="single" w:sz="4" w:space="0" w:color="000000"/>
              <w:right w:val="single" w:sz="4" w:space="0" w:color="000000"/>
            </w:tcBorders>
            <w:vAlign w:val="center"/>
          </w:tcPr>
          <w:p>
            <w:pPr>
              <w:pStyle w:val="Normal"/>
              <w:widowControl w:val="false"/>
              <w:rPr>
                <w:sz w:val="22"/>
                <w:szCs w:val="22"/>
              </w:rPr>
            </w:pPr>
            <w:r>
              <w:rPr>
                <w:sz w:val="22"/>
                <w:szCs w:val="22"/>
              </w:rPr>
            </w:r>
          </w:p>
        </w:tc>
      </w:tr>
      <w:tr>
        <w:trPr>
          <w:trHeight w:val="538" w:hRule="atLeast"/>
        </w:trPr>
        <w:tc>
          <w:tcPr>
            <w:tcW w:w="666" w:type="dxa"/>
            <w:tcBorders>
              <w:left w:val="single" w:sz="4" w:space="0" w:color="000000"/>
              <w:bottom w:val="single" w:sz="4" w:space="0" w:color="000000"/>
              <w:right w:val="single" w:sz="4" w:space="0" w:color="000000"/>
            </w:tcBorders>
            <w:vAlign w:val="center"/>
          </w:tcPr>
          <w:p>
            <w:pPr>
              <w:pStyle w:val="Normal"/>
              <w:widowControl w:val="false"/>
              <w:rPr>
                <w:shd w:fill="C0C0C0" w:val="clear"/>
              </w:rPr>
            </w:pPr>
            <w:r>
              <w:rPr>
                <w:shd w:fill="C0C0C0" w:val="clear"/>
              </w:rPr>
              <w:t>6</w:t>
            </w:r>
          </w:p>
        </w:tc>
        <w:tc>
          <w:tcPr>
            <w:tcW w:w="1585" w:type="dxa"/>
            <w:tcBorders>
              <w:left w:val="single" w:sz="4" w:space="0" w:color="000000"/>
              <w:bottom w:val="single" w:sz="4" w:space="0" w:color="000000"/>
              <w:right w:val="single" w:sz="4" w:space="0" w:color="000000"/>
            </w:tcBorders>
          </w:tcPr>
          <w:p>
            <w:pPr>
              <w:pStyle w:val="Style30"/>
              <w:widowControl w:val="false"/>
              <w:jc w:val="left"/>
              <w:rPr>
                <w:color w:val="000000"/>
              </w:rPr>
            </w:pPr>
            <w:r>
              <w:rPr>
                <w:color w:val="000000"/>
              </w:rPr>
              <w:t>Гусеница в сборе 49L 3G 600 мм. 9250499-TK.</w:t>
            </w:r>
          </w:p>
        </w:tc>
        <w:tc>
          <w:tcPr>
            <w:tcW w:w="1199" w:type="dxa"/>
            <w:tcBorders>
              <w:left w:val="single" w:sz="4" w:space="0" w:color="000000"/>
              <w:bottom w:val="single" w:sz="4" w:space="0" w:color="000000"/>
              <w:right w:val="single" w:sz="4" w:space="0" w:color="000000"/>
            </w:tcBorders>
          </w:tcPr>
          <w:p>
            <w:pPr>
              <w:pStyle w:val="Normal"/>
              <w:widowControl w:val="false"/>
              <w:rPr/>
            </w:pPr>
            <w:r>
              <w:rPr/>
            </w:r>
          </w:p>
        </w:tc>
        <w:tc>
          <w:tcPr>
            <w:tcW w:w="1134" w:type="dxa"/>
            <w:tcBorders>
              <w:left w:val="single" w:sz="4" w:space="0" w:color="000000"/>
              <w:bottom w:val="single" w:sz="4" w:space="0" w:color="000000"/>
              <w:right w:val="single" w:sz="4" w:space="0" w:color="000000"/>
            </w:tcBorders>
          </w:tcPr>
          <w:p>
            <w:pPr>
              <w:pStyle w:val="Normal"/>
              <w:widowControl w:val="false"/>
              <w:rPr/>
            </w:pPr>
            <w:r>
              <w:rPr/>
            </w:r>
          </w:p>
        </w:tc>
        <w:tc>
          <w:tcPr>
            <w:tcW w:w="1751" w:type="dxa"/>
            <w:tcBorders>
              <w:left w:val="single" w:sz="4" w:space="0" w:color="000000"/>
              <w:bottom w:val="single" w:sz="4" w:space="0" w:color="000000"/>
              <w:right w:val="single" w:sz="4" w:space="0" w:color="000000"/>
            </w:tcBorders>
          </w:tcPr>
          <w:p>
            <w:pPr>
              <w:pStyle w:val="Normal"/>
              <w:widowControl w:val="false"/>
              <w:rPr>
                <w:color w:val="000000"/>
              </w:rPr>
            </w:pPr>
            <w:r>
              <w:rPr>
                <w:color w:val="000000"/>
              </w:rPr>
            </w:r>
          </w:p>
        </w:tc>
        <w:tc>
          <w:tcPr>
            <w:tcW w:w="849" w:type="dxa"/>
            <w:tcBorders>
              <w:left w:val="single" w:sz="4" w:space="0" w:color="000000"/>
              <w:bottom w:val="single" w:sz="4" w:space="0" w:color="000000"/>
              <w:right w:val="single" w:sz="4" w:space="0" w:color="000000"/>
            </w:tcBorders>
          </w:tcPr>
          <w:p>
            <w:pPr>
              <w:pStyle w:val="Normal"/>
              <w:widowControl w:val="false"/>
              <w:rPr/>
            </w:pPr>
            <w:r>
              <w:rPr/>
              <w:t>шт</w:t>
            </w:r>
          </w:p>
        </w:tc>
        <w:tc>
          <w:tcPr>
            <w:tcW w:w="852" w:type="dxa"/>
            <w:tcBorders>
              <w:left w:val="single" w:sz="4" w:space="0" w:color="000000"/>
              <w:bottom w:val="single" w:sz="4" w:space="0" w:color="000000"/>
              <w:right w:val="single" w:sz="4" w:space="0" w:color="000000"/>
            </w:tcBorders>
          </w:tcPr>
          <w:p>
            <w:pPr>
              <w:pStyle w:val="Normal"/>
              <w:widowControl w:val="false"/>
              <w:jc w:val="center"/>
              <w:rPr>
                <w:sz w:val="24"/>
                <w:szCs w:val="24"/>
                <w:lang w:val="en-US"/>
              </w:rPr>
            </w:pPr>
            <w:r>
              <w:rPr>
                <w:sz w:val="24"/>
                <w:szCs w:val="24"/>
                <w:lang w:val="en-US"/>
              </w:rPr>
              <w:t>2</w:t>
            </w:r>
          </w:p>
        </w:tc>
        <w:tc>
          <w:tcPr>
            <w:tcW w:w="1249" w:type="dxa"/>
            <w:tcBorders>
              <w:left w:val="single" w:sz="4" w:space="0" w:color="000000"/>
              <w:bottom w:val="single" w:sz="4" w:space="0" w:color="000000"/>
              <w:right w:val="single" w:sz="4" w:space="0" w:color="000000"/>
            </w:tcBorders>
            <w:vAlign w:val="center"/>
          </w:tcPr>
          <w:p>
            <w:pPr>
              <w:pStyle w:val="Normal"/>
              <w:widowControl w:val="false"/>
              <w:jc w:val="center"/>
              <w:rPr/>
            </w:pPr>
            <w:r>
              <w:rPr/>
            </w:r>
          </w:p>
        </w:tc>
        <w:tc>
          <w:tcPr>
            <w:tcW w:w="1817" w:type="dxa"/>
            <w:tcBorders>
              <w:left w:val="single" w:sz="4" w:space="0" w:color="000000"/>
              <w:bottom w:val="single" w:sz="4" w:space="0" w:color="000000"/>
              <w:right w:val="single" w:sz="4" w:space="0" w:color="000000"/>
            </w:tcBorders>
            <w:vAlign w:val="center"/>
          </w:tcPr>
          <w:p>
            <w:pPr>
              <w:pStyle w:val="Normal"/>
              <w:widowControl w:val="false"/>
              <w:jc w:val="center"/>
              <w:rPr/>
            </w:pPr>
            <w:r>
              <w:rPr/>
            </w:r>
          </w:p>
        </w:tc>
        <w:tc>
          <w:tcPr>
            <w:tcW w:w="1368" w:type="dxa"/>
            <w:tcBorders>
              <w:left w:val="single" w:sz="4" w:space="0" w:color="000000"/>
              <w:bottom w:val="single" w:sz="4" w:space="0" w:color="000000"/>
              <w:right w:val="single" w:sz="4" w:space="0" w:color="000000"/>
            </w:tcBorders>
            <w:vAlign w:val="center"/>
          </w:tcPr>
          <w:p>
            <w:pPr>
              <w:pStyle w:val="Normal"/>
              <w:widowControl w:val="false"/>
              <w:jc w:val="center"/>
              <w:rPr/>
            </w:pPr>
            <w:r>
              <w:rPr/>
            </w:r>
          </w:p>
        </w:tc>
        <w:tc>
          <w:tcPr>
            <w:tcW w:w="1422" w:type="dxa"/>
            <w:tcBorders>
              <w:left w:val="single" w:sz="4" w:space="0" w:color="000000"/>
              <w:bottom w:val="single" w:sz="4" w:space="0" w:color="000000"/>
              <w:right w:val="single" w:sz="4" w:space="0" w:color="000000"/>
            </w:tcBorders>
            <w:vAlign w:val="center"/>
          </w:tcPr>
          <w:p>
            <w:pPr>
              <w:pStyle w:val="Normal"/>
              <w:widowControl w:val="false"/>
              <w:jc w:val="center"/>
              <w:rPr/>
            </w:pPr>
            <w:r>
              <w:rPr/>
            </w:r>
          </w:p>
        </w:tc>
        <w:tc>
          <w:tcPr>
            <w:tcW w:w="1188" w:type="dxa"/>
            <w:tcBorders>
              <w:left w:val="single" w:sz="4" w:space="0" w:color="000000"/>
              <w:right w:val="single" w:sz="4" w:space="0" w:color="000000"/>
            </w:tcBorders>
            <w:vAlign w:val="center"/>
          </w:tcPr>
          <w:p>
            <w:pPr>
              <w:pStyle w:val="Normal"/>
              <w:widowControl w:val="false"/>
              <w:rPr>
                <w:sz w:val="22"/>
                <w:szCs w:val="22"/>
              </w:rPr>
            </w:pPr>
            <w:r>
              <w:rPr>
                <w:sz w:val="22"/>
                <w:szCs w:val="22"/>
              </w:rPr>
            </w:r>
          </w:p>
        </w:tc>
      </w:tr>
      <w:tr>
        <w:trPr>
          <w:trHeight w:val="538" w:hRule="atLeast"/>
        </w:trPr>
        <w:tc>
          <w:tcPr>
            <w:tcW w:w="666" w:type="dxa"/>
            <w:tcBorders>
              <w:left w:val="single" w:sz="4" w:space="0" w:color="000000"/>
              <w:bottom w:val="single" w:sz="4" w:space="0" w:color="000000"/>
              <w:right w:val="single" w:sz="4" w:space="0" w:color="000000"/>
            </w:tcBorders>
            <w:vAlign w:val="center"/>
          </w:tcPr>
          <w:p>
            <w:pPr>
              <w:pStyle w:val="Normal"/>
              <w:widowControl w:val="false"/>
              <w:rPr>
                <w:shd w:fill="C0C0C0" w:val="clear"/>
              </w:rPr>
            </w:pPr>
            <w:r>
              <w:rPr>
                <w:shd w:fill="C0C0C0" w:val="clear"/>
              </w:rPr>
              <w:t>7</w:t>
            </w:r>
          </w:p>
        </w:tc>
        <w:tc>
          <w:tcPr>
            <w:tcW w:w="1585" w:type="dxa"/>
            <w:tcBorders>
              <w:left w:val="single" w:sz="4" w:space="0" w:color="000000"/>
              <w:bottom w:val="single" w:sz="4" w:space="0" w:color="000000"/>
              <w:right w:val="single" w:sz="4" w:space="0" w:color="000000"/>
            </w:tcBorders>
          </w:tcPr>
          <w:p>
            <w:pPr>
              <w:pStyle w:val="Style30"/>
              <w:widowControl w:val="false"/>
              <w:jc w:val="left"/>
              <w:rPr>
                <w:color w:val="000000"/>
              </w:rPr>
            </w:pPr>
            <w:r>
              <w:rPr>
                <w:color w:val="000000"/>
              </w:rPr>
              <w:t xml:space="preserve">Каток опорный. E181-2002-TK </w:t>
            </w:r>
          </w:p>
        </w:tc>
        <w:tc>
          <w:tcPr>
            <w:tcW w:w="1199" w:type="dxa"/>
            <w:tcBorders>
              <w:left w:val="single" w:sz="4" w:space="0" w:color="000000"/>
              <w:bottom w:val="single" w:sz="4" w:space="0" w:color="000000"/>
              <w:right w:val="single" w:sz="4" w:space="0" w:color="000000"/>
            </w:tcBorders>
          </w:tcPr>
          <w:p>
            <w:pPr>
              <w:pStyle w:val="Normal"/>
              <w:widowControl w:val="false"/>
              <w:rPr/>
            </w:pPr>
            <w:r>
              <w:rPr/>
            </w:r>
          </w:p>
        </w:tc>
        <w:tc>
          <w:tcPr>
            <w:tcW w:w="1134" w:type="dxa"/>
            <w:tcBorders>
              <w:left w:val="single" w:sz="4" w:space="0" w:color="000000"/>
              <w:bottom w:val="single" w:sz="4" w:space="0" w:color="000000"/>
              <w:right w:val="single" w:sz="4" w:space="0" w:color="000000"/>
            </w:tcBorders>
          </w:tcPr>
          <w:p>
            <w:pPr>
              <w:pStyle w:val="Normal"/>
              <w:widowControl w:val="false"/>
              <w:rPr/>
            </w:pPr>
            <w:r>
              <w:rPr/>
            </w:r>
          </w:p>
        </w:tc>
        <w:tc>
          <w:tcPr>
            <w:tcW w:w="1751" w:type="dxa"/>
            <w:tcBorders>
              <w:left w:val="single" w:sz="4" w:space="0" w:color="000000"/>
              <w:bottom w:val="single" w:sz="4" w:space="0" w:color="000000"/>
              <w:right w:val="single" w:sz="4" w:space="0" w:color="000000"/>
            </w:tcBorders>
          </w:tcPr>
          <w:p>
            <w:pPr>
              <w:pStyle w:val="Normal"/>
              <w:widowControl w:val="false"/>
              <w:rPr>
                <w:color w:val="000000"/>
              </w:rPr>
            </w:pPr>
            <w:r>
              <w:rPr>
                <w:color w:val="000000"/>
              </w:rPr>
            </w:r>
          </w:p>
        </w:tc>
        <w:tc>
          <w:tcPr>
            <w:tcW w:w="849" w:type="dxa"/>
            <w:tcBorders>
              <w:left w:val="single" w:sz="4" w:space="0" w:color="000000"/>
              <w:bottom w:val="single" w:sz="4" w:space="0" w:color="000000"/>
              <w:right w:val="single" w:sz="4" w:space="0" w:color="000000"/>
            </w:tcBorders>
          </w:tcPr>
          <w:p>
            <w:pPr>
              <w:pStyle w:val="Normal"/>
              <w:widowControl w:val="false"/>
              <w:rPr/>
            </w:pPr>
            <w:r>
              <w:rPr/>
              <w:t>шт</w:t>
            </w:r>
          </w:p>
        </w:tc>
        <w:tc>
          <w:tcPr>
            <w:tcW w:w="852" w:type="dxa"/>
            <w:tcBorders>
              <w:left w:val="single" w:sz="4" w:space="0" w:color="000000"/>
              <w:bottom w:val="single" w:sz="4" w:space="0" w:color="000000"/>
              <w:right w:val="single" w:sz="4" w:space="0" w:color="000000"/>
            </w:tcBorders>
          </w:tcPr>
          <w:p>
            <w:pPr>
              <w:pStyle w:val="Normal"/>
              <w:widowControl w:val="false"/>
              <w:jc w:val="center"/>
              <w:rPr>
                <w:sz w:val="24"/>
                <w:szCs w:val="24"/>
                <w:lang w:val="en-US"/>
              </w:rPr>
            </w:pPr>
            <w:r>
              <w:rPr>
                <w:sz w:val="24"/>
                <w:szCs w:val="24"/>
                <w:lang w:val="en-US"/>
              </w:rPr>
              <w:t>18</w:t>
            </w:r>
          </w:p>
        </w:tc>
        <w:tc>
          <w:tcPr>
            <w:tcW w:w="1249" w:type="dxa"/>
            <w:tcBorders>
              <w:left w:val="single" w:sz="4" w:space="0" w:color="000000"/>
              <w:bottom w:val="single" w:sz="4" w:space="0" w:color="000000"/>
              <w:right w:val="single" w:sz="4" w:space="0" w:color="000000"/>
            </w:tcBorders>
            <w:vAlign w:val="center"/>
          </w:tcPr>
          <w:p>
            <w:pPr>
              <w:pStyle w:val="Normal"/>
              <w:widowControl w:val="false"/>
              <w:jc w:val="center"/>
              <w:rPr/>
            </w:pPr>
            <w:r>
              <w:rPr/>
            </w:r>
          </w:p>
        </w:tc>
        <w:tc>
          <w:tcPr>
            <w:tcW w:w="1817" w:type="dxa"/>
            <w:tcBorders>
              <w:left w:val="single" w:sz="4" w:space="0" w:color="000000"/>
              <w:bottom w:val="single" w:sz="4" w:space="0" w:color="000000"/>
              <w:right w:val="single" w:sz="4" w:space="0" w:color="000000"/>
            </w:tcBorders>
            <w:vAlign w:val="center"/>
          </w:tcPr>
          <w:p>
            <w:pPr>
              <w:pStyle w:val="Normal"/>
              <w:widowControl w:val="false"/>
              <w:jc w:val="center"/>
              <w:rPr/>
            </w:pPr>
            <w:r>
              <w:rPr/>
            </w:r>
          </w:p>
        </w:tc>
        <w:tc>
          <w:tcPr>
            <w:tcW w:w="1368" w:type="dxa"/>
            <w:tcBorders>
              <w:left w:val="single" w:sz="4" w:space="0" w:color="000000"/>
              <w:bottom w:val="single" w:sz="4" w:space="0" w:color="000000"/>
              <w:right w:val="single" w:sz="4" w:space="0" w:color="000000"/>
            </w:tcBorders>
            <w:vAlign w:val="center"/>
          </w:tcPr>
          <w:p>
            <w:pPr>
              <w:pStyle w:val="Normal"/>
              <w:widowControl w:val="false"/>
              <w:jc w:val="center"/>
              <w:rPr/>
            </w:pPr>
            <w:r>
              <w:rPr/>
            </w:r>
          </w:p>
        </w:tc>
        <w:tc>
          <w:tcPr>
            <w:tcW w:w="1422" w:type="dxa"/>
            <w:tcBorders>
              <w:left w:val="single" w:sz="4" w:space="0" w:color="000000"/>
              <w:bottom w:val="single" w:sz="4" w:space="0" w:color="000000"/>
              <w:right w:val="single" w:sz="4" w:space="0" w:color="000000"/>
            </w:tcBorders>
            <w:vAlign w:val="center"/>
          </w:tcPr>
          <w:p>
            <w:pPr>
              <w:pStyle w:val="Normal"/>
              <w:widowControl w:val="false"/>
              <w:jc w:val="center"/>
              <w:rPr/>
            </w:pPr>
            <w:r>
              <w:rPr/>
            </w:r>
          </w:p>
        </w:tc>
        <w:tc>
          <w:tcPr>
            <w:tcW w:w="1188" w:type="dxa"/>
            <w:tcBorders>
              <w:left w:val="single" w:sz="4" w:space="0" w:color="000000"/>
              <w:right w:val="single" w:sz="4" w:space="0" w:color="000000"/>
            </w:tcBorders>
            <w:vAlign w:val="center"/>
          </w:tcPr>
          <w:p>
            <w:pPr>
              <w:pStyle w:val="Normal"/>
              <w:widowControl w:val="false"/>
              <w:rPr>
                <w:sz w:val="22"/>
                <w:szCs w:val="22"/>
              </w:rPr>
            </w:pPr>
            <w:r>
              <w:rPr>
                <w:sz w:val="22"/>
                <w:szCs w:val="22"/>
              </w:rPr>
            </w:r>
          </w:p>
        </w:tc>
      </w:tr>
      <w:tr>
        <w:trPr>
          <w:trHeight w:val="538" w:hRule="atLeast"/>
        </w:trPr>
        <w:tc>
          <w:tcPr>
            <w:tcW w:w="666" w:type="dxa"/>
            <w:tcBorders>
              <w:left w:val="single" w:sz="4" w:space="0" w:color="000000"/>
              <w:bottom w:val="single" w:sz="4" w:space="0" w:color="000000"/>
              <w:right w:val="single" w:sz="4" w:space="0" w:color="000000"/>
            </w:tcBorders>
            <w:vAlign w:val="center"/>
          </w:tcPr>
          <w:p>
            <w:pPr>
              <w:pStyle w:val="Normal"/>
              <w:widowControl w:val="false"/>
              <w:rPr>
                <w:shd w:fill="C0C0C0" w:val="clear"/>
              </w:rPr>
            </w:pPr>
            <w:r>
              <w:rPr>
                <w:shd w:fill="C0C0C0" w:val="clear"/>
              </w:rPr>
              <w:t>8</w:t>
            </w:r>
          </w:p>
        </w:tc>
        <w:tc>
          <w:tcPr>
            <w:tcW w:w="1585" w:type="dxa"/>
            <w:tcBorders>
              <w:left w:val="single" w:sz="4" w:space="0" w:color="000000"/>
              <w:bottom w:val="single" w:sz="4" w:space="0" w:color="000000"/>
              <w:right w:val="single" w:sz="4" w:space="0" w:color="000000"/>
            </w:tcBorders>
          </w:tcPr>
          <w:p>
            <w:pPr>
              <w:pStyle w:val="Style30"/>
              <w:widowControl w:val="false"/>
              <w:jc w:val="left"/>
              <w:rPr>
                <w:color w:val="000000"/>
              </w:rPr>
            </w:pPr>
            <w:r>
              <w:rPr>
                <w:color w:val="000000"/>
              </w:rPr>
              <w:t>Натяжитель гусеницы. 81N6-14010-HME.</w:t>
            </w:r>
          </w:p>
        </w:tc>
        <w:tc>
          <w:tcPr>
            <w:tcW w:w="1199" w:type="dxa"/>
            <w:tcBorders>
              <w:left w:val="single" w:sz="4" w:space="0" w:color="000000"/>
              <w:bottom w:val="single" w:sz="4" w:space="0" w:color="000000"/>
              <w:right w:val="single" w:sz="4" w:space="0" w:color="000000"/>
            </w:tcBorders>
          </w:tcPr>
          <w:p>
            <w:pPr>
              <w:pStyle w:val="Normal"/>
              <w:widowControl w:val="false"/>
              <w:rPr/>
            </w:pPr>
            <w:r>
              <w:rPr/>
            </w:r>
          </w:p>
        </w:tc>
        <w:tc>
          <w:tcPr>
            <w:tcW w:w="1134" w:type="dxa"/>
            <w:tcBorders>
              <w:left w:val="single" w:sz="4" w:space="0" w:color="000000"/>
              <w:bottom w:val="single" w:sz="4" w:space="0" w:color="000000"/>
              <w:right w:val="single" w:sz="4" w:space="0" w:color="000000"/>
            </w:tcBorders>
          </w:tcPr>
          <w:p>
            <w:pPr>
              <w:pStyle w:val="Normal"/>
              <w:widowControl w:val="false"/>
              <w:rPr/>
            </w:pPr>
            <w:r>
              <w:rPr/>
            </w:r>
          </w:p>
        </w:tc>
        <w:tc>
          <w:tcPr>
            <w:tcW w:w="1751" w:type="dxa"/>
            <w:tcBorders>
              <w:left w:val="single" w:sz="4" w:space="0" w:color="000000"/>
              <w:bottom w:val="single" w:sz="4" w:space="0" w:color="000000"/>
              <w:right w:val="single" w:sz="4" w:space="0" w:color="000000"/>
            </w:tcBorders>
          </w:tcPr>
          <w:p>
            <w:pPr>
              <w:pStyle w:val="Normal"/>
              <w:widowControl w:val="false"/>
              <w:rPr>
                <w:color w:val="000000"/>
              </w:rPr>
            </w:pPr>
            <w:r>
              <w:rPr>
                <w:color w:val="000000"/>
              </w:rPr>
            </w:r>
          </w:p>
        </w:tc>
        <w:tc>
          <w:tcPr>
            <w:tcW w:w="849" w:type="dxa"/>
            <w:tcBorders>
              <w:left w:val="single" w:sz="4" w:space="0" w:color="000000"/>
              <w:bottom w:val="single" w:sz="4" w:space="0" w:color="000000"/>
              <w:right w:val="single" w:sz="4" w:space="0" w:color="000000"/>
            </w:tcBorders>
          </w:tcPr>
          <w:p>
            <w:pPr>
              <w:pStyle w:val="Normal"/>
              <w:widowControl w:val="false"/>
              <w:rPr/>
            </w:pPr>
            <w:r>
              <w:rPr/>
              <w:t>шт</w:t>
            </w:r>
          </w:p>
        </w:tc>
        <w:tc>
          <w:tcPr>
            <w:tcW w:w="852" w:type="dxa"/>
            <w:tcBorders>
              <w:left w:val="single" w:sz="4" w:space="0" w:color="000000"/>
              <w:bottom w:val="single" w:sz="4" w:space="0" w:color="000000"/>
              <w:right w:val="single" w:sz="4" w:space="0" w:color="000000"/>
            </w:tcBorders>
          </w:tcPr>
          <w:p>
            <w:pPr>
              <w:pStyle w:val="Normal"/>
              <w:widowControl w:val="false"/>
              <w:jc w:val="center"/>
              <w:rPr>
                <w:sz w:val="24"/>
                <w:szCs w:val="24"/>
                <w:lang w:val="en-US"/>
              </w:rPr>
            </w:pPr>
            <w:r>
              <w:rPr>
                <w:sz w:val="24"/>
                <w:szCs w:val="24"/>
                <w:lang w:val="en-US"/>
              </w:rPr>
              <w:t>2</w:t>
            </w:r>
          </w:p>
        </w:tc>
        <w:tc>
          <w:tcPr>
            <w:tcW w:w="1249" w:type="dxa"/>
            <w:tcBorders>
              <w:left w:val="single" w:sz="4" w:space="0" w:color="000000"/>
              <w:bottom w:val="single" w:sz="4" w:space="0" w:color="000000"/>
              <w:right w:val="single" w:sz="4" w:space="0" w:color="000000"/>
            </w:tcBorders>
            <w:vAlign w:val="center"/>
          </w:tcPr>
          <w:p>
            <w:pPr>
              <w:pStyle w:val="Normal"/>
              <w:widowControl w:val="false"/>
              <w:jc w:val="center"/>
              <w:rPr/>
            </w:pPr>
            <w:r>
              <w:rPr/>
            </w:r>
          </w:p>
        </w:tc>
        <w:tc>
          <w:tcPr>
            <w:tcW w:w="1817" w:type="dxa"/>
            <w:tcBorders>
              <w:left w:val="single" w:sz="4" w:space="0" w:color="000000"/>
              <w:bottom w:val="single" w:sz="4" w:space="0" w:color="000000"/>
              <w:right w:val="single" w:sz="4" w:space="0" w:color="000000"/>
            </w:tcBorders>
            <w:vAlign w:val="center"/>
          </w:tcPr>
          <w:p>
            <w:pPr>
              <w:pStyle w:val="Normal"/>
              <w:widowControl w:val="false"/>
              <w:jc w:val="center"/>
              <w:rPr/>
            </w:pPr>
            <w:r>
              <w:rPr/>
            </w:r>
          </w:p>
        </w:tc>
        <w:tc>
          <w:tcPr>
            <w:tcW w:w="1368" w:type="dxa"/>
            <w:tcBorders>
              <w:left w:val="single" w:sz="4" w:space="0" w:color="000000"/>
              <w:bottom w:val="single" w:sz="4" w:space="0" w:color="000000"/>
              <w:right w:val="single" w:sz="4" w:space="0" w:color="000000"/>
            </w:tcBorders>
            <w:vAlign w:val="center"/>
          </w:tcPr>
          <w:p>
            <w:pPr>
              <w:pStyle w:val="Normal"/>
              <w:widowControl w:val="false"/>
              <w:jc w:val="center"/>
              <w:rPr/>
            </w:pPr>
            <w:r>
              <w:rPr/>
            </w:r>
          </w:p>
        </w:tc>
        <w:tc>
          <w:tcPr>
            <w:tcW w:w="1422" w:type="dxa"/>
            <w:tcBorders>
              <w:left w:val="single" w:sz="4" w:space="0" w:color="000000"/>
              <w:bottom w:val="single" w:sz="4" w:space="0" w:color="000000"/>
              <w:right w:val="single" w:sz="4" w:space="0" w:color="000000"/>
            </w:tcBorders>
            <w:vAlign w:val="center"/>
          </w:tcPr>
          <w:p>
            <w:pPr>
              <w:pStyle w:val="Normal"/>
              <w:widowControl w:val="false"/>
              <w:jc w:val="center"/>
              <w:rPr/>
            </w:pPr>
            <w:r>
              <w:rPr/>
            </w:r>
          </w:p>
        </w:tc>
        <w:tc>
          <w:tcPr>
            <w:tcW w:w="1188" w:type="dxa"/>
            <w:tcBorders>
              <w:left w:val="single" w:sz="4" w:space="0" w:color="000000"/>
              <w:right w:val="single" w:sz="4" w:space="0" w:color="000000"/>
            </w:tcBorders>
            <w:vAlign w:val="center"/>
          </w:tcPr>
          <w:p>
            <w:pPr>
              <w:pStyle w:val="Normal"/>
              <w:widowControl w:val="false"/>
              <w:rPr>
                <w:sz w:val="22"/>
                <w:szCs w:val="22"/>
              </w:rPr>
            </w:pPr>
            <w:r>
              <w:rPr>
                <w:sz w:val="22"/>
                <w:szCs w:val="22"/>
              </w:rPr>
            </w:r>
          </w:p>
        </w:tc>
      </w:tr>
      <w:tr>
        <w:trPr>
          <w:trHeight w:val="262" w:hRule="atLeast"/>
        </w:trPr>
        <w:tc>
          <w:tcPr>
            <w:tcW w:w="12470" w:type="dxa"/>
            <w:gridSpan w:val="10"/>
            <w:tcBorders>
              <w:top w:val="single" w:sz="4" w:space="0" w:color="000000"/>
              <w:left w:val="single" w:sz="4" w:space="0" w:color="000000"/>
              <w:bottom w:val="single" w:sz="4" w:space="0" w:color="000000"/>
              <w:right w:val="single" w:sz="4" w:space="0" w:color="000000"/>
            </w:tcBorders>
          </w:tcPr>
          <w:p>
            <w:pPr>
              <w:pStyle w:val="Normal"/>
              <w:widowControl w:val="false"/>
              <w:rPr/>
            </w:pPr>
            <w:r>
              <w:rPr/>
              <w:t>Итого стоимость всего Товара (с учетом доставки), руб. с НДС:</w:t>
            </w:r>
          </w:p>
        </w:tc>
        <w:tc>
          <w:tcPr>
            <w:tcW w:w="2610"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r>
          </w:p>
        </w:tc>
      </w:tr>
    </w:tbl>
    <w:p>
      <w:pPr>
        <w:pStyle w:val="Normal"/>
        <w:rPr>
          <w:i/>
          <w:i/>
          <w:shd w:fill="FFFF00" w:val="clear"/>
        </w:rPr>
      </w:pPr>
      <w:r>
        <w:rPr>
          <w:i/>
          <w:shd w:fill="FFFF00" w:val="clear"/>
        </w:rPr>
      </w:r>
    </w:p>
    <w:p>
      <w:pPr>
        <w:pStyle w:val="Normal"/>
        <w:rPr>
          <w:i/>
          <w:i/>
          <w:sz w:val="22"/>
          <w:szCs w:val="22"/>
          <w:shd w:fill="C0C0C0" w:val="clear"/>
        </w:rPr>
      </w:pPr>
      <w:r>
        <w:rPr>
          <w:i/>
          <w:sz w:val="22"/>
          <w:szCs w:val="22"/>
          <w:shd w:fill="C0C0C0" w:val="clear"/>
        </w:rPr>
        <w:t>1. В спецификацию при необходимости включаются требования к Товару, таре/упаковке, перечень нормативных документов, которым должен соответствовать Товар  (ГОСТ, ТУ) и иные сведения, имеющие значение для Договора;</w:t>
      </w:r>
    </w:p>
    <w:p>
      <w:pPr>
        <w:sectPr>
          <w:headerReference w:type="default" r:id="rId6"/>
          <w:headerReference w:type="first" r:id="rId7"/>
          <w:footnotePr>
            <w:numFmt w:val="decimal"/>
          </w:footnotePr>
          <w:type w:val="nextPage"/>
          <w:pgSz w:orient="landscape" w:w="16838" w:h="11906"/>
          <w:pgMar w:left="1418" w:right="851" w:gutter="0" w:header="0" w:top="709" w:footer="0" w:bottom="1134"/>
          <w:pgNumType w:fmt="decimal"/>
          <w:formProt w:val="false"/>
          <w:textDirection w:val="lrTb"/>
          <w:docGrid w:type="default" w:linePitch="100" w:charSpace="49152"/>
        </w:sectPr>
        <w:pStyle w:val="Normal"/>
        <w:rPr>
          <w:i/>
          <w:i/>
          <w:sz w:val="22"/>
          <w:szCs w:val="22"/>
        </w:rPr>
      </w:pPr>
      <w:r>
        <w:rPr>
          <w:i/>
          <w:sz w:val="22"/>
          <w:szCs w:val="22"/>
          <w:shd w:fill="C0C0C0" w:val="clear"/>
        </w:rPr>
        <w:t>2. По требованию Покупателя Поставщик обязан представить запрашиваемую информацию/документы, расчеты, обосновывающие стоимость доставки.</w:t>
      </w:r>
      <w:r>
        <w:rPr>
          <w:i/>
          <w:sz w:val="22"/>
          <w:szCs w:val="22"/>
        </w:rPr>
        <w:t xml:space="preserve"> </w:t>
      </w:r>
    </w:p>
    <w:tbl>
      <w:tblPr>
        <w:tblW w:w="9781" w:type="dxa"/>
        <w:jc w:val="left"/>
        <w:tblInd w:w="216" w:type="dxa"/>
        <w:tblLayout w:type="fixed"/>
        <w:tblCellMar>
          <w:top w:w="0" w:type="dxa"/>
          <w:left w:w="108" w:type="dxa"/>
          <w:bottom w:w="0" w:type="dxa"/>
          <w:right w:w="108" w:type="dxa"/>
        </w:tblCellMar>
        <w:tblLook w:val="01e0" w:noHBand="0" w:noVBand="0" w:firstColumn="1" w:lastRow="1" w:lastColumn="1" w:firstRow="1"/>
      </w:tblPr>
      <w:tblGrid>
        <w:gridCol w:w="4883"/>
        <w:gridCol w:w="4897"/>
      </w:tblGrid>
      <w:tr>
        <w:trPr/>
        <w:tc>
          <w:tcPr>
            <w:tcW w:w="4883" w:type="dxa"/>
            <w:tcBorders/>
          </w:tcPr>
          <w:p>
            <w:pPr>
              <w:pStyle w:val="Normal"/>
              <w:widowControl w:val="false"/>
              <w:jc w:val="center"/>
              <w:rPr>
                <w:b/>
                <w:bCs/>
              </w:rPr>
            </w:pPr>
            <w:r>
              <w:rPr>
                <w:b/>
                <w:bCs/>
              </w:rPr>
            </w:r>
          </w:p>
          <w:p>
            <w:pPr>
              <w:pStyle w:val="Normal"/>
              <w:widowControl w:val="false"/>
              <w:jc w:val="center"/>
              <w:rPr>
                <w:sz w:val="24"/>
                <w:szCs w:val="24"/>
              </w:rPr>
            </w:pPr>
            <w:r>
              <w:rPr>
                <w:b/>
                <w:bCs/>
                <w:sz w:val="24"/>
                <w:szCs w:val="24"/>
              </w:rPr>
              <w:t xml:space="preserve">                                   </w:t>
            </w:r>
            <w:r>
              <w:rPr>
                <w:b/>
                <w:bCs/>
                <w:sz w:val="24"/>
                <w:szCs w:val="24"/>
              </w:rPr>
              <w:t>ПОДПИСИ СТОРОН:</w:t>
            </w:r>
          </w:p>
          <w:p>
            <w:pPr>
              <w:pStyle w:val="Normal"/>
              <w:widowControl w:val="false"/>
              <w:rPr>
                <w:sz w:val="24"/>
                <w:szCs w:val="24"/>
              </w:rPr>
            </w:pPr>
            <w:r>
              <w:rPr>
                <w:sz w:val="24"/>
                <w:szCs w:val="24"/>
              </w:rPr>
            </w:r>
          </w:p>
          <w:p>
            <w:pPr>
              <w:pStyle w:val="Normal"/>
              <w:widowControl w:val="false"/>
              <w:rPr>
                <w:sz w:val="24"/>
                <w:szCs w:val="24"/>
              </w:rPr>
            </w:pPr>
            <w:r>
              <w:rPr>
                <w:sz w:val="24"/>
                <w:szCs w:val="24"/>
              </w:rPr>
              <w:t>Директор Центрального филиала</w:t>
            </w:r>
          </w:p>
          <w:p>
            <w:pPr>
              <w:pStyle w:val="Normal"/>
              <w:widowControl w:val="false"/>
              <w:rPr>
                <w:sz w:val="24"/>
                <w:szCs w:val="24"/>
              </w:rPr>
            </w:pPr>
            <w:r>
              <w:rPr>
                <w:sz w:val="24"/>
                <w:szCs w:val="24"/>
              </w:rPr>
              <w:t>АО «ТК РусГидро»</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 xml:space="preserve">_______________ / </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tc>
        <w:tc>
          <w:tcPr>
            <w:tcW w:w="4897" w:type="dxa"/>
            <w:tcBorders/>
          </w:tcPr>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Генеральный директор</w:t>
            </w:r>
          </w:p>
          <w:p>
            <w:pPr>
              <w:pStyle w:val="Normal"/>
              <w:widowControl w:val="false"/>
              <w:rPr>
                <w:sz w:val="24"/>
                <w:szCs w:val="24"/>
              </w:rPr>
            </w:pPr>
            <w:r>
              <w:rPr>
                <w:sz w:val="24"/>
                <w:szCs w:val="24"/>
              </w:rPr>
              <w:t xml:space="preserve">ООО </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 xml:space="preserve">    </w:t>
            </w:r>
            <w:r>
              <w:rPr>
                <w:sz w:val="24"/>
                <w:szCs w:val="24"/>
              </w:rPr>
              <w:t xml:space="preserve">_______________ / </w:t>
            </w:r>
          </w:p>
        </w:tc>
      </w:tr>
    </w:tbl>
    <w:p>
      <w:pPr>
        <w:sectPr>
          <w:headerReference w:type="default" r:id="rId8"/>
          <w:headerReference w:type="first" r:id="rId9"/>
          <w:footnotePr>
            <w:numFmt w:val="decimal"/>
          </w:footnotePr>
          <w:type w:val="nextPage"/>
          <w:pgSz w:orient="landscape" w:w="16838" w:h="11906"/>
          <w:pgMar w:left="1134" w:right="1134" w:gutter="0" w:header="0" w:top="1418" w:footer="0" w:bottom="851"/>
          <w:pgNumType w:fmt="decimal"/>
          <w:formProt w:val="false"/>
          <w:textDirection w:val="lrTb"/>
          <w:docGrid w:type="default" w:linePitch="272" w:charSpace="49152"/>
        </w:sectPr>
        <w:pStyle w:val="Normal"/>
        <w:rPr/>
      </w:pPr>
      <w:r>
        <w:rPr/>
      </w:r>
    </w:p>
    <w:p>
      <w:pPr>
        <w:pStyle w:val="Normal"/>
        <w:ind w:firstLine="4820"/>
        <w:jc w:val="right"/>
        <w:rPr/>
      </w:pPr>
      <w:r>
        <w:rPr>
          <w:sz w:val="22"/>
          <w:szCs w:val="22"/>
        </w:rPr>
        <w:t>Приложение № 2</w:t>
      </w:r>
    </w:p>
    <w:p>
      <w:pPr>
        <w:pStyle w:val="Normal"/>
        <w:ind w:firstLine="4820"/>
        <w:jc w:val="right"/>
        <w:rPr/>
      </w:pPr>
      <w:r>
        <w:rPr>
          <w:sz w:val="22"/>
          <w:szCs w:val="22"/>
        </w:rPr>
        <w:t>к Договору поставки</w:t>
      </w:r>
    </w:p>
    <w:p>
      <w:pPr>
        <w:pStyle w:val="Normal"/>
        <w:ind w:firstLine="4820"/>
        <w:jc w:val="right"/>
        <w:rPr/>
      </w:pPr>
      <w:r>
        <w:rPr>
          <w:sz w:val="22"/>
          <w:szCs w:val="22"/>
        </w:rPr>
        <w:t>от «____» __________ 20 _ г. № ____</w:t>
      </w:r>
    </w:p>
    <w:p>
      <w:pPr>
        <w:pStyle w:val="Normal"/>
        <w:ind w:firstLine="4820"/>
        <w:jc w:val="right"/>
        <w:rPr>
          <w:sz w:val="22"/>
          <w:szCs w:val="22"/>
        </w:rPr>
      </w:pPr>
      <w:r>
        <w:rPr>
          <w:sz w:val="22"/>
          <w:szCs w:val="22"/>
        </w:rPr>
        <w:t xml:space="preserve"> </w:t>
      </w:r>
    </w:p>
    <w:p>
      <w:pPr>
        <w:pStyle w:val="Normal"/>
        <w:tabs>
          <w:tab w:val="clear" w:pos="708"/>
          <w:tab w:val="left" w:pos="1843" w:leader="none"/>
          <w:tab w:val="left" w:pos="4395" w:leader="none"/>
        </w:tabs>
        <w:rPr>
          <w:i/>
          <w:i/>
          <w:sz w:val="24"/>
          <w:szCs w:val="24"/>
        </w:rPr>
      </w:pPr>
      <w:r>
        <w:rPr>
          <w:i/>
          <w:sz w:val="24"/>
          <w:szCs w:val="24"/>
        </w:rPr>
      </w:r>
    </w:p>
    <w:p>
      <w:pPr>
        <w:pStyle w:val="Normal"/>
        <w:tabs>
          <w:tab w:val="clear" w:pos="708"/>
          <w:tab w:val="left" w:pos="2700" w:leader="none"/>
        </w:tabs>
        <w:jc w:val="center"/>
        <w:rPr>
          <w:b/>
          <w:sz w:val="24"/>
          <w:szCs w:val="24"/>
        </w:rPr>
      </w:pPr>
      <w:r>
        <w:rPr>
          <w:b/>
          <w:sz w:val="24"/>
          <w:szCs w:val="24"/>
        </w:rPr>
        <w:t xml:space="preserve">Заявка </w:t>
      </w:r>
    </w:p>
    <w:p>
      <w:pPr>
        <w:pStyle w:val="Normal"/>
        <w:tabs>
          <w:tab w:val="clear" w:pos="708"/>
          <w:tab w:val="left" w:pos="1843" w:leader="none"/>
        </w:tabs>
        <w:ind w:firstLine="709"/>
        <w:jc w:val="center"/>
        <w:rPr>
          <w:b/>
          <w:sz w:val="24"/>
          <w:szCs w:val="24"/>
        </w:rPr>
      </w:pPr>
      <w:r>
        <w:rPr>
          <w:b/>
          <w:sz w:val="24"/>
          <w:szCs w:val="24"/>
        </w:rPr>
        <w:t>на поставку Товара</w:t>
      </w:r>
    </w:p>
    <w:p>
      <w:pPr>
        <w:pStyle w:val="Normal"/>
        <w:tabs>
          <w:tab w:val="clear" w:pos="708"/>
          <w:tab w:val="left" w:pos="1843" w:leader="none"/>
          <w:tab w:val="left" w:pos="4395" w:leader="none"/>
        </w:tabs>
        <w:ind w:firstLine="709"/>
        <w:rPr>
          <w:i/>
          <w:i/>
          <w:sz w:val="24"/>
          <w:szCs w:val="24"/>
        </w:rPr>
      </w:pPr>
      <w:r>
        <w:rPr>
          <w:i/>
          <w:sz w:val="24"/>
          <w:szCs w:val="24"/>
        </w:rPr>
        <w:t xml:space="preserve">                                                           </w:t>
      </w:r>
      <w:r>
        <w:rPr>
          <w:i/>
          <w:sz w:val="24"/>
          <w:szCs w:val="24"/>
        </w:rPr>
        <w:t>(форма)</w:t>
      </w:r>
    </w:p>
    <w:p>
      <w:pPr>
        <w:pStyle w:val="Normal"/>
        <w:tabs>
          <w:tab w:val="clear" w:pos="708"/>
          <w:tab w:val="left" w:pos="2700" w:leader="none"/>
        </w:tabs>
        <w:jc w:val="center"/>
        <w:rPr>
          <w:b/>
          <w:sz w:val="24"/>
          <w:szCs w:val="24"/>
        </w:rPr>
      </w:pPr>
      <w:r>
        <w:rPr>
          <w:b/>
          <w:sz w:val="24"/>
          <w:szCs w:val="24"/>
        </w:rPr>
        <w:t>Заявка №___</w:t>
      </w:r>
    </w:p>
    <w:p>
      <w:pPr>
        <w:pStyle w:val="Normal"/>
        <w:tabs>
          <w:tab w:val="clear" w:pos="708"/>
          <w:tab w:val="left" w:pos="2700" w:leader="none"/>
        </w:tabs>
        <w:jc w:val="center"/>
        <w:rPr>
          <w:b/>
          <w:sz w:val="24"/>
          <w:szCs w:val="24"/>
        </w:rPr>
      </w:pPr>
      <w:r>
        <w:rPr>
          <w:b/>
          <w:sz w:val="24"/>
          <w:szCs w:val="24"/>
        </w:rPr>
        <w:t xml:space="preserve">на поставку Товара </w:t>
      </w:r>
    </w:p>
    <w:p>
      <w:pPr>
        <w:pStyle w:val="Normal"/>
        <w:tabs>
          <w:tab w:val="clear" w:pos="708"/>
          <w:tab w:val="left" w:pos="2700" w:leader="none"/>
        </w:tabs>
        <w:jc w:val="center"/>
        <w:rPr>
          <w:b/>
          <w:sz w:val="24"/>
          <w:szCs w:val="24"/>
        </w:rPr>
      </w:pPr>
      <w:r>
        <w:rPr>
          <w:b/>
          <w:sz w:val="24"/>
          <w:szCs w:val="24"/>
        </w:rPr>
        <w:t xml:space="preserve">по договору поставки №______________ от «____» _____201_ г. </w:t>
      </w:r>
    </w:p>
    <w:p>
      <w:pPr>
        <w:pStyle w:val="Normal"/>
        <w:ind w:firstLine="709"/>
        <w:jc w:val="center"/>
        <w:rPr>
          <w:b/>
          <w:sz w:val="24"/>
          <w:szCs w:val="24"/>
        </w:rPr>
      </w:pPr>
      <w:r>
        <w:rPr>
          <w:b/>
          <w:sz w:val="24"/>
          <w:szCs w:val="24"/>
        </w:rPr>
      </w:r>
    </w:p>
    <w:p>
      <w:pPr>
        <w:pStyle w:val="Normal"/>
        <w:ind w:firstLine="709"/>
        <w:jc w:val="right"/>
        <w:rPr>
          <w:b/>
          <w:sz w:val="24"/>
          <w:szCs w:val="24"/>
        </w:rPr>
      </w:pPr>
      <w:r>
        <w:rPr>
          <w:b/>
          <w:sz w:val="24"/>
          <w:szCs w:val="24"/>
        </w:rPr>
      </w:r>
    </w:p>
    <w:tbl>
      <w:tblPr>
        <w:tblW w:w="5000" w:type="pct"/>
        <w:jc w:val="left"/>
        <w:tblInd w:w="250" w:type="dxa"/>
        <w:tblLayout w:type="fixed"/>
        <w:tblCellMar>
          <w:top w:w="0" w:type="dxa"/>
          <w:left w:w="108" w:type="dxa"/>
          <w:bottom w:w="0" w:type="dxa"/>
          <w:right w:w="108" w:type="dxa"/>
        </w:tblCellMar>
        <w:tblLook w:val="04a0" w:noHBand="0" w:noVBand="1" w:firstColumn="1" w:lastRow="0" w:lastColumn="0" w:firstRow="1"/>
      </w:tblPr>
      <w:tblGrid>
        <w:gridCol w:w="528"/>
        <w:gridCol w:w="982"/>
        <w:gridCol w:w="1116"/>
        <w:gridCol w:w="707"/>
        <w:gridCol w:w="1065"/>
        <w:gridCol w:w="1174"/>
        <w:gridCol w:w="982"/>
        <w:gridCol w:w="1408"/>
        <w:gridCol w:w="834"/>
        <w:gridCol w:w="840"/>
      </w:tblGrid>
      <w:tr>
        <w:trPr>
          <w:trHeight w:val="543" w:hRule="atLeast"/>
        </w:trPr>
        <w:tc>
          <w:tcPr>
            <w:tcW w:w="5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 xml:space="preserve">№ </w:t>
            </w:r>
            <w:r>
              <w:rPr>
                <w:bCs/>
                <w:color w:val="000000"/>
                <w:sz w:val="22"/>
                <w:szCs w:val="22"/>
              </w:rPr>
              <w:t>п/п</w:t>
            </w:r>
          </w:p>
        </w:tc>
        <w:tc>
          <w:tcPr>
            <w:tcW w:w="98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Наименование Товара</w:t>
            </w:r>
          </w:p>
        </w:tc>
        <w:tc>
          <w:tcPr>
            <w:tcW w:w="111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t>Артикул, тип, марка</w:t>
            </w:r>
          </w:p>
        </w:tc>
        <w:tc>
          <w:tcPr>
            <w:tcW w:w="70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Количество</w:t>
            </w:r>
          </w:p>
        </w:tc>
        <w:tc>
          <w:tcPr>
            <w:tcW w:w="106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Единица измерения</w:t>
            </w:r>
          </w:p>
        </w:tc>
        <w:tc>
          <w:tcPr>
            <w:tcW w:w="117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t>Цена за единицу, руб. без НДС</w:t>
            </w:r>
          </w:p>
        </w:tc>
        <w:tc>
          <w:tcPr>
            <w:tcW w:w="98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t>НДС (___%), руб.</w:t>
            </w:r>
          </w:p>
        </w:tc>
        <w:tc>
          <w:tcPr>
            <w:tcW w:w="140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t>Стоимость, в том числе НДС, руб.</w:t>
            </w:r>
          </w:p>
        </w:tc>
        <w:tc>
          <w:tcPr>
            <w:tcW w:w="8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Место поставки</w:t>
            </w:r>
          </w:p>
        </w:tc>
        <w:tc>
          <w:tcPr>
            <w:tcW w:w="84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Дата поставки</w:t>
            </w:r>
          </w:p>
        </w:tc>
      </w:tr>
      <w:tr>
        <w:trPr>
          <w:trHeight w:val="556" w:hRule="atLeast"/>
        </w:trPr>
        <w:tc>
          <w:tcPr>
            <w:tcW w:w="5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2"/>
              <w:jc w:val="center"/>
              <w:rPr>
                <w:bCs/>
                <w:color w:val="000000"/>
                <w:sz w:val="22"/>
                <w:szCs w:val="22"/>
              </w:rPr>
            </w:pPr>
            <w:r>
              <w:rPr>
                <w:bCs/>
                <w:color w:val="000000"/>
                <w:sz w:val="22"/>
                <w:szCs w:val="22"/>
              </w:rPr>
              <w:t>1.</w:t>
            </w:r>
          </w:p>
        </w:tc>
        <w:tc>
          <w:tcPr>
            <w:tcW w:w="98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1116"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707"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106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1174"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982"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1408"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8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84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r>
      <w:tr>
        <w:trPr>
          <w:trHeight w:val="556" w:hRule="atLeast"/>
        </w:trPr>
        <w:tc>
          <w:tcPr>
            <w:tcW w:w="5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2"/>
              <w:jc w:val="center"/>
              <w:rPr>
                <w:bCs/>
                <w:color w:val="000000"/>
                <w:sz w:val="22"/>
                <w:szCs w:val="22"/>
              </w:rPr>
            </w:pPr>
            <w:r>
              <w:rPr>
                <w:bCs/>
                <w:color w:val="000000"/>
                <w:sz w:val="22"/>
                <w:szCs w:val="22"/>
              </w:rPr>
              <w:t>2.</w:t>
            </w:r>
          </w:p>
        </w:tc>
        <w:tc>
          <w:tcPr>
            <w:tcW w:w="98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1116"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707"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106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1174"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982"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1408"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8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84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r>
      <w:tr>
        <w:trPr>
          <w:trHeight w:val="556" w:hRule="atLeast"/>
        </w:trPr>
        <w:tc>
          <w:tcPr>
            <w:tcW w:w="9636" w:type="dxa"/>
            <w:gridSpan w:val="10"/>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4"/>
                <w:szCs w:val="24"/>
                <w:highlight w:val="yellow"/>
              </w:rPr>
            </w:pPr>
            <w:r>
              <w:rPr>
                <w:color w:val="000000"/>
                <w:sz w:val="24"/>
                <w:szCs w:val="24"/>
              </w:rPr>
              <w:t>Итого:</w:t>
            </w:r>
          </w:p>
        </w:tc>
      </w:tr>
    </w:tbl>
    <w:p>
      <w:pPr>
        <w:pStyle w:val="Normal"/>
        <w:numPr>
          <w:ilvl w:val="0"/>
          <w:numId w:val="0"/>
        </w:numPr>
        <w:ind w:firstLine="709" w:left="0"/>
        <w:jc w:val="center"/>
        <w:outlineLvl w:val="0"/>
        <w:rPr>
          <w:b/>
          <w:bCs/>
          <w:sz w:val="24"/>
          <w:szCs w:val="24"/>
        </w:rPr>
      </w:pPr>
      <w:r>
        <w:rPr>
          <w:b/>
          <w:bCs/>
          <w:sz w:val="24"/>
          <w:szCs w:val="24"/>
        </w:rPr>
      </w:r>
    </w:p>
    <w:p>
      <w:pPr>
        <w:pStyle w:val="Normal"/>
        <w:jc w:val="center"/>
        <w:rPr>
          <w:i/>
          <w:i/>
          <w:sz w:val="24"/>
          <w:szCs w:val="24"/>
        </w:rPr>
      </w:pPr>
      <w:r>
        <w:rPr>
          <w:i/>
          <w:sz w:val="24"/>
          <w:szCs w:val="24"/>
        </w:rPr>
      </w:r>
    </w:p>
    <w:tbl>
      <w:tblPr>
        <w:tblW w:w="9781" w:type="dxa"/>
        <w:jc w:val="left"/>
        <w:tblInd w:w="216" w:type="dxa"/>
        <w:tblLayout w:type="fixed"/>
        <w:tblCellMar>
          <w:top w:w="0" w:type="dxa"/>
          <w:left w:w="108" w:type="dxa"/>
          <w:bottom w:w="0" w:type="dxa"/>
          <w:right w:w="108" w:type="dxa"/>
        </w:tblCellMar>
        <w:tblLook w:val="01e0" w:noHBand="0" w:noVBand="0" w:firstColumn="1" w:lastRow="1" w:lastColumn="1" w:firstRow="1"/>
      </w:tblPr>
      <w:tblGrid>
        <w:gridCol w:w="4884"/>
        <w:gridCol w:w="4896"/>
      </w:tblGrid>
      <w:tr>
        <w:trPr/>
        <w:tc>
          <w:tcPr>
            <w:tcW w:w="4884" w:type="dxa"/>
            <w:tcBorders/>
          </w:tcPr>
          <w:p>
            <w:pPr>
              <w:pStyle w:val="Normal"/>
              <w:widowControl w:val="false"/>
              <w:jc w:val="center"/>
              <w:rPr>
                <w:b/>
                <w:bCs/>
              </w:rPr>
            </w:pPr>
            <w:r>
              <w:rPr>
                <w:b/>
                <w:bCs/>
              </w:rPr>
            </w:r>
          </w:p>
          <w:p>
            <w:pPr>
              <w:pStyle w:val="Normal"/>
              <w:widowControl w:val="false"/>
              <w:jc w:val="center"/>
              <w:rPr>
                <w:sz w:val="24"/>
                <w:szCs w:val="24"/>
              </w:rPr>
            </w:pPr>
            <w:r>
              <w:rPr>
                <w:b/>
                <w:bCs/>
                <w:sz w:val="24"/>
                <w:szCs w:val="24"/>
              </w:rPr>
              <w:t xml:space="preserve">                                   </w:t>
            </w:r>
            <w:r>
              <w:rPr>
                <w:b/>
                <w:bCs/>
                <w:sz w:val="24"/>
                <w:szCs w:val="24"/>
              </w:rPr>
              <w:t>ПОДПИСИ СТОРОН:</w:t>
            </w:r>
          </w:p>
          <w:p>
            <w:pPr>
              <w:pStyle w:val="Normal"/>
              <w:widowControl w:val="false"/>
              <w:rPr>
                <w:sz w:val="24"/>
                <w:szCs w:val="24"/>
              </w:rPr>
            </w:pPr>
            <w:r>
              <w:rPr>
                <w:sz w:val="24"/>
                <w:szCs w:val="24"/>
              </w:rPr>
            </w:r>
          </w:p>
          <w:p>
            <w:pPr>
              <w:pStyle w:val="Normal"/>
              <w:widowControl w:val="false"/>
              <w:rPr>
                <w:sz w:val="24"/>
                <w:szCs w:val="24"/>
              </w:rPr>
            </w:pPr>
            <w:r>
              <w:rPr>
                <w:sz w:val="24"/>
                <w:szCs w:val="24"/>
              </w:rPr>
              <w:t>Директор Центрального филиала</w:t>
            </w:r>
          </w:p>
          <w:p>
            <w:pPr>
              <w:pStyle w:val="Normal"/>
              <w:widowControl w:val="false"/>
              <w:rPr>
                <w:sz w:val="24"/>
                <w:szCs w:val="24"/>
              </w:rPr>
            </w:pPr>
            <w:r>
              <w:rPr>
                <w:sz w:val="24"/>
                <w:szCs w:val="24"/>
              </w:rPr>
              <w:t>АО «ТК РусГидро»</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 / М.В. Нешев</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tc>
        <w:tc>
          <w:tcPr>
            <w:tcW w:w="4896" w:type="dxa"/>
            <w:tcBorders/>
          </w:tcPr>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Генеральный директор</w:t>
            </w:r>
          </w:p>
          <w:p>
            <w:pPr>
              <w:pStyle w:val="Normal"/>
              <w:widowControl w:val="false"/>
              <w:rPr>
                <w:sz w:val="24"/>
                <w:szCs w:val="24"/>
              </w:rPr>
            </w:pPr>
            <w:r>
              <w:rPr>
                <w:sz w:val="24"/>
                <w:szCs w:val="24"/>
              </w:rPr>
              <w:t>ООО «КонтрактСервис»</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 xml:space="preserve">    </w:t>
            </w:r>
            <w:r>
              <w:rPr>
                <w:sz w:val="24"/>
                <w:szCs w:val="24"/>
              </w:rPr>
              <w:t>_______________ / О.П. Иванов</w:t>
            </w:r>
          </w:p>
        </w:tc>
      </w:tr>
    </w:tbl>
    <w:p>
      <w:pPr>
        <w:pStyle w:val="Normal"/>
        <w:numPr>
          <w:ilvl w:val="0"/>
          <w:numId w:val="0"/>
        </w:numPr>
        <w:ind w:hanging="0" w:left="0"/>
        <w:outlineLvl w:val="0"/>
        <w:rPr>
          <w:bCs/>
          <w:sz w:val="24"/>
          <w:szCs w:val="24"/>
        </w:rPr>
      </w:pPr>
      <w:r>
        <w:rPr>
          <w:bCs/>
          <w:sz w:val="24"/>
          <w:szCs w:val="24"/>
        </w:rPr>
      </w:r>
    </w:p>
    <w:p>
      <w:pPr>
        <w:pStyle w:val="Normal"/>
        <w:widowControl/>
        <w:ind w:firstLine="709"/>
        <w:rPr>
          <w:sz w:val="24"/>
          <w:szCs w:val="24"/>
        </w:rPr>
      </w:pPr>
      <w:r>
        <w:rPr>
          <w:sz w:val="24"/>
          <w:szCs w:val="24"/>
        </w:rPr>
      </w:r>
    </w:p>
    <w:p>
      <w:pPr>
        <w:pStyle w:val="Normal"/>
        <w:widowControl/>
        <w:ind w:firstLine="709"/>
        <w:rPr>
          <w:sz w:val="24"/>
          <w:szCs w:val="24"/>
        </w:rPr>
      </w:pPr>
      <w:r>
        <w:rPr>
          <w:sz w:val="24"/>
          <w:szCs w:val="24"/>
        </w:rPr>
      </w:r>
    </w:p>
    <w:p>
      <w:pPr>
        <w:pStyle w:val="Normal"/>
        <w:widowControl/>
        <w:ind w:firstLine="709"/>
        <w:rPr>
          <w:sz w:val="24"/>
          <w:szCs w:val="24"/>
        </w:rPr>
      </w:pPr>
      <w:r>
        <w:rPr>
          <w:sz w:val="24"/>
          <w:szCs w:val="24"/>
        </w:rPr>
      </w:r>
    </w:p>
    <w:p>
      <w:pPr>
        <w:pStyle w:val="Normal"/>
        <w:widowControl/>
        <w:ind w:firstLine="709"/>
        <w:rPr>
          <w:sz w:val="24"/>
          <w:szCs w:val="24"/>
        </w:rPr>
      </w:pPr>
      <w:r>
        <w:rPr>
          <w:sz w:val="24"/>
          <w:szCs w:val="24"/>
        </w:rPr>
      </w:r>
    </w:p>
    <w:p>
      <w:pPr>
        <w:pStyle w:val="Normal"/>
        <w:jc w:val="right"/>
        <w:rPr>
          <w:sz w:val="22"/>
          <w:szCs w:val="22"/>
        </w:rPr>
      </w:pPr>
      <w:r>
        <w:rPr>
          <w:sz w:val="22"/>
          <w:szCs w:val="22"/>
        </w:rPr>
      </w:r>
    </w:p>
    <w:p>
      <w:pPr>
        <w:pStyle w:val="Normal"/>
        <w:jc w:val="right"/>
        <w:rPr>
          <w:sz w:val="22"/>
          <w:szCs w:val="22"/>
        </w:rPr>
      </w:pPr>
      <w:r>
        <w:rPr>
          <w:sz w:val="22"/>
          <w:szCs w:val="22"/>
        </w:rPr>
      </w:r>
    </w:p>
    <w:p>
      <w:pPr>
        <w:pStyle w:val="Normal"/>
        <w:jc w:val="right"/>
        <w:rPr>
          <w:sz w:val="22"/>
          <w:szCs w:val="22"/>
        </w:rPr>
      </w:pPr>
      <w:r>
        <w:rPr>
          <w:sz w:val="22"/>
          <w:szCs w:val="22"/>
        </w:rPr>
      </w:r>
    </w:p>
    <w:p>
      <w:pPr>
        <w:pStyle w:val="Normal"/>
        <w:jc w:val="right"/>
        <w:rPr>
          <w:sz w:val="22"/>
          <w:szCs w:val="22"/>
        </w:rPr>
      </w:pPr>
      <w:r>
        <w:rPr>
          <w:sz w:val="22"/>
          <w:szCs w:val="22"/>
        </w:rPr>
      </w:r>
    </w:p>
    <w:p>
      <w:pPr>
        <w:pStyle w:val="Normal"/>
        <w:jc w:val="right"/>
        <w:rPr>
          <w:sz w:val="22"/>
          <w:szCs w:val="22"/>
        </w:rPr>
      </w:pPr>
      <w:r>
        <w:rPr>
          <w:sz w:val="22"/>
          <w:szCs w:val="22"/>
        </w:rPr>
      </w:r>
    </w:p>
    <w:p>
      <w:pPr>
        <w:pStyle w:val="Normal"/>
        <w:jc w:val="right"/>
        <w:rPr>
          <w:sz w:val="22"/>
          <w:szCs w:val="22"/>
        </w:rPr>
      </w:pPr>
      <w:r>
        <w:rPr>
          <w:sz w:val="22"/>
          <w:szCs w:val="22"/>
        </w:rPr>
      </w:r>
    </w:p>
    <w:p>
      <w:pPr>
        <w:pStyle w:val="Normal"/>
        <w:jc w:val="right"/>
        <w:rPr>
          <w:sz w:val="22"/>
          <w:szCs w:val="22"/>
        </w:rPr>
      </w:pPr>
      <w:r>
        <w:rPr>
          <w:sz w:val="22"/>
          <w:szCs w:val="22"/>
        </w:rPr>
      </w:r>
    </w:p>
    <w:p>
      <w:pPr>
        <w:pStyle w:val="Normal"/>
        <w:jc w:val="right"/>
        <w:rPr>
          <w:sz w:val="22"/>
          <w:szCs w:val="22"/>
        </w:rPr>
      </w:pPr>
      <w:r>
        <w:rPr>
          <w:sz w:val="22"/>
          <w:szCs w:val="22"/>
        </w:rPr>
      </w:r>
    </w:p>
    <w:p>
      <w:pPr>
        <w:pStyle w:val="Normal"/>
        <w:jc w:val="right"/>
        <w:rPr>
          <w:sz w:val="22"/>
          <w:szCs w:val="22"/>
        </w:rPr>
      </w:pPr>
      <w:r>
        <w:rPr>
          <w:sz w:val="22"/>
          <w:szCs w:val="22"/>
        </w:rPr>
      </w:r>
    </w:p>
    <w:p>
      <w:pPr>
        <w:pStyle w:val="Normal"/>
        <w:jc w:val="right"/>
        <w:rPr>
          <w:sz w:val="22"/>
          <w:szCs w:val="22"/>
        </w:rPr>
      </w:pPr>
      <w:r>
        <w:rPr>
          <w:sz w:val="22"/>
          <w:szCs w:val="22"/>
        </w:rPr>
      </w:r>
    </w:p>
    <w:p>
      <w:pPr>
        <w:pStyle w:val="Normal"/>
        <w:jc w:val="right"/>
        <w:rPr>
          <w:sz w:val="22"/>
          <w:szCs w:val="22"/>
        </w:rPr>
      </w:pPr>
      <w:r>
        <w:rPr>
          <w:sz w:val="22"/>
          <w:szCs w:val="22"/>
        </w:rPr>
      </w:r>
    </w:p>
    <w:p>
      <w:pPr>
        <w:pStyle w:val="Normal"/>
        <w:jc w:val="right"/>
        <w:rPr>
          <w:sz w:val="22"/>
          <w:szCs w:val="22"/>
        </w:rPr>
      </w:pPr>
      <w:r>
        <w:rPr>
          <w:sz w:val="22"/>
          <w:szCs w:val="22"/>
        </w:rPr>
      </w:r>
    </w:p>
    <w:p>
      <w:pPr>
        <w:pStyle w:val="Normal"/>
        <w:jc w:val="right"/>
        <w:rPr>
          <w:sz w:val="22"/>
          <w:szCs w:val="22"/>
        </w:rPr>
      </w:pPr>
      <w:r>
        <w:rPr>
          <w:sz w:val="22"/>
          <w:szCs w:val="22"/>
        </w:rPr>
      </w:r>
    </w:p>
    <w:p>
      <w:pPr>
        <w:pStyle w:val="Normal"/>
        <w:jc w:val="right"/>
        <w:rPr/>
      </w:pPr>
      <w:r>
        <w:rPr>
          <w:sz w:val="22"/>
          <w:szCs w:val="22"/>
        </w:rPr>
        <w:t>Приложение № 3</w:t>
      </w:r>
    </w:p>
    <w:p>
      <w:pPr>
        <w:pStyle w:val="Normal"/>
        <w:ind w:firstLine="4820"/>
        <w:jc w:val="right"/>
        <w:rPr/>
      </w:pPr>
      <w:r>
        <w:rPr>
          <w:sz w:val="22"/>
          <w:szCs w:val="22"/>
        </w:rPr>
        <w:t>к Договору поставки</w:t>
      </w:r>
    </w:p>
    <w:p>
      <w:pPr>
        <w:pStyle w:val="Normal"/>
        <w:ind w:firstLine="4820"/>
        <w:jc w:val="right"/>
        <w:rPr/>
      </w:pPr>
      <w:r>
        <w:rPr>
          <w:sz w:val="22"/>
          <w:szCs w:val="22"/>
        </w:rPr>
        <w:t>от «»  2026 г. №</w:t>
      </w:r>
    </w:p>
    <w:p>
      <w:pPr>
        <w:pStyle w:val="Normal"/>
        <w:ind w:firstLine="4820"/>
        <w:jc w:val="right"/>
        <w:rPr>
          <w:sz w:val="22"/>
          <w:szCs w:val="22"/>
        </w:rPr>
      </w:pPr>
      <w:r>
        <w:rPr>
          <w:sz w:val="22"/>
          <w:szCs w:val="22"/>
        </w:rPr>
      </w:r>
    </w:p>
    <w:p>
      <w:pPr>
        <w:pStyle w:val="Normal"/>
        <w:widowControl/>
        <w:shd w:val="clear" w:color="auto" w:fill="FFFFFF"/>
        <w:tabs>
          <w:tab w:val="clear" w:pos="708"/>
          <w:tab w:val="left" w:pos="1418" w:leader="none"/>
        </w:tabs>
        <w:ind w:firstLine="709"/>
        <w:jc w:val="center"/>
        <w:rPr>
          <w:bCs/>
          <w:sz w:val="24"/>
          <w:szCs w:val="24"/>
        </w:rPr>
      </w:pPr>
      <w:r>
        <w:rPr>
          <w:bCs/>
          <w:sz w:val="24"/>
          <w:szCs w:val="24"/>
        </w:rPr>
      </w:r>
    </w:p>
    <w:p>
      <w:pPr>
        <w:pStyle w:val="Normal"/>
        <w:widowControl/>
        <w:ind w:firstLine="709"/>
        <w:rPr>
          <w:sz w:val="24"/>
          <w:szCs w:val="24"/>
          <w:lang w:eastAsia="en-US"/>
        </w:rPr>
      </w:pPr>
      <w:r>
        <w:rPr>
          <w:sz w:val="24"/>
          <w:szCs w:val="24"/>
          <w:lang w:eastAsia="en-US"/>
        </w:rPr>
      </w:r>
    </w:p>
    <w:p>
      <w:pPr>
        <w:pStyle w:val="Normal"/>
        <w:jc w:val="center"/>
        <w:rPr>
          <w:b/>
          <w:bCs/>
          <w:sz w:val="24"/>
          <w:szCs w:val="24"/>
        </w:rPr>
      </w:pPr>
      <w:r>
        <w:rPr>
          <w:b/>
          <w:bCs/>
          <w:sz w:val="24"/>
          <w:szCs w:val="24"/>
        </w:rPr>
        <w:t>Размер ответственности Поставщика за нарушения</w:t>
      </w:r>
    </w:p>
    <w:p>
      <w:pPr>
        <w:pStyle w:val="Normal"/>
        <w:jc w:val="center"/>
        <w:rPr>
          <w:b/>
          <w:bCs/>
          <w:sz w:val="24"/>
          <w:szCs w:val="24"/>
        </w:rPr>
      </w:pPr>
      <w:r>
        <w:rPr>
          <w:b/>
          <w:bCs/>
          <w:sz w:val="24"/>
          <w:szCs w:val="24"/>
        </w:rPr>
        <w:t>пропускного и внутриобъектового режима, требований охраны труда,</w:t>
      </w:r>
    </w:p>
    <w:p>
      <w:pPr>
        <w:pStyle w:val="Normal"/>
        <w:jc w:val="center"/>
        <w:rPr>
          <w:b/>
          <w:sz w:val="24"/>
          <w:szCs w:val="24"/>
        </w:rPr>
      </w:pPr>
      <w:r>
        <w:rPr>
          <w:b/>
          <w:bCs/>
          <w:sz w:val="24"/>
          <w:szCs w:val="24"/>
        </w:rPr>
        <w:t>пожарной и промышленной безопасности</w:t>
      </w:r>
    </w:p>
    <w:p>
      <w:pPr>
        <w:pStyle w:val="Normal"/>
        <w:rPr>
          <w:b/>
          <w:sz w:val="24"/>
          <w:szCs w:val="24"/>
        </w:rPr>
      </w:pPr>
      <w:r>
        <w:rPr>
          <w:b/>
          <w:sz w:val="24"/>
          <w:szCs w:val="24"/>
        </w:rPr>
      </w:r>
    </w:p>
    <w:tbl>
      <w:tblPr>
        <w:tblW w:w="5000" w:type="pct"/>
        <w:jc w:val="left"/>
        <w:tblInd w:w="226" w:type="dxa"/>
        <w:tblLayout w:type="fixed"/>
        <w:tblCellMar>
          <w:top w:w="0" w:type="dxa"/>
          <w:left w:w="108" w:type="dxa"/>
          <w:bottom w:w="0" w:type="dxa"/>
          <w:right w:w="108" w:type="dxa"/>
        </w:tblCellMar>
        <w:tblLook w:val="01e0" w:noHBand="0" w:noVBand="0" w:firstColumn="1" w:lastRow="1" w:lastColumn="1" w:firstRow="1"/>
      </w:tblPr>
      <w:tblGrid>
        <w:gridCol w:w="3822"/>
        <w:gridCol w:w="5814"/>
      </w:tblGrid>
      <w:tr>
        <w:trPr/>
        <w:tc>
          <w:tcPr>
            <w:tcW w:w="3822"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Виды нарушений</w:t>
            </w:r>
          </w:p>
        </w:tc>
        <w:tc>
          <w:tcPr>
            <w:tcW w:w="5814"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Штрафные санкции</w:t>
            </w:r>
          </w:p>
        </w:tc>
      </w:tr>
      <w:tr>
        <w:trPr/>
        <w:tc>
          <w:tcPr>
            <w:tcW w:w="3822"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 Нарушение правил пожарной безопасности (ППБ):</w:t>
            </w:r>
          </w:p>
        </w:tc>
        <w:tc>
          <w:tcPr>
            <w:tcW w:w="5814"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3822"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1.1. Нарушение ППБ без возникновения пожара</w:t>
            </w:r>
          </w:p>
          <w:p>
            <w:pPr>
              <w:pStyle w:val="Normal"/>
              <w:widowControl w:val="false"/>
              <w:rPr>
                <w:b/>
                <w:sz w:val="24"/>
                <w:szCs w:val="24"/>
              </w:rPr>
            </w:pPr>
            <w:r>
              <w:rPr>
                <w:b/>
                <w:sz w:val="24"/>
                <w:szCs w:val="24"/>
              </w:rPr>
            </w:r>
          </w:p>
        </w:tc>
        <w:tc>
          <w:tcPr>
            <w:tcW w:w="581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25 000 (двадцать пять тысяч) рублей за каждый случай нарушения.</w:t>
            </w:r>
          </w:p>
          <w:p>
            <w:pPr>
              <w:pStyle w:val="Normal"/>
              <w:widowControl w:val="false"/>
              <w:jc w:val="both"/>
              <w:rPr>
                <w:sz w:val="24"/>
                <w:szCs w:val="24"/>
              </w:rPr>
            </w:pPr>
            <w:r>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3822"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1.2. Нарушение ППБ, ставшее причиной возникновения пожара, не причинившего ущерб имуществу Покупателя</w:t>
            </w:r>
          </w:p>
        </w:tc>
        <w:tc>
          <w:tcPr>
            <w:tcW w:w="581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50 000 (пятьдесят тысяч) рублей за каждый случай нарушения.</w:t>
            </w:r>
          </w:p>
          <w:p>
            <w:pPr>
              <w:pStyle w:val="Normal"/>
              <w:widowControl w:val="false"/>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3822"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1.3. Нарушение ППБ, ставшее причиной возникновения пожара, причинившего ущерб имуществу Покупателя.</w:t>
            </w:r>
          </w:p>
        </w:tc>
        <w:tc>
          <w:tcPr>
            <w:tcW w:w="581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 xml:space="preserve"> </w:t>
            </w:r>
            <w:r>
              <w:rPr>
                <w:sz w:val="24"/>
                <w:szCs w:val="24"/>
              </w:rPr>
              <w:t>250 000 (двести пятьдесят тысяч) рублей за каждый случай нарушения.</w:t>
            </w:r>
          </w:p>
        </w:tc>
      </w:tr>
      <w:tr>
        <w:trPr/>
        <w:tc>
          <w:tcPr>
            <w:tcW w:w="3822"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2.</w:t>
            </w:r>
            <w:r>
              <w:rPr>
                <w:b/>
                <w:sz w:val="24"/>
                <w:szCs w:val="24"/>
              </w:rPr>
              <w:t xml:space="preserve"> </w:t>
            </w:r>
            <w:r>
              <w:rPr>
                <w:sz w:val="24"/>
                <w:szCs w:val="24"/>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p>
        </w:tc>
        <w:tc>
          <w:tcPr>
            <w:tcW w:w="581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- 50 000 (пятьдесят тысяч) рублей за каждый случай нарушения;</w:t>
            </w:r>
          </w:p>
          <w:p>
            <w:pPr>
              <w:pStyle w:val="Normal"/>
              <w:widowControl w:val="false"/>
              <w:jc w:val="both"/>
              <w:rPr>
                <w:sz w:val="24"/>
                <w:szCs w:val="24"/>
              </w:rPr>
            </w:pPr>
            <w:r>
              <w:rPr>
                <w:sz w:val="24"/>
                <w:szCs w:val="24"/>
              </w:rPr>
              <w:t>- 500 (пятьсот) рублей в случае утраты или приведения в негодность электронного пропуска, выданного Покупателем.</w:t>
            </w:r>
          </w:p>
          <w:p>
            <w:pPr>
              <w:pStyle w:val="Normal"/>
              <w:widowControl w:val="false"/>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pPr>
        <w:pStyle w:val="Normal"/>
        <w:ind w:firstLine="709"/>
        <w:rPr>
          <w:sz w:val="24"/>
          <w:szCs w:val="24"/>
        </w:rPr>
      </w:pPr>
      <w:r>
        <w:rPr>
          <w:sz w:val="24"/>
          <w:szCs w:val="24"/>
        </w:rPr>
      </w:r>
    </w:p>
    <w:p>
      <w:pPr>
        <w:pStyle w:val="Normal"/>
        <w:ind w:firstLine="709"/>
        <w:rPr>
          <w:sz w:val="24"/>
          <w:szCs w:val="24"/>
        </w:rPr>
      </w:pPr>
      <w:r>
        <w:rPr>
          <w:sz w:val="24"/>
          <w:szCs w:val="24"/>
        </w:rPr>
      </w:r>
    </w:p>
    <w:tbl>
      <w:tblPr>
        <w:tblW w:w="9781" w:type="dxa"/>
        <w:jc w:val="left"/>
        <w:tblInd w:w="216" w:type="dxa"/>
        <w:tblLayout w:type="fixed"/>
        <w:tblCellMar>
          <w:top w:w="0" w:type="dxa"/>
          <w:left w:w="108" w:type="dxa"/>
          <w:bottom w:w="0" w:type="dxa"/>
          <w:right w:w="108" w:type="dxa"/>
        </w:tblCellMar>
        <w:tblLook w:val="01e0" w:noHBand="0" w:noVBand="0" w:firstColumn="1" w:lastRow="1" w:lastColumn="1" w:firstRow="1"/>
      </w:tblPr>
      <w:tblGrid>
        <w:gridCol w:w="4884"/>
        <w:gridCol w:w="4896"/>
      </w:tblGrid>
      <w:tr>
        <w:trPr/>
        <w:tc>
          <w:tcPr>
            <w:tcW w:w="4884" w:type="dxa"/>
            <w:tcBorders/>
          </w:tcPr>
          <w:p>
            <w:pPr>
              <w:pStyle w:val="Normal"/>
              <w:widowControl w:val="false"/>
              <w:jc w:val="center"/>
              <w:rPr>
                <w:b/>
                <w:bCs/>
              </w:rPr>
            </w:pPr>
            <w:r>
              <w:rPr>
                <w:b/>
                <w:bCs/>
              </w:rPr>
            </w:r>
          </w:p>
          <w:p>
            <w:pPr>
              <w:pStyle w:val="Normal"/>
              <w:widowControl w:val="false"/>
              <w:jc w:val="center"/>
              <w:rPr>
                <w:sz w:val="24"/>
                <w:szCs w:val="24"/>
              </w:rPr>
            </w:pPr>
            <w:r>
              <w:rPr>
                <w:b/>
                <w:bCs/>
                <w:sz w:val="24"/>
                <w:szCs w:val="24"/>
              </w:rPr>
              <w:t xml:space="preserve">                                   </w:t>
            </w:r>
            <w:r>
              <w:rPr>
                <w:b/>
                <w:bCs/>
                <w:sz w:val="24"/>
                <w:szCs w:val="24"/>
              </w:rPr>
              <w:t>ПОДПИСИ СТОРОН:</w:t>
            </w:r>
          </w:p>
          <w:p>
            <w:pPr>
              <w:pStyle w:val="Normal"/>
              <w:widowControl w:val="false"/>
              <w:rPr>
                <w:sz w:val="24"/>
                <w:szCs w:val="24"/>
              </w:rPr>
            </w:pPr>
            <w:r>
              <w:rPr>
                <w:sz w:val="24"/>
                <w:szCs w:val="24"/>
              </w:rPr>
            </w:r>
          </w:p>
          <w:p>
            <w:pPr>
              <w:pStyle w:val="Normal"/>
              <w:widowControl w:val="false"/>
              <w:rPr>
                <w:sz w:val="24"/>
                <w:szCs w:val="24"/>
              </w:rPr>
            </w:pPr>
            <w:r>
              <w:rPr>
                <w:sz w:val="24"/>
                <w:szCs w:val="24"/>
              </w:rPr>
              <w:t>Директор Центрального филиала</w:t>
            </w:r>
          </w:p>
          <w:p>
            <w:pPr>
              <w:pStyle w:val="Normal"/>
              <w:widowControl w:val="false"/>
              <w:rPr>
                <w:sz w:val="24"/>
                <w:szCs w:val="24"/>
              </w:rPr>
            </w:pPr>
            <w:r>
              <w:rPr>
                <w:sz w:val="24"/>
                <w:szCs w:val="24"/>
              </w:rPr>
              <w:t>АО «ТК РусГидро»</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 xml:space="preserve">_______________ / </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tc>
        <w:tc>
          <w:tcPr>
            <w:tcW w:w="4896" w:type="dxa"/>
            <w:tcBorders/>
          </w:tcPr>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Генеральный директор</w:t>
            </w:r>
          </w:p>
          <w:p>
            <w:pPr>
              <w:pStyle w:val="Normal"/>
              <w:widowControl w:val="false"/>
              <w:rPr>
                <w:sz w:val="24"/>
                <w:szCs w:val="24"/>
              </w:rPr>
            </w:pPr>
            <w:r>
              <w:rPr>
                <w:sz w:val="24"/>
                <w:szCs w:val="24"/>
              </w:rPr>
              <w:t xml:space="preserve">ООО </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 xml:space="preserve">    </w:t>
            </w:r>
            <w:r>
              <w:rPr>
                <w:sz w:val="24"/>
                <w:szCs w:val="24"/>
              </w:rPr>
              <w:t xml:space="preserve">_______________ / </w:t>
            </w:r>
          </w:p>
        </w:tc>
      </w:tr>
    </w:tbl>
    <w:p>
      <w:pPr>
        <w:pStyle w:val="Normal"/>
        <w:ind w:firstLine="709"/>
        <w:rPr>
          <w:b/>
          <w:bCs/>
          <w:sz w:val="24"/>
          <w:szCs w:val="24"/>
        </w:rPr>
      </w:pPr>
      <w:r>
        <w:rPr>
          <w:b/>
          <w:bCs/>
          <w:sz w:val="24"/>
          <w:szCs w:val="24"/>
        </w:rPr>
      </w:r>
    </w:p>
    <w:p>
      <w:pPr>
        <w:pStyle w:val="Normal"/>
        <w:ind w:firstLine="4820"/>
        <w:jc w:val="right"/>
        <w:rPr>
          <w:sz w:val="22"/>
          <w:szCs w:val="22"/>
        </w:rPr>
      </w:pPr>
      <w:r>
        <w:rPr>
          <w:sz w:val="22"/>
          <w:szCs w:val="22"/>
        </w:rPr>
      </w:r>
      <w:r>
        <w:br w:type="page"/>
      </w:r>
    </w:p>
    <w:p>
      <w:pPr>
        <w:pStyle w:val="Normal"/>
        <w:ind w:firstLine="4820"/>
        <w:jc w:val="right"/>
        <w:rPr/>
      </w:pPr>
      <w:r>
        <w:rPr>
          <w:sz w:val="22"/>
          <w:szCs w:val="22"/>
        </w:rPr>
        <w:t>Приложение № 4</w:t>
      </w:r>
    </w:p>
    <w:p>
      <w:pPr>
        <w:pStyle w:val="Normal"/>
        <w:ind w:firstLine="4820"/>
        <w:jc w:val="right"/>
        <w:rPr/>
      </w:pPr>
      <w:r>
        <w:rPr>
          <w:sz w:val="22"/>
          <w:szCs w:val="22"/>
        </w:rPr>
        <w:t>к Договору поставки</w:t>
      </w:r>
    </w:p>
    <w:p>
      <w:pPr>
        <w:pStyle w:val="Normal"/>
        <w:ind w:firstLine="4820"/>
        <w:jc w:val="right"/>
        <w:rPr/>
      </w:pPr>
      <w:r>
        <w:rPr>
          <w:sz w:val="22"/>
          <w:szCs w:val="22"/>
        </w:rPr>
        <w:t>от «» 2026 г. №</w:t>
      </w:r>
    </w:p>
    <w:p>
      <w:pPr>
        <w:pStyle w:val="Normal"/>
        <w:ind w:firstLine="4820"/>
        <w:jc w:val="right"/>
        <w:rPr>
          <w:sz w:val="22"/>
          <w:szCs w:val="22"/>
        </w:rPr>
      </w:pPr>
      <w:r>
        <w:rPr>
          <w:sz w:val="22"/>
          <w:szCs w:val="22"/>
        </w:rPr>
        <w:t>.</w:t>
      </w:r>
    </w:p>
    <w:p>
      <w:pPr>
        <w:pStyle w:val="Normal"/>
        <w:jc w:val="right"/>
        <w:rPr>
          <w:sz w:val="22"/>
          <w:szCs w:val="22"/>
        </w:rPr>
      </w:pPr>
      <w:r>
        <w:rPr>
          <w:sz w:val="22"/>
          <w:szCs w:val="22"/>
        </w:rPr>
      </w:r>
    </w:p>
    <w:p>
      <w:pPr>
        <w:pStyle w:val="Normal"/>
        <w:jc w:val="right"/>
        <w:rPr>
          <w:sz w:val="22"/>
          <w:szCs w:val="22"/>
        </w:rPr>
      </w:pPr>
      <w:r>
        <w:rPr>
          <w:sz w:val="22"/>
          <w:szCs w:val="22"/>
        </w:rPr>
      </w:r>
    </w:p>
    <w:p>
      <w:pPr>
        <w:pStyle w:val="Normal"/>
        <w:jc w:val="center"/>
        <w:rPr>
          <w:b/>
          <w:bCs/>
        </w:rPr>
      </w:pPr>
      <w:r>
        <w:rPr>
          <w:b/>
          <w:bCs/>
          <w:sz w:val="24"/>
          <w:szCs w:val="24"/>
        </w:rPr>
        <w:t>Техническое задание на поставку МТР</w:t>
      </w:r>
    </w:p>
    <w:p>
      <w:pPr>
        <w:pStyle w:val="Normal"/>
        <w:jc w:val="center"/>
        <w:rPr>
          <w:sz w:val="24"/>
          <w:szCs w:val="24"/>
        </w:rPr>
      </w:pPr>
      <w:r>
        <w:rPr>
          <w:sz w:val="24"/>
          <w:szCs w:val="24"/>
        </w:rPr>
      </w:r>
    </w:p>
    <w:p>
      <w:pPr>
        <w:pStyle w:val="Heading1"/>
        <w:jc w:val="both"/>
        <w:rPr>
          <w:rFonts w:ascii="Times New Roman" w:hAnsi="Times New Roman"/>
          <w:sz w:val="28"/>
          <w:szCs w:val="28"/>
        </w:rPr>
      </w:pPr>
      <w:r>
        <w:rPr>
          <w:rFonts w:ascii="Times New Roman" w:hAnsi="Times New Roman"/>
          <w:sz w:val="28"/>
          <w:szCs w:val="28"/>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tbl>
      <w:tblPr>
        <w:tblW w:w="9781" w:type="dxa"/>
        <w:jc w:val="left"/>
        <w:tblInd w:w="216" w:type="dxa"/>
        <w:tblLayout w:type="fixed"/>
        <w:tblCellMar>
          <w:top w:w="0" w:type="dxa"/>
          <w:left w:w="108" w:type="dxa"/>
          <w:bottom w:w="0" w:type="dxa"/>
          <w:right w:w="108" w:type="dxa"/>
        </w:tblCellMar>
        <w:tblLook w:val="01e0" w:noHBand="0" w:noVBand="0" w:firstColumn="1" w:lastRow="1" w:lastColumn="1" w:firstRow="1"/>
      </w:tblPr>
      <w:tblGrid>
        <w:gridCol w:w="4883"/>
        <w:gridCol w:w="4897"/>
      </w:tblGrid>
      <w:tr>
        <w:trPr/>
        <w:tc>
          <w:tcPr>
            <w:tcW w:w="4883" w:type="dxa"/>
            <w:tcBorders/>
          </w:tcPr>
          <w:p>
            <w:pPr>
              <w:pStyle w:val="Normal"/>
              <w:widowControl w:val="false"/>
              <w:jc w:val="center"/>
              <w:rPr>
                <w:b/>
                <w:bCs/>
              </w:rPr>
            </w:pPr>
            <w:r>
              <w:rPr>
                <w:b/>
                <w:bCs/>
              </w:rPr>
            </w:r>
          </w:p>
          <w:p>
            <w:pPr>
              <w:pStyle w:val="Normal"/>
              <w:widowControl w:val="false"/>
              <w:jc w:val="center"/>
              <w:rPr>
                <w:sz w:val="24"/>
                <w:szCs w:val="24"/>
              </w:rPr>
            </w:pPr>
            <w:r>
              <w:rPr>
                <w:b/>
                <w:bCs/>
                <w:sz w:val="24"/>
                <w:szCs w:val="24"/>
              </w:rPr>
              <w:t xml:space="preserve">                                   </w:t>
            </w:r>
            <w:r>
              <w:rPr>
                <w:b/>
                <w:bCs/>
                <w:sz w:val="24"/>
                <w:szCs w:val="24"/>
              </w:rPr>
              <w:t>ПОДПИСИ СТОРОН:</w:t>
            </w:r>
          </w:p>
          <w:p>
            <w:pPr>
              <w:pStyle w:val="Normal"/>
              <w:widowControl w:val="false"/>
              <w:rPr>
                <w:sz w:val="24"/>
                <w:szCs w:val="24"/>
              </w:rPr>
            </w:pPr>
            <w:r>
              <w:rPr>
                <w:sz w:val="24"/>
                <w:szCs w:val="24"/>
              </w:rPr>
            </w:r>
          </w:p>
          <w:p>
            <w:pPr>
              <w:pStyle w:val="Normal"/>
              <w:widowControl w:val="false"/>
              <w:rPr>
                <w:sz w:val="24"/>
                <w:szCs w:val="24"/>
              </w:rPr>
            </w:pPr>
            <w:r>
              <w:rPr>
                <w:sz w:val="24"/>
                <w:szCs w:val="24"/>
              </w:rPr>
              <w:t>Директор Центрального филиала</w:t>
            </w:r>
          </w:p>
          <w:p>
            <w:pPr>
              <w:pStyle w:val="Normal"/>
              <w:widowControl w:val="false"/>
              <w:rPr>
                <w:sz w:val="24"/>
                <w:szCs w:val="24"/>
              </w:rPr>
            </w:pPr>
            <w:r>
              <w:rPr>
                <w:sz w:val="24"/>
                <w:szCs w:val="24"/>
              </w:rPr>
              <w:t>АО «ТК РусГидро»</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 / М.В. Нешев</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tc>
        <w:tc>
          <w:tcPr>
            <w:tcW w:w="4897" w:type="dxa"/>
            <w:tcBorders/>
          </w:tcPr>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Генеральный директор</w:t>
            </w:r>
          </w:p>
          <w:p>
            <w:pPr>
              <w:pStyle w:val="Normal"/>
              <w:widowControl w:val="false"/>
              <w:rPr>
                <w:sz w:val="24"/>
                <w:szCs w:val="24"/>
              </w:rPr>
            </w:pPr>
            <w:r>
              <w:rPr>
                <w:sz w:val="24"/>
                <w:szCs w:val="24"/>
              </w:rPr>
              <w:t xml:space="preserve">ООО </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 xml:space="preserve">    </w:t>
            </w:r>
            <w:r>
              <w:rPr>
                <w:sz w:val="24"/>
                <w:szCs w:val="24"/>
              </w:rPr>
              <w:t xml:space="preserve">_______________ / </w:t>
            </w:r>
          </w:p>
        </w:tc>
      </w:tr>
    </w:tbl>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sectPr>
          <w:headerReference w:type="default" r:id="rId10"/>
          <w:headerReference w:type="first" r:id="rId11"/>
          <w:footerReference w:type="default" r:id="rId12"/>
          <w:footnotePr>
            <w:numFmt w:val="decimal"/>
          </w:footnotePr>
          <w:type w:val="nextPage"/>
          <w:pgSz w:w="11906" w:h="16838"/>
          <w:pgMar w:left="1418" w:right="851" w:gutter="0" w:header="567" w:top="1134" w:footer="709" w:bottom="1134"/>
          <w:pgNumType w:fmt="decimal"/>
          <w:formProt w:val="false"/>
          <w:textDirection w:val="lrTb"/>
          <w:docGrid w:type="default" w:linePitch="360" w:charSpace="49152"/>
        </w:sectPr>
        <w:pStyle w:val="Normal"/>
        <w:rPr/>
      </w:pPr>
      <w:r>
        <w:rPr/>
      </w:r>
    </w:p>
    <w:p>
      <w:pPr>
        <w:pStyle w:val="Normal"/>
        <w:ind w:firstLine="5529" w:right="96"/>
        <w:jc w:val="right"/>
        <w:rPr/>
      </w:pPr>
      <w:r>
        <w:rPr>
          <w:sz w:val="22"/>
          <w:szCs w:val="22"/>
        </w:rPr>
        <w:t>Приложение № 5</w:t>
      </w:r>
    </w:p>
    <w:p>
      <w:pPr>
        <w:pStyle w:val="Normal"/>
        <w:ind w:firstLine="5529" w:right="96"/>
        <w:jc w:val="right"/>
        <w:rPr/>
      </w:pPr>
      <w:r>
        <w:rPr>
          <w:sz w:val="22"/>
          <w:szCs w:val="22"/>
        </w:rPr>
        <w:t>к Договору поставки № от «</w:t>
      </w:r>
      <w:bookmarkStart w:id="16" w:name="_GoBack"/>
      <w:bookmarkEnd w:id="16"/>
      <w:r>
        <w:rPr>
          <w:sz w:val="22"/>
          <w:szCs w:val="22"/>
        </w:rPr>
        <w:t xml:space="preserve">» 2026 г. № </w:t>
      </w:r>
    </w:p>
    <w:p>
      <w:pPr>
        <w:pStyle w:val="Normal"/>
        <w:widowControl/>
        <w:shd w:val="clear" w:color="auto" w:fill="FFFFFF"/>
        <w:tabs>
          <w:tab w:val="clear" w:pos="708"/>
          <w:tab w:val="left" w:pos="1418" w:leader="none"/>
        </w:tabs>
        <w:spacing w:before="0" w:after="0"/>
        <w:contextualSpacing/>
        <w:jc w:val="center"/>
        <w:rPr>
          <w:bCs/>
          <w:sz w:val="24"/>
          <w:szCs w:val="24"/>
        </w:rPr>
      </w:pPr>
      <w:r>
        <w:rPr>
          <w:bCs/>
          <w:sz w:val="24"/>
          <w:szCs w:val="24"/>
        </w:rPr>
      </w:r>
    </w:p>
    <w:p>
      <w:pPr>
        <w:pStyle w:val="Normal"/>
        <w:widowControl/>
        <w:shd w:val="clear" w:color="auto" w:fill="FFFFFF"/>
        <w:tabs>
          <w:tab w:val="clear" w:pos="708"/>
          <w:tab w:val="left" w:pos="1418" w:leader="none"/>
        </w:tabs>
        <w:spacing w:before="0" w:after="0"/>
        <w:contextualSpacing/>
        <w:jc w:val="center"/>
        <w:rPr>
          <w:b/>
          <w:bCs/>
          <w:sz w:val="24"/>
          <w:szCs w:val="24"/>
        </w:rPr>
      </w:pPr>
      <w:r>
        <w:rPr>
          <w:b/>
          <w:bCs/>
          <w:sz w:val="24"/>
          <w:szCs w:val="24"/>
        </w:rPr>
      </w:r>
    </w:p>
    <w:p>
      <w:pPr>
        <w:pStyle w:val="Normal"/>
        <w:widowControl/>
        <w:shd w:val="clear" w:color="auto" w:fill="FFFFFF"/>
        <w:tabs>
          <w:tab w:val="clear" w:pos="708"/>
          <w:tab w:val="left" w:pos="1418" w:leader="none"/>
        </w:tabs>
        <w:spacing w:before="0" w:after="0"/>
        <w:contextualSpacing/>
        <w:jc w:val="center"/>
        <w:rPr>
          <w:b/>
          <w:bCs/>
          <w:sz w:val="24"/>
          <w:szCs w:val="24"/>
        </w:rPr>
      </w:pPr>
      <w:r>
        <w:rPr>
          <w:b/>
          <w:bCs/>
          <w:sz w:val="24"/>
          <w:szCs w:val="24"/>
        </w:rPr>
        <w:t>Критерии отбора Банков – Гарантов</w:t>
      </w:r>
      <w:r>
        <w:rPr>
          <w:rStyle w:val="FootnoteReference"/>
          <w:b/>
          <w:bCs/>
          <w:sz w:val="24"/>
          <w:szCs w:val="24"/>
        </w:rPr>
        <w:footnoteReference w:id="4"/>
      </w:r>
    </w:p>
    <w:p>
      <w:pPr>
        <w:pStyle w:val="Normal"/>
        <w:widowControl/>
        <w:shd w:val="clear" w:color="auto" w:fill="FFFFFF"/>
        <w:tabs>
          <w:tab w:val="clear" w:pos="708"/>
          <w:tab w:val="left" w:pos="1418" w:leader="none"/>
        </w:tabs>
        <w:spacing w:before="0" w:after="0"/>
        <w:contextualSpacing/>
        <w:jc w:val="center"/>
        <w:rPr>
          <w:b/>
          <w:bCs/>
          <w:sz w:val="24"/>
          <w:szCs w:val="24"/>
        </w:rPr>
      </w:pPr>
      <w:r>
        <w:rPr>
          <w:b/>
          <w:bCs/>
          <w:sz w:val="24"/>
          <w:szCs w:val="24"/>
        </w:rPr>
      </w:r>
    </w:p>
    <w:p>
      <w:pPr>
        <w:pStyle w:val="Normal"/>
        <w:widowControl/>
        <w:tabs>
          <w:tab w:val="clear" w:pos="708"/>
          <w:tab w:val="left" w:pos="1134" w:leader="none"/>
        </w:tabs>
        <w:ind w:firstLine="709"/>
        <w:jc w:val="both"/>
        <w:rPr>
          <w:sz w:val="24"/>
          <w:szCs w:val="24"/>
        </w:rPr>
      </w:pPr>
      <w:r>
        <w:rPr>
          <w:sz w:val="24"/>
          <w:szCs w:val="24"/>
        </w:rPr>
        <w:t>Банк-Гарант (кредитная организация), выдающий банковскую гарантию, должен входить в перечень Банков-Гарантов Группы РусГидро</w:t>
      </w:r>
      <w:r>
        <w:rPr>
          <w:rStyle w:val="FootnoteReference"/>
          <w:sz w:val="24"/>
          <w:szCs w:val="24"/>
          <w:lang w:val="en-GB"/>
        </w:rPr>
        <w:footnoteReference w:id="5"/>
      </w:r>
      <w:r>
        <w:rPr>
          <w:sz w:val="24"/>
          <w:szCs w:val="24"/>
        </w:rPr>
        <w:t>, а также соответствовать следующим критериям:</w:t>
      </w:r>
    </w:p>
    <w:p>
      <w:pPr>
        <w:pStyle w:val="Normal"/>
        <w:widowControl/>
        <w:numPr>
          <w:ilvl w:val="1"/>
          <w:numId w:val="11"/>
        </w:numPr>
        <w:tabs>
          <w:tab w:val="clear" w:pos="708"/>
          <w:tab w:val="left" w:pos="1134" w:leader="none"/>
        </w:tabs>
        <w:ind w:firstLine="710" w:left="0"/>
        <w:jc w:val="both"/>
        <w:rPr>
          <w:sz w:val="24"/>
          <w:szCs w:val="24"/>
        </w:rPr>
      </w:pPr>
      <w:r>
        <w:rPr>
          <w:sz w:val="24"/>
          <w:szCs w:val="24"/>
        </w:rPr>
        <w:t>Иметь действующую лицензию Центрального банка Российской Федерации (далее – ЦБ РФ), разрешающую выдачу банковских гарантий. При этом лицензия не должна быть приостановлена полностью или частично.</w:t>
      </w:r>
    </w:p>
    <w:p>
      <w:pPr>
        <w:pStyle w:val="Normal"/>
        <w:widowControl/>
        <w:numPr>
          <w:ilvl w:val="1"/>
          <w:numId w:val="11"/>
        </w:numPr>
        <w:tabs>
          <w:tab w:val="clear" w:pos="708"/>
          <w:tab w:val="left" w:pos="1134" w:leader="none"/>
        </w:tabs>
        <w:ind w:firstLine="710" w:left="0"/>
        <w:jc w:val="both"/>
        <w:rPr>
          <w:sz w:val="24"/>
          <w:szCs w:val="24"/>
        </w:rPr>
      </w:pPr>
      <w:r>
        <w:rPr>
          <w:sz w:val="24"/>
          <w:szCs w:val="24"/>
        </w:rPr>
        <w:t>Присутствовать в Перечне кредитных организаций, соответствующих требованиям, установленным ч. 1 ст. 2 Федерального закона от 21.07.2014 №</w:t>
      </w:r>
      <w:r>
        <w:rPr>
          <w:sz w:val="24"/>
          <w:szCs w:val="24"/>
          <w:lang w:val="en-GB"/>
        </w:rPr>
        <w:t> </w:t>
      </w:r>
      <w:r>
        <w:rPr>
          <w:sz w:val="24"/>
          <w:szCs w:val="24"/>
        </w:rPr>
        <w:t xml:space="preserve">213-ФЗ </w:t>
        <w:br/>
        <w: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(далее – 213-ФЗ) или иным документом, его заменяющим (в случае отмены</w:t>
        <w:br/>
        <w:t>213-ФЗ).</w:t>
      </w:r>
    </w:p>
    <w:p>
      <w:pPr>
        <w:pStyle w:val="Normal"/>
        <w:widowControl/>
        <w:numPr>
          <w:ilvl w:val="1"/>
          <w:numId w:val="11"/>
        </w:numPr>
        <w:tabs>
          <w:tab w:val="clear" w:pos="708"/>
          <w:tab w:val="left" w:pos="1134" w:leader="none"/>
        </w:tabs>
        <w:ind w:firstLine="710" w:left="0"/>
        <w:jc w:val="both"/>
        <w:rPr>
          <w:sz w:val="24"/>
          <w:szCs w:val="24"/>
        </w:rPr>
      </w:pPr>
      <w:r>
        <w:rPr>
          <w:sz w:val="24"/>
          <w:szCs w:val="24"/>
        </w:rPr>
        <w:t>Иметь собственные средства (капитал) в размере не менее 25 млрд. рублей на 01 января текущего календарного года по данным отчетности (в соответствии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t>
      </w:r>
      <w:hyperlink r:id="rId13">
        <w:r>
          <w:rPr>
            <w:rStyle w:val="Hyperlink"/>
            <w:color w:val="auto"/>
            <w:sz w:val="24"/>
            <w:szCs w:val="24"/>
          </w:rPr>
          <w:t>www.cbr.ru</w:t>
        </w:r>
      </w:hyperlink>
      <w:r>
        <w:rPr>
          <w:sz w:val="24"/>
          <w:szCs w:val="24"/>
        </w:rPr>
        <w:t xml:space="preserve">) на официальных сайтах ЦБ РФ и/ или кредитной организации либо представленной кредитной организации Заказчику. </w:t>
      </w:r>
    </w:p>
    <w:p>
      <w:pPr>
        <w:pStyle w:val="Normal"/>
        <w:widowControl/>
        <w:numPr>
          <w:ilvl w:val="1"/>
          <w:numId w:val="11"/>
        </w:numPr>
        <w:tabs>
          <w:tab w:val="clear" w:pos="708"/>
          <w:tab w:val="left" w:pos="1134" w:leader="none"/>
        </w:tabs>
        <w:ind w:firstLine="710" w:left="0"/>
        <w:jc w:val="both"/>
        <w:rPr>
          <w:sz w:val="24"/>
          <w:szCs w:val="24"/>
        </w:rPr>
      </w:pPr>
      <w:r>
        <w:rPr>
          <w:sz w:val="24"/>
          <w:szCs w:val="24"/>
        </w:rPr>
        <w:t>Иметь кредитный рейтинг по национальной шкале не ниже уровня «</w:t>
      </w:r>
      <w:r>
        <w:rPr>
          <w:sz w:val="24"/>
          <w:szCs w:val="24"/>
          <w:lang w:val="en-GB"/>
        </w:rPr>
        <w:t>BBB</w:t>
      </w:r>
      <w:r>
        <w:rPr>
          <w:sz w:val="24"/>
          <w:szCs w:val="24"/>
        </w:rPr>
        <w:t>» рейтингового агентства АКРА или не ниже уровня «</w:t>
      </w:r>
      <w:r>
        <w:rPr>
          <w:sz w:val="24"/>
          <w:szCs w:val="24"/>
          <w:lang w:val="en-GB"/>
        </w:rPr>
        <w:t>ruBBB</w:t>
      </w:r>
      <w:r>
        <w:rPr>
          <w:sz w:val="24"/>
          <w:szCs w:val="24"/>
        </w:rPr>
        <w:t>» рейтингового агентства Эксперт РА. В случае отсутствия у кредитной организации рейтинга АКРА или Эксперт РА, кредитная организация должна иметь рейтинг долгосрочной кредитоспособности не ниже уровня «ВВ» по классификации рейтинговых агентств «</w:t>
      </w:r>
      <w:r>
        <w:rPr>
          <w:sz w:val="24"/>
          <w:szCs w:val="24"/>
          <w:lang w:val="en-GB"/>
        </w:rPr>
        <w:t>Fitch</w:t>
      </w:r>
      <w:r>
        <w:rPr>
          <w:sz w:val="24"/>
          <w:szCs w:val="24"/>
        </w:rPr>
        <w:t>-</w:t>
      </w:r>
      <w:r>
        <w:rPr>
          <w:sz w:val="24"/>
          <w:szCs w:val="24"/>
          <w:lang w:val="en-GB"/>
        </w:rPr>
        <w:t>Ratings</w:t>
      </w:r>
      <w:r>
        <w:rPr>
          <w:sz w:val="24"/>
          <w:szCs w:val="24"/>
        </w:rPr>
        <w:t>» или «</w:t>
      </w:r>
      <w:r>
        <w:rPr>
          <w:sz w:val="24"/>
          <w:szCs w:val="24"/>
          <w:lang w:val="en-GB"/>
        </w:rPr>
        <w:t>Standard</w:t>
      </w:r>
      <w:r>
        <w:rPr>
          <w:sz w:val="24"/>
          <w:szCs w:val="24"/>
        </w:rPr>
        <w:t xml:space="preserve"> &amp; </w:t>
      </w:r>
      <w:r>
        <w:rPr>
          <w:sz w:val="24"/>
          <w:szCs w:val="24"/>
          <w:lang w:val="en-GB"/>
        </w:rPr>
        <w:t>Poor</w:t>
      </w:r>
      <w:r>
        <w:rPr>
          <w:sz w:val="24"/>
          <w:szCs w:val="24"/>
        </w:rPr>
        <w:t>'</w:t>
      </w:r>
      <w:r>
        <w:rPr>
          <w:sz w:val="24"/>
          <w:szCs w:val="24"/>
          <w:lang w:val="en-GB"/>
        </w:rPr>
        <w:t>s</w:t>
      </w:r>
      <w:r>
        <w:rPr>
          <w:sz w:val="24"/>
          <w:szCs w:val="24"/>
        </w:rPr>
        <w:t>» либо уровня «</w:t>
      </w:r>
      <w:r>
        <w:rPr>
          <w:sz w:val="24"/>
          <w:szCs w:val="24"/>
          <w:lang w:val="en-GB"/>
        </w:rPr>
        <w:t>B</w:t>
      </w:r>
      <w:r>
        <w:rPr>
          <w:sz w:val="24"/>
          <w:szCs w:val="24"/>
        </w:rPr>
        <w:t>а2» по классификации рейтингового агентства «</w:t>
      </w:r>
      <w:r>
        <w:rPr>
          <w:sz w:val="24"/>
          <w:szCs w:val="24"/>
          <w:lang w:val="en-GB"/>
        </w:rPr>
        <w:t>Moody</w:t>
      </w:r>
      <w:r>
        <w:rPr>
          <w:sz w:val="24"/>
          <w:szCs w:val="24"/>
        </w:rPr>
        <w:t>'</w:t>
      </w:r>
      <w:r>
        <w:rPr>
          <w:sz w:val="24"/>
          <w:szCs w:val="24"/>
          <w:lang w:val="en-GB"/>
        </w:rPr>
        <w:t>s</w:t>
      </w:r>
      <w:r>
        <w:rPr>
          <w:sz w:val="24"/>
          <w:szCs w:val="24"/>
        </w:rPr>
        <w:t xml:space="preserve"> </w:t>
      </w:r>
      <w:r>
        <w:rPr>
          <w:sz w:val="24"/>
          <w:szCs w:val="24"/>
          <w:lang w:val="en-GB"/>
        </w:rPr>
        <w:t>Investors</w:t>
      </w:r>
      <w:r>
        <w:rPr>
          <w:sz w:val="24"/>
          <w:szCs w:val="24"/>
        </w:rPr>
        <w:t xml:space="preserve"> </w:t>
      </w:r>
      <w:r>
        <w:rPr>
          <w:sz w:val="24"/>
          <w:szCs w:val="24"/>
          <w:lang w:val="en-GB"/>
        </w:rPr>
        <w:t>Service</w:t>
      </w:r>
      <w:r>
        <w:rPr>
          <w:sz w:val="24"/>
          <w:szCs w:val="24"/>
        </w:rPr>
        <w:t>»</w:t>
      </w:r>
      <w:r>
        <w:rPr>
          <w:rStyle w:val="FootnoteReference"/>
          <w:sz w:val="24"/>
          <w:szCs w:val="24"/>
          <w:lang w:val="en-GB"/>
        </w:rPr>
        <w:footnoteReference w:id="6"/>
      </w:r>
      <w:r>
        <w:rPr>
          <w:sz w:val="24"/>
          <w:szCs w:val="24"/>
        </w:rPr>
        <w:t xml:space="preserve">. </w:t>
      </w:r>
    </w:p>
    <w:p>
      <w:pPr>
        <w:pStyle w:val="Normal"/>
        <w:widowControl/>
        <w:numPr>
          <w:ilvl w:val="1"/>
          <w:numId w:val="11"/>
        </w:numPr>
        <w:tabs>
          <w:tab w:val="clear" w:pos="708"/>
          <w:tab w:val="left" w:pos="1134" w:leader="none"/>
        </w:tabs>
        <w:ind w:firstLine="710" w:left="0"/>
        <w:jc w:val="both"/>
        <w:rPr>
          <w:sz w:val="24"/>
          <w:szCs w:val="24"/>
        </w:rPr>
      </w:pPr>
      <w:r>
        <w:rPr>
          <w:sz w:val="24"/>
          <w:szCs w:val="24"/>
        </w:rPr>
        <w:t>Участвовать в системе обязательного страхования вкладов в банках Российской Федерации в соответствии с Федеральным законом от 23.12.2003 №</w:t>
      </w:r>
      <w:r>
        <w:rPr>
          <w:sz w:val="24"/>
          <w:szCs w:val="24"/>
          <w:lang w:val="en-GB"/>
        </w:rPr>
        <w:t> </w:t>
      </w:r>
      <w:r>
        <w:rPr>
          <w:sz w:val="24"/>
          <w:szCs w:val="24"/>
        </w:rPr>
        <w:t>177-ФЗ «О страховании вкладов в банках Российской Федерации»</w:t>
      </w:r>
      <w:r>
        <w:rPr>
          <w:rStyle w:val="FootnoteReference"/>
          <w:sz w:val="24"/>
          <w:szCs w:val="24"/>
          <w:lang w:val="en-GB"/>
        </w:rPr>
        <w:footnoteReference w:id="7"/>
      </w:r>
      <w:r>
        <w:rPr>
          <w:sz w:val="24"/>
          <w:szCs w:val="24"/>
        </w:rPr>
        <w:t>.</w:t>
      </w:r>
    </w:p>
    <w:p>
      <w:pPr>
        <w:sectPr>
          <w:headerReference w:type="default" r:id="rId14"/>
          <w:headerReference w:type="first" r:id="rId15"/>
          <w:footerReference w:type="default" r:id="rId16"/>
          <w:footerReference w:type="first" r:id="rId17"/>
          <w:footnotePr>
            <w:numFmt w:val="decimal"/>
          </w:footnotePr>
          <w:type w:val="nextPage"/>
          <w:pgSz w:w="11906" w:h="16838"/>
          <w:pgMar w:left="1134" w:right="1134" w:gutter="0" w:header="1134" w:top="1417" w:footer="0" w:bottom="1134"/>
          <w:pgNumType w:fmt="decimal"/>
          <w:formProt w:val="false"/>
          <w:textDirection w:val="lrTb"/>
          <w:docGrid w:type="default" w:linePitch="100" w:charSpace="8192"/>
        </w:sectPr>
        <w:pStyle w:val="Normal"/>
        <w:widowControl/>
        <w:numPr>
          <w:ilvl w:val="1"/>
          <w:numId w:val="11"/>
        </w:numPr>
        <w:tabs>
          <w:tab w:val="clear" w:pos="708"/>
          <w:tab w:val="left" w:pos="1134" w:leader="none"/>
        </w:tabs>
        <w:ind w:firstLine="710" w:left="0"/>
        <w:jc w:val="both"/>
        <w:rPr>
          <w:sz w:val="24"/>
          <w:szCs w:val="24"/>
        </w:rPr>
      </w:pPr>
      <w:r>
        <w:rPr>
          <w:sz w:val="24"/>
          <w:szCs w:val="24"/>
        </w:rPr>
        <w:t xml:space="preserve">Не находиться в процессе финансового оздоровления (санации), а также в Реестре банков, находящихся в процессе финансового оздоровления (опубликован в разделе </w:t>
      </w:r>
    </w:p>
    <w:p>
      <w:pPr>
        <w:pStyle w:val="Normal"/>
        <w:widowControl/>
        <w:numPr>
          <w:ilvl w:val="1"/>
          <w:numId w:val="11"/>
        </w:numPr>
        <w:tabs>
          <w:tab w:val="clear" w:pos="708"/>
          <w:tab w:val="left" w:pos="1134" w:leader="none"/>
        </w:tabs>
        <w:ind w:firstLine="710" w:left="0"/>
        <w:jc w:val="both"/>
        <w:rPr>
          <w:sz w:val="24"/>
          <w:szCs w:val="24"/>
        </w:rPr>
      </w:pPr>
      <w:r>
        <w:rPr>
          <w:sz w:val="24"/>
          <w:szCs w:val="24"/>
        </w:rPr>
        <w:t>«Оздоровление банков» сайта Государственной корпорации «Агентство по страхованию вкладов» (</w:t>
      </w:r>
      <w:r>
        <w:rPr>
          <w:sz w:val="24"/>
          <w:szCs w:val="24"/>
          <w:lang w:val="en-GB"/>
        </w:rPr>
        <w:t>http</w:t>
      </w:r>
      <w:r>
        <w:rPr>
          <w:sz w:val="24"/>
          <w:szCs w:val="24"/>
        </w:rPr>
        <w:t>://</w:t>
      </w:r>
      <w:r>
        <w:rPr>
          <w:sz w:val="24"/>
          <w:szCs w:val="24"/>
          <w:lang w:val="en-GB"/>
        </w:rPr>
        <w:t>www</w:t>
      </w:r>
      <w:r>
        <w:rPr>
          <w:sz w:val="24"/>
          <w:szCs w:val="24"/>
        </w:rPr>
        <w:t>.</w:t>
      </w:r>
      <w:r>
        <w:rPr>
          <w:sz w:val="24"/>
          <w:szCs w:val="24"/>
          <w:lang w:val="en-GB"/>
        </w:rPr>
        <w:t>asv</w:t>
      </w:r>
      <w:r>
        <w:rPr>
          <w:sz w:val="24"/>
          <w:szCs w:val="24"/>
        </w:rPr>
        <w:t>.</w:t>
      </w:r>
      <w:r>
        <w:rPr>
          <w:sz w:val="24"/>
          <w:szCs w:val="24"/>
          <w:lang w:val="en-GB"/>
        </w:rPr>
        <w:t>org</w:t>
      </w:r>
      <w:r>
        <w:rPr>
          <w:sz w:val="24"/>
          <w:szCs w:val="24"/>
        </w:rPr>
        <w:t>.</w:t>
      </w:r>
      <w:r>
        <w:rPr>
          <w:sz w:val="24"/>
          <w:szCs w:val="24"/>
          <w:lang w:val="en-GB"/>
        </w:rPr>
        <w:t>ru</w:t>
      </w:r>
      <w:r>
        <w:rPr>
          <w:sz w:val="24"/>
          <w:szCs w:val="24"/>
        </w:rPr>
        <w:t>))».</w:t>
      </w:r>
    </w:p>
    <w:p>
      <w:pPr>
        <w:pStyle w:val="Normal"/>
        <w:widowControl/>
        <w:numPr>
          <w:ilvl w:val="1"/>
          <w:numId w:val="11"/>
        </w:numPr>
        <w:tabs>
          <w:tab w:val="clear" w:pos="708"/>
          <w:tab w:val="left" w:pos="1134" w:leader="none"/>
        </w:tabs>
        <w:ind w:firstLine="710" w:left="0"/>
        <w:jc w:val="both"/>
        <w:rPr>
          <w:sz w:val="24"/>
          <w:szCs w:val="24"/>
        </w:rPr>
      </w:pPr>
      <w:r>
        <w:rPr>
          <w:sz w:val="24"/>
          <w:szCs w:val="24"/>
        </w:rPr>
        <w:t>Не иметь просроченную задолженность перед Заказчиком и компаниями Группы РусГидро.</w:t>
      </w:r>
    </w:p>
    <w:p>
      <w:pPr>
        <w:pStyle w:val="Normal"/>
        <w:widowControl/>
        <w:numPr>
          <w:ilvl w:val="1"/>
          <w:numId w:val="11"/>
        </w:numPr>
        <w:tabs>
          <w:tab w:val="clear" w:pos="708"/>
          <w:tab w:val="left" w:pos="1134" w:leader="none"/>
        </w:tabs>
        <w:ind w:firstLine="710" w:left="0"/>
        <w:jc w:val="both"/>
        <w:rPr>
          <w:sz w:val="24"/>
          <w:szCs w:val="24"/>
        </w:rPr>
      </w:pPr>
      <w:r>
        <w:rPr>
          <w:sz w:val="24"/>
          <w:szCs w:val="24"/>
        </w:rPr>
        <w:t>Присутствовать (иметь отделение, филиал) по месту нахождения Заказчика, его обособленного подразделения или Филиала, для нужд которого заключается Договор</w:t>
      </w:r>
      <w:r>
        <w:rPr>
          <w:rStyle w:val="FootnoteReference"/>
          <w:sz w:val="24"/>
          <w:szCs w:val="24"/>
          <w:lang w:val="en-GB"/>
        </w:rPr>
        <w:footnoteReference w:id="8"/>
      </w:r>
      <w:r>
        <w:rPr>
          <w:sz w:val="24"/>
          <w:szCs w:val="24"/>
        </w:rPr>
        <w:t>.</w:t>
      </w:r>
    </w:p>
    <w:p>
      <w:pPr>
        <w:pStyle w:val="Normal"/>
        <w:widowControl/>
        <w:numPr>
          <w:ilvl w:val="1"/>
          <w:numId w:val="11"/>
        </w:numPr>
        <w:tabs>
          <w:tab w:val="clear" w:pos="708"/>
          <w:tab w:val="left" w:pos="1134" w:leader="none"/>
        </w:tabs>
        <w:ind w:firstLine="710" w:left="0"/>
        <w:jc w:val="both"/>
        <w:rPr>
          <w:sz w:val="24"/>
          <w:szCs w:val="24"/>
        </w:rPr>
      </w:pPr>
      <w:r>
        <w:rPr>
          <w:sz w:val="24"/>
          <w:szCs w:val="24"/>
        </w:rPr>
        <w:t>Требования, установленные пунктами 2 – 4 настоящих Критериев, не распространяются на кредитные организации:</w:t>
      </w:r>
    </w:p>
    <w:p>
      <w:pPr>
        <w:pStyle w:val="Normal"/>
        <w:widowControl/>
        <w:numPr>
          <w:ilvl w:val="1"/>
          <w:numId w:val="12"/>
        </w:numPr>
        <w:tabs>
          <w:tab w:val="clear" w:pos="708"/>
          <w:tab w:val="left" w:pos="1134" w:leader="none"/>
        </w:tabs>
        <w:ind w:firstLine="709" w:left="0"/>
        <w:jc w:val="both"/>
        <w:rPr>
          <w:sz w:val="24"/>
          <w:szCs w:val="24"/>
        </w:rPr>
      </w:pPr>
      <w:r>
        <w:rPr>
          <w:sz w:val="24"/>
          <w:szCs w:val="24"/>
        </w:rPr>
        <w:t xml:space="preserve"> </w:t>
      </w:r>
      <w:r>
        <w:rPr>
          <w:sz w:val="24"/>
          <w:szCs w:val="24"/>
        </w:rPr>
        <w:t>В отношении которых или в отношении лиц, под контролем либо значительным влиянием которых находятся кредитные организации, по состоянию на 01.01.2015 действуют международные санкции, и кредитные организации определены отдельным решением Правительства Российской Федерации в качестве уполномоченной кредитной организации, в которой могут размещаться средства федерального бюджета на банковских депозитах в соответствии с постановлением Правительства Российской Федерации от 24.12.2011 № 1121 «О порядке размещения средств федерального бюджета,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w:t>
      </w:r>
    </w:p>
    <w:p>
      <w:pPr>
        <w:pStyle w:val="Normal"/>
        <w:widowControl/>
        <w:numPr>
          <w:ilvl w:val="1"/>
          <w:numId w:val="12"/>
        </w:numPr>
        <w:tabs>
          <w:tab w:val="clear" w:pos="708"/>
          <w:tab w:val="left" w:pos="1134" w:leader="none"/>
        </w:tabs>
        <w:ind w:firstLine="709" w:left="0"/>
        <w:jc w:val="both"/>
        <w:rPr>
          <w:sz w:val="24"/>
          <w:szCs w:val="24"/>
        </w:rPr>
      </w:pPr>
      <w:r>
        <w:rPr>
          <w:sz w:val="24"/>
          <w:szCs w:val="24"/>
        </w:rPr>
        <w:t xml:space="preserve"> </w:t>
      </w:r>
      <w:r>
        <w:rPr>
          <w:sz w:val="24"/>
          <w:szCs w:val="24"/>
        </w:rPr>
        <w:t>Основной целью деятельности которых является реализация программ поддержки малого и среднего предпринимательства в соответствии с Федеральным законом от 24.07.2007 № 209-ФЗ «О развитии малого и среднего предпринимательства в Российской Федерации» и Указом Президента Российской Федерации от 05.06.2015 № 287 «О мерах по дальнейшему развитию малого и среднего предпринимательства».</w:t>
      </w:r>
    </w:p>
    <w:p>
      <w:pPr>
        <w:pStyle w:val="Normal"/>
        <w:widowControl/>
        <w:numPr>
          <w:ilvl w:val="1"/>
          <w:numId w:val="12"/>
        </w:numPr>
        <w:tabs>
          <w:tab w:val="clear" w:pos="708"/>
          <w:tab w:val="left" w:pos="1134" w:leader="none"/>
        </w:tabs>
        <w:ind w:firstLine="709" w:left="0"/>
        <w:jc w:val="both"/>
        <w:rPr>
          <w:sz w:val="24"/>
          <w:szCs w:val="24"/>
        </w:rPr>
      </w:pPr>
      <w:r>
        <w:rPr>
          <w:sz w:val="24"/>
          <w:szCs w:val="24"/>
        </w:rPr>
        <w:t xml:space="preserve"> </w:t>
      </w:r>
      <w:r>
        <w:rPr>
          <w:sz w:val="24"/>
          <w:szCs w:val="24"/>
        </w:rPr>
        <w:t>Утвержденную Наблюдательным советом Ассоциации «Некоммерческое партнерство Совет рынка по организации эффективной системы оптовой и розничной торговли электрической энергией и мощностью» в качестве уполномоченной кредитной организации, ответственной за проведение расчетов между субъектами ОРЭМ.</w:t>
      </w:r>
    </w:p>
    <w:p>
      <w:pPr>
        <w:pStyle w:val="Normal"/>
        <w:widowControl/>
        <w:numPr>
          <w:ilvl w:val="1"/>
          <w:numId w:val="12"/>
        </w:numPr>
        <w:tabs>
          <w:tab w:val="clear" w:pos="708"/>
          <w:tab w:val="left" w:pos="1134" w:leader="none"/>
        </w:tabs>
        <w:ind w:firstLine="709" w:left="0"/>
        <w:jc w:val="both"/>
        <w:rPr>
          <w:sz w:val="24"/>
          <w:szCs w:val="24"/>
          <w:lang w:val="en-GB"/>
        </w:rPr>
      </w:pPr>
      <w:r>
        <w:rPr>
          <w:sz w:val="24"/>
          <w:szCs w:val="24"/>
        </w:rPr>
        <w:t xml:space="preserve"> </w:t>
      </w:r>
      <w:r>
        <w:rPr>
          <w:sz w:val="24"/>
          <w:szCs w:val="24"/>
          <w:lang w:val="en-GB"/>
        </w:rPr>
        <w:t>ВЭБ.РФ.</w:t>
      </w:r>
    </w:p>
    <w:p>
      <w:pPr>
        <w:pStyle w:val="Normal"/>
        <w:numPr>
          <w:ilvl w:val="1"/>
          <w:numId w:val="12"/>
        </w:numPr>
        <w:tabs>
          <w:tab w:val="clear" w:pos="708"/>
          <w:tab w:val="left" w:pos="1134" w:leader="none"/>
        </w:tabs>
        <w:ind w:firstLine="709" w:left="0"/>
        <w:rPr>
          <w:sz w:val="24"/>
          <w:szCs w:val="24"/>
        </w:rPr>
      </w:pPr>
      <w:r>
        <w:rPr>
          <w:sz w:val="24"/>
          <w:szCs w:val="24"/>
          <w:lang w:val="en-GB"/>
        </w:rPr>
        <w:t>Нерезидентов Российской Федерации.</w:t>
      </w:r>
    </w:p>
    <w:p>
      <w:pPr>
        <w:pStyle w:val="Normal"/>
        <w:widowControl/>
        <w:numPr>
          <w:ilvl w:val="1"/>
          <w:numId w:val="11"/>
        </w:numPr>
        <w:tabs>
          <w:tab w:val="clear" w:pos="708"/>
          <w:tab w:val="left" w:pos="1134" w:leader="none"/>
        </w:tabs>
        <w:ind w:firstLine="710" w:left="0"/>
        <w:jc w:val="both"/>
        <w:rPr>
          <w:sz w:val="24"/>
          <w:szCs w:val="24"/>
        </w:rPr>
      </w:pPr>
      <w:r>
        <w:rPr>
          <w:sz w:val="24"/>
          <w:szCs w:val="24"/>
        </w:rPr>
        <w:t>Максимальная сумма всех одновременно действующих банковских гарантий, выданных одной кредитной организацией, обеспечивающих обязательства контрагента перед Группой РусГидро, не должна превышать размер лимита риска, определяемого по формуле:</w:t>
      </w:r>
    </w:p>
    <w:p>
      <w:pPr>
        <w:pStyle w:val="Normal"/>
        <w:widowControl/>
        <w:tabs>
          <w:tab w:val="clear" w:pos="708"/>
          <w:tab w:val="left" w:pos="1134" w:leader="none"/>
        </w:tabs>
        <w:ind w:firstLine="709"/>
        <w:jc w:val="center"/>
        <w:rPr>
          <w:sz w:val="24"/>
          <w:szCs w:val="24"/>
        </w:rPr>
      </w:pPr>
      <w:r>
        <w:rPr>
          <w:sz w:val="24"/>
          <w:szCs w:val="24"/>
        </w:rPr>
      </w:r>
    </w:p>
    <w:p>
      <w:pPr>
        <w:pStyle w:val="Normal"/>
        <w:widowControl/>
        <w:tabs>
          <w:tab w:val="clear" w:pos="708"/>
          <w:tab w:val="left" w:pos="1134" w:leader="none"/>
        </w:tabs>
        <w:ind w:firstLine="709"/>
        <w:jc w:val="center"/>
        <w:rPr>
          <w:sz w:val="24"/>
          <w:szCs w:val="24"/>
          <w:lang w:val="en-GB"/>
        </w:rPr>
      </w:pPr>
      <w:r>
        <w:rPr>
          <w:b/>
          <w:i/>
          <w:sz w:val="24"/>
          <w:szCs w:val="24"/>
          <w:lang w:val="en-GB"/>
        </w:rPr>
        <w:t>Lim</w:t>
      </w:r>
      <w:r>
        <w:rPr>
          <w:b/>
          <w:i/>
          <w:sz w:val="24"/>
          <w:szCs w:val="24"/>
          <w:vertAlign w:val="subscript"/>
          <w:lang w:val="en-GB"/>
        </w:rPr>
        <w:t>Ai</w:t>
      </w:r>
      <w:r>
        <w:rPr>
          <w:b/>
          <w:i/>
          <w:sz w:val="24"/>
          <w:szCs w:val="24"/>
          <w:lang w:val="en-GB"/>
        </w:rPr>
        <w:t xml:space="preserve">  = r</w:t>
      </w:r>
      <w:r>
        <w:rPr>
          <w:b/>
          <w:i/>
          <w:sz w:val="24"/>
          <w:szCs w:val="24"/>
          <w:vertAlign w:val="subscript"/>
          <w:lang w:val="en-GB"/>
        </w:rPr>
        <w:t>i</w:t>
      </w:r>
      <w:r>
        <w:rPr>
          <w:b/>
          <w:i/>
          <w:sz w:val="24"/>
          <w:szCs w:val="24"/>
          <w:lang w:val="en-GB"/>
        </w:rPr>
        <w:t xml:space="preserve"> × СK</w:t>
      </w:r>
      <w:r>
        <w:rPr>
          <w:b/>
          <w:i/>
          <w:sz w:val="24"/>
          <w:szCs w:val="24"/>
          <w:vertAlign w:val="subscript"/>
          <w:lang w:val="en-GB"/>
        </w:rPr>
        <w:t>i</w:t>
      </w:r>
      <w:r>
        <w:rPr>
          <w:sz w:val="24"/>
          <w:szCs w:val="24"/>
          <w:lang w:val="en-GB"/>
        </w:rPr>
        <w:t>, где</w:t>
      </w:r>
    </w:p>
    <w:p>
      <w:pPr>
        <w:pStyle w:val="Normal"/>
        <w:widowControl/>
        <w:tabs>
          <w:tab w:val="clear" w:pos="708"/>
          <w:tab w:val="left" w:pos="1134" w:leader="none"/>
        </w:tabs>
        <w:ind w:firstLine="709"/>
        <w:jc w:val="center"/>
        <w:rPr>
          <w:sz w:val="24"/>
          <w:szCs w:val="24"/>
          <w:lang w:val="en-GB"/>
        </w:rPr>
      </w:pPr>
      <w:r>
        <w:rPr>
          <w:sz w:val="24"/>
          <w:szCs w:val="24"/>
          <w:lang w:val="en-GB"/>
        </w:rPr>
      </w:r>
    </w:p>
    <w:p>
      <w:pPr>
        <w:pStyle w:val="Normal"/>
        <w:widowControl/>
        <w:tabs>
          <w:tab w:val="clear" w:pos="708"/>
          <w:tab w:val="left" w:pos="1134" w:leader="none"/>
        </w:tabs>
        <w:ind w:firstLine="709"/>
        <w:jc w:val="center"/>
        <w:rPr>
          <w:sz w:val="24"/>
          <w:szCs w:val="24"/>
          <w:lang w:val="en-GB"/>
        </w:rPr>
      </w:pPr>
      <w:r>
        <w:rPr>
          <w:sz w:val="24"/>
          <w:szCs w:val="24"/>
          <w:lang w:val="en-GB"/>
        </w:rPr>
      </w:r>
    </w:p>
    <w:tbl>
      <w:tblPr>
        <w:tblW w:w="9606" w:type="dxa"/>
        <w:jc w:val="left"/>
        <w:tblInd w:w="108" w:type="dxa"/>
        <w:tblLayout w:type="fixed"/>
        <w:tblCellMar>
          <w:top w:w="0" w:type="dxa"/>
          <w:left w:w="108" w:type="dxa"/>
          <w:bottom w:w="0" w:type="dxa"/>
          <w:right w:w="108" w:type="dxa"/>
        </w:tblCellMar>
        <w:tblLook w:val="01e0" w:noHBand="0" w:noVBand="0" w:firstColumn="1" w:lastRow="1" w:lastColumn="1" w:firstRow="1"/>
      </w:tblPr>
      <w:tblGrid>
        <w:gridCol w:w="817"/>
        <w:gridCol w:w="280"/>
        <w:gridCol w:w="8509"/>
      </w:tblGrid>
      <w:tr>
        <w:trPr>
          <w:trHeight w:val="426" w:hRule="atLeast"/>
        </w:trPr>
        <w:tc>
          <w:tcPr>
            <w:tcW w:w="817" w:type="dxa"/>
            <w:tcBorders/>
            <w:shd w:color="auto" w:fill="auto" w:val="clear"/>
          </w:tcPr>
          <w:p>
            <w:pPr>
              <w:pStyle w:val="Normal"/>
              <w:widowControl w:val="false"/>
              <w:ind w:hanging="0" w:right="-108"/>
              <w:rPr>
                <w:color w:val="000000"/>
                <w:sz w:val="24"/>
                <w:szCs w:val="24"/>
              </w:rPr>
            </w:pPr>
            <w:r>
              <w:rPr>
                <w:b/>
                <w:i/>
                <w:color w:val="000000"/>
                <w:sz w:val="24"/>
                <w:szCs w:val="24"/>
              </w:rPr>
              <w:t>Lim</w:t>
            </w:r>
            <w:r>
              <w:rPr>
                <w:b/>
                <w:i/>
                <w:color w:val="000000"/>
                <w:sz w:val="24"/>
                <w:szCs w:val="24"/>
                <w:vertAlign w:val="subscript"/>
                <w:lang w:val="en-US"/>
              </w:rPr>
              <w:t>Ai</w:t>
            </w:r>
          </w:p>
        </w:tc>
        <w:tc>
          <w:tcPr>
            <w:tcW w:w="280" w:type="dxa"/>
            <w:tcBorders/>
            <w:shd w:color="auto" w:fill="auto" w:val="clear"/>
          </w:tcPr>
          <w:p>
            <w:pPr>
              <w:pStyle w:val="Normal"/>
              <w:widowControl w:val="false"/>
              <w:ind w:hanging="317" w:left="317" w:right="-108"/>
              <w:rPr>
                <w:color w:val="000000"/>
                <w:sz w:val="24"/>
                <w:szCs w:val="24"/>
              </w:rPr>
            </w:pPr>
            <w:r>
              <w:rPr>
                <w:sz w:val="24"/>
                <w:szCs w:val="24"/>
              </w:rPr>
              <w:t>-</w:t>
            </w:r>
          </w:p>
        </w:tc>
        <w:tc>
          <w:tcPr>
            <w:tcW w:w="8509" w:type="dxa"/>
            <w:tcBorders/>
            <w:shd w:color="auto" w:fill="auto" w:val="clear"/>
          </w:tcPr>
          <w:p>
            <w:pPr>
              <w:pStyle w:val="Normal"/>
              <w:widowControl w:val="false"/>
              <w:ind w:firstLine="567" w:left="-75" w:right="-108"/>
              <w:rPr>
                <w:color w:val="000000"/>
                <w:sz w:val="24"/>
                <w:szCs w:val="24"/>
              </w:rPr>
            </w:pPr>
            <w:r>
              <w:rPr>
                <w:sz w:val="24"/>
                <w:szCs w:val="24"/>
              </w:rPr>
              <w:t>Лимит риска для i-ой кредитной организации</w:t>
            </w:r>
            <w:r>
              <w:rPr>
                <w:rStyle w:val="FootnoteReference"/>
                <w:sz w:val="24"/>
                <w:szCs w:val="24"/>
              </w:rPr>
              <w:footnoteReference w:id="9"/>
            </w:r>
            <w:r>
              <w:rPr>
                <w:sz w:val="24"/>
                <w:szCs w:val="24"/>
              </w:rPr>
              <w:t>.</w:t>
            </w:r>
          </w:p>
        </w:tc>
      </w:tr>
      <w:tr>
        <w:trPr>
          <w:trHeight w:val="280" w:hRule="atLeast"/>
        </w:trPr>
        <w:tc>
          <w:tcPr>
            <w:tcW w:w="817" w:type="dxa"/>
            <w:tcBorders/>
            <w:shd w:color="auto" w:fill="auto" w:val="clear"/>
          </w:tcPr>
          <w:p>
            <w:pPr>
              <w:pStyle w:val="Normal"/>
              <w:widowControl w:val="false"/>
              <w:ind w:hanging="0" w:right="-108"/>
              <w:rPr>
                <w:b/>
                <w:i/>
                <w:i/>
                <w:color w:val="000000"/>
                <w:sz w:val="24"/>
                <w:szCs w:val="24"/>
                <w:vertAlign w:val="subscript"/>
              </w:rPr>
            </w:pPr>
            <w:r>
              <w:rPr>
                <w:b/>
                <w:i/>
                <w:color w:val="000000"/>
                <w:sz w:val="24"/>
                <w:szCs w:val="24"/>
              </w:rPr>
              <w:t>С</w:t>
            </w:r>
            <w:r>
              <w:rPr>
                <w:b/>
                <w:i/>
                <w:color w:val="000000"/>
                <w:sz w:val="24"/>
                <w:szCs w:val="24"/>
                <w:lang w:val="en-US"/>
              </w:rPr>
              <w:t>K</w:t>
            </w:r>
            <w:r>
              <w:rPr>
                <w:b/>
                <w:i/>
                <w:color w:val="000000"/>
                <w:sz w:val="24"/>
                <w:szCs w:val="24"/>
                <w:vertAlign w:val="subscript"/>
                <w:lang w:val="en-US"/>
              </w:rPr>
              <w:t>i</w:t>
            </w:r>
          </w:p>
          <w:p>
            <w:pPr>
              <w:pStyle w:val="Normal"/>
              <w:widowControl w:val="false"/>
              <w:ind w:firstLine="567" w:right="-108"/>
              <w:rPr>
                <w:color w:val="000000"/>
                <w:sz w:val="24"/>
                <w:szCs w:val="24"/>
              </w:rPr>
            </w:pPr>
            <w:r>
              <w:rPr>
                <w:color w:val="000000"/>
                <w:sz w:val="24"/>
                <w:szCs w:val="24"/>
              </w:rPr>
            </w:r>
          </w:p>
        </w:tc>
        <w:tc>
          <w:tcPr>
            <w:tcW w:w="280" w:type="dxa"/>
            <w:tcBorders/>
            <w:shd w:color="auto" w:fill="auto" w:val="clear"/>
          </w:tcPr>
          <w:p>
            <w:pPr>
              <w:pStyle w:val="Normal"/>
              <w:widowControl w:val="false"/>
              <w:ind w:hanging="0" w:right="-108"/>
              <w:rPr>
                <w:color w:val="000000"/>
                <w:sz w:val="24"/>
                <w:szCs w:val="24"/>
              </w:rPr>
            </w:pPr>
            <w:r>
              <w:rPr>
                <w:sz w:val="24"/>
                <w:szCs w:val="24"/>
              </w:rPr>
              <w:t>-</w:t>
            </w:r>
          </w:p>
        </w:tc>
        <w:tc>
          <w:tcPr>
            <w:tcW w:w="8509" w:type="dxa"/>
            <w:tcBorders/>
            <w:shd w:color="auto" w:fill="auto" w:val="clear"/>
          </w:tcPr>
          <w:p>
            <w:pPr>
              <w:pStyle w:val="Normal"/>
              <w:widowControl w:val="false"/>
              <w:ind w:firstLine="567" w:left="-75" w:right="-108"/>
              <w:rPr>
                <w:color w:val="000000"/>
                <w:sz w:val="24"/>
                <w:szCs w:val="24"/>
              </w:rPr>
            </w:pPr>
            <w:r>
              <w:rPr>
                <w:sz w:val="24"/>
                <w:szCs w:val="24"/>
              </w:rPr>
              <w:t xml:space="preserve">размер собственных средств (капитала) i-ой кредитной организации </w:t>
              <w:br/>
              <w:t xml:space="preserve">на 1 января текущего календарного года по данным отчетности </w:t>
              <w:br/>
              <w:t>(в соответствии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t>
            </w:r>
            <w:hyperlink r:id="rId18">
              <w:r>
                <w:rPr>
                  <w:rStyle w:val="Hyperlink"/>
                  <w:sz w:val="24"/>
                  <w:szCs w:val="24"/>
                </w:rPr>
                <w:t>www.cbr.ru</w:t>
              </w:r>
            </w:hyperlink>
            <w:r>
              <w:rPr>
                <w:sz w:val="24"/>
                <w:szCs w:val="24"/>
              </w:rPr>
              <w:t>) на официальных сайтах ЦБ РФ и / или кредитной организации либо представленной кредитной организацией Обществу;</w:t>
            </w:r>
          </w:p>
        </w:tc>
      </w:tr>
      <w:tr>
        <w:trPr>
          <w:trHeight w:val="3894" w:hRule="atLeast"/>
        </w:trPr>
        <w:tc>
          <w:tcPr>
            <w:tcW w:w="817" w:type="dxa"/>
            <w:tcBorders/>
          </w:tcPr>
          <w:p>
            <w:pPr>
              <w:pStyle w:val="Normal"/>
              <w:widowControl w:val="false"/>
              <w:ind w:hanging="0" w:right="-108"/>
              <w:rPr>
                <w:b/>
                <w:i/>
                <w:i/>
                <w:color w:val="000000"/>
                <w:sz w:val="24"/>
                <w:szCs w:val="24"/>
              </w:rPr>
            </w:pPr>
            <w:r>
              <w:rPr>
                <w:b/>
                <w:i/>
                <w:color w:val="000000"/>
                <w:sz w:val="24"/>
                <w:szCs w:val="24"/>
              </w:rPr>
              <w:t>r</w:t>
            </w:r>
            <w:r>
              <w:rPr>
                <w:b/>
                <w:i/>
                <w:color w:val="000000"/>
                <w:sz w:val="24"/>
                <w:szCs w:val="24"/>
                <w:vertAlign w:val="subscript"/>
              </w:rPr>
              <w:t>i</w:t>
            </w:r>
          </w:p>
        </w:tc>
        <w:tc>
          <w:tcPr>
            <w:tcW w:w="280" w:type="dxa"/>
            <w:tcBorders/>
          </w:tcPr>
          <w:p>
            <w:pPr>
              <w:pStyle w:val="Normal"/>
              <w:widowControl w:val="false"/>
              <w:ind w:hanging="0" w:right="-108"/>
              <w:rPr>
                <w:sz w:val="24"/>
                <w:szCs w:val="24"/>
              </w:rPr>
            </w:pPr>
            <w:r>
              <w:rPr>
                <w:sz w:val="24"/>
                <w:szCs w:val="24"/>
              </w:rPr>
              <w:t>-</w:t>
            </w:r>
          </w:p>
        </w:tc>
        <w:tc>
          <w:tcPr>
            <w:tcW w:w="8509" w:type="dxa"/>
            <w:tcBorders/>
          </w:tcPr>
          <w:p>
            <w:pPr>
              <w:pStyle w:val="Normal"/>
              <w:widowControl w:val="false"/>
              <w:tabs>
                <w:tab w:val="clear" w:pos="708"/>
                <w:tab w:val="left" w:pos="709" w:leader="none"/>
                <w:tab w:val="left" w:pos="851" w:leader="none"/>
              </w:tabs>
              <w:ind w:hanging="0" w:left="680"/>
              <w:jc w:val="both"/>
              <w:rPr/>
            </w:pPr>
            <w:r>
              <w:rPr>
                <w:sz w:val="24"/>
                <w:szCs w:val="24"/>
              </w:rPr>
              <w:t>рейтинговый коэффициент</w:t>
            </w:r>
            <w:r>
              <w:rPr>
                <w:rStyle w:val="FootnoteReference"/>
                <w:sz w:val="24"/>
                <w:szCs w:val="24"/>
              </w:rPr>
              <w:footnoteReference w:id="10"/>
            </w:r>
            <w:r>
              <w:rPr>
                <w:sz w:val="24"/>
                <w:szCs w:val="24"/>
              </w:rPr>
              <w:t xml:space="preserve"> для i-ой кредитной организации, равный:</w:t>
            </w:r>
          </w:p>
          <w:p>
            <w:pPr>
              <w:pStyle w:val="Normal"/>
              <w:widowControl w:val="false"/>
              <w:tabs>
                <w:tab w:val="clear" w:pos="708"/>
                <w:tab w:val="left" w:pos="709" w:leader="none"/>
                <w:tab w:val="left" w:pos="851" w:leader="none"/>
              </w:tabs>
              <w:ind w:firstLine="709" w:right="-108"/>
              <w:jc w:val="both"/>
              <w:rPr>
                <w:sz w:val="24"/>
                <w:szCs w:val="24"/>
              </w:rPr>
            </w:pPr>
            <w:r>
              <w:rPr>
                <w:b/>
                <w:sz w:val="24"/>
                <w:szCs w:val="24"/>
              </w:rPr>
              <w:t>0,075</w:t>
            </w:r>
            <w:r>
              <w:rPr>
                <w:sz w:val="24"/>
                <w:szCs w:val="24"/>
              </w:rPr>
              <w:t xml:space="preserve"> - если i-ая кредитная организация имеет национальный рейтинг кредитоспособности не ниже уровня </w:t>
            </w:r>
            <w:r>
              <w:rPr>
                <w:b/>
                <w:sz w:val="24"/>
                <w:szCs w:val="24"/>
              </w:rPr>
              <w:t>«АА-»</w:t>
            </w:r>
            <w:r>
              <w:rPr>
                <w:sz w:val="24"/>
                <w:szCs w:val="24"/>
              </w:rPr>
              <w:t xml:space="preserve">по классификации рейтингового агентства АКРА или не ниже уровня </w:t>
            </w:r>
            <w:r>
              <w:rPr>
                <w:b/>
                <w:sz w:val="24"/>
                <w:szCs w:val="24"/>
              </w:rPr>
              <w:t>«</w:t>
            </w:r>
            <w:r>
              <w:rPr>
                <w:b/>
                <w:sz w:val="24"/>
                <w:szCs w:val="24"/>
                <w:lang w:val="en-US"/>
              </w:rPr>
              <w:t>ru</w:t>
            </w:r>
            <w:r>
              <w:rPr>
                <w:b/>
                <w:sz w:val="24"/>
                <w:szCs w:val="24"/>
              </w:rPr>
              <w:t>А</w:t>
            </w:r>
            <w:r>
              <w:rPr>
                <w:b/>
                <w:sz w:val="24"/>
                <w:szCs w:val="24"/>
                <w:lang w:val="en-US"/>
              </w:rPr>
              <w:t>A</w:t>
            </w:r>
            <w:r>
              <w:rPr>
                <w:b/>
                <w:sz w:val="24"/>
                <w:szCs w:val="24"/>
              </w:rPr>
              <w:t>-»</w:t>
            </w:r>
            <w:r>
              <w:rPr>
                <w:sz w:val="24"/>
                <w:szCs w:val="24"/>
              </w:rPr>
              <w:t xml:space="preserve"> по классификации рейтингового агентства Эксперт РА;</w:t>
            </w:r>
          </w:p>
          <w:p>
            <w:pPr>
              <w:pStyle w:val="Normal"/>
              <w:widowControl w:val="false"/>
              <w:tabs>
                <w:tab w:val="clear" w:pos="708"/>
                <w:tab w:val="left" w:pos="709" w:leader="none"/>
                <w:tab w:val="left" w:pos="851" w:leader="none"/>
              </w:tabs>
              <w:ind w:firstLine="709" w:right="-108"/>
              <w:jc w:val="both"/>
              <w:rPr>
                <w:sz w:val="24"/>
                <w:szCs w:val="24"/>
              </w:rPr>
            </w:pPr>
            <w:r>
              <w:rPr>
                <w:b/>
                <w:sz w:val="24"/>
                <w:szCs w:val="24"/>
              </w:rPr>
              <w:t>0,05</w:t>
            </w:r>
            <w:r>
              <w:rPr>
                <w:sz w:val="24"/>
                <w:szCs w:val="24"/>
              </w:rPr>
              <w:t xml:space="preserve"> - если i-ая кредитная организация имеет национальный рейтинг кредитоспособности не ниже уровня </w:t>
            </w:r>
            <w:r>
              <w:rPr>
                <w:b/>
                <w:sz w:val="24"/>
                <w:szCs w:val="24"/>
              </w:rPr>
              <w:t>«А-»</w:t>
            </w:r>
            <w:r>
              <w:rPr>
                <w:sz w:val="24"/>
                <w:szCs w:val="24"/>
              </w:rPr>
              <w:t xml:space="preserve"> по классификации рейтингового агентства АКРА или не ниже уровня </w:t>
            </w:r>
            <w:r>
              <w:rPr>
                <w:b/>
                <w:sz w:val="24"/>
                <w:szCs w:val="24"/>
              </w:rPr>
              <w:t>«ruA-»</w:t>
            </w:r>
            <w:r>
              <w:rPr>
                <w:sz w:val="24"/>
                <w:szCs w:val="24"/>
              </w:rPr>
              <w:t xml:space="preserve"> по классификации рейтингового агентства Эксперт РА;</w:t>
            </w:r>
          </w:p>
          <w:p>
            <w:pPr>
              <w:pStyle w:val="Normal"/>
              <w:widowControl w:val="false"/>
              <w:tabs>
                <w:tab w:val="clear" w:pos="708"/>
                <w:tab w:val="left" w:pos="7130" w:leader="none"/>
              </w:tabs>
              <w:ind w:firstLine="567" w:right="-108"/>
              <w:rPr>
                <w:sz w:val="24"/>
                <w:szCs w:val="24"/>
              </w:rPr>
            </w:pPr>
            <w:r>
              <w:rPr>
                <w:b/>
                <w:sz w:val="24"/>
                <w:szCs w:val="24"/>
              </w:rPr>
              <w:t>0,025</w:t>
            </w:r>
            <w:r>
              <w:rPr>
                <w:sz w:val="24"/>
                <w:szCs w:val="24"/>
              </w:rPr>
              <w:t xml:space="preserve"> - если i-ая кредитная организация имеет национальный рейтинг кредитоспособности не ниже уровня </w:t>
            </w:r>
            <w:r>
              <w:rPr>
                <w:b/>
                <w:sz w:val="24"/>
                <w:szCs w:val="24"/>
              </w:rPr>
              <w:t>«</w:t>
            </w:r>
            <w:r>
              <w:rPr>
                <w:b/>
                <w:sz w:val="24"/>
                <w:szCs w:val="24"/>
                <w:lang w:val="en-US"/>
              </w:rPr>
              <w:t>BB</w:t>
            </w:r>
            <w:r>
              <w:rPr>
                <w:b/>
                <w:sz w:val="24"/>
                <w:szCs w:val="24"/>
              </w:rPr>
              <w:t>В»</w:t>
            </w:r>
            <w:r>
              <w:rPr>
                <w:sz w:val="24"/>
                <w:szCs w:val="24"/>
              </w:rPr>
              <w:t xml:space="preserve"> по классификации рейтингового агентства АКРА или не ниже уровня «</w:t>
            </w:r>
            <w:r>
              <w:rPr>
                <w:sz w:val="24"/>
                <w:szCs w:val="24"/>
                <w:lang w:val="en-US"/>
              </w:rPr>
              <w:t>ruBB</w:t>
            </w:r>
            <w:r>
              <w:rPr>
                <w:sz w:val="24"/>
                <w:szCs w:val="24"/>
              </w:rPr>
              <w:t>В» по классификации рейтингового агентства Эксперт РА, а также находится в процессе финансового оздоровления (санации).</w:t>
            </w:r>
          </w:p>
        </w:tc>
      </w:tr>
    </w:tbl>
    <w:p>
      <w:pPr>
        <w:pStyle w:val="Normal"/>
        <w:widowControl/>
        <w:tabs>
          <w:tab w:val="clear" w:pos="708"/>
          <w:tab w:val="left" w:pos="1134" w:leader="none"/>
        </w:tabs>
        <w:ind w:firstLine="709"/>
        <w:jc w:val="center"/>
        <w:rPr>
          <w:sz w:val="24"/>
          <w:szCs w:val="24"/>
        </w:rPr>
      </w:pPr>
      <w:r>
        <w:rPr>
          <w:sz w:val="24"/>
          <w:szCs w:val="24"/>
        </w:rPr>
      </w:r>
    </w:p>
    <w:p>
      <w:pPr>
        <w:pStyle w:val="Normal"/>
        <w:rPr/>
      </w:pPr>
      <w:r>
        <w:rPr/>
      </w:r>
    </w:p>
    <w:sectPr>
      <w:headerReference w:type="default" r:id="rId19"/>
      <w:headerReference w:type="first" r:id="rId20"/>
      <w:footerReference w:type="default" r:id="rId21"/>
      <w:footerReference w:type="first" r:id="rId22"/>
      <w:footnotePr>
        <w:numFmt w:val="decimal"/>
      </w:footnotePr>
      <w:type w:val="nextPage"/>
      <w:pgSz w:w="11906" w:h="16838"/>
      <w:pgMar w:left="1418" w:right="851" w:gutter="0" w:header="567" w:top="1134" w:footer="709" w:bottom="1134"/>
      <w:pgNumType w:fmt="decimal"/>
      <w:formProt w:val="false"/>
      <w:textDirection w:val="lrTb"/>
      <w:docGrid w:type="default" w:linePitch="360" w:charSpace="4915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Calibri Light">
    <w:charset w:val="01"/>
    <w:family w:val="roman"/>
    <w:pitch w:val="variable"/>
  </w:font>
  <w:font w:name="Segoe UI">
    <w:charset w:val="01"/>
    <w:family w:val="roman"/>
    <w:pitch w:val="variable"/>
  </w:font>
  <w:font w:name="Liberation Serif">
    <w:altName w:val="Times New Roman"/>
    <w:charset w:val="01"/>
    <w:family w:val="roman"/>
    <w:pitch w:val="variable"/>
  </w:font>
  <w:font w:name="Liberation Sans">
    <w:altName w:val="Arial"/>
    <w:charset w:val="01"/>
    <w:family w:val="roman"/>
    <w:pitch w:val="variable"/>
  </w:font>
  <w:font w:name="Courier New">
    <w:charset w:val="01"/>
    <w:family w:val="roman"/>
    <w:pitch w:val="variable"/>
  </w:font>
  <w:font w:name="Tahoma">
    <w:charset w:val="01"/>
    <w:family w:val="roman"/>
    <w:pitch w:val="variable"/>
  </w:font>
  <w:font w:name="Verdana">
    <w:charset w:val="01"/>
    <w:family w:val="roman"/>
    <w:pitch w:val="variable"/>
  </w:font>
  <w:font w:name="Calibri">
    <w:charset w:val="01"/>
    <w:family w:val="roman"/>
    <w:pitch w:val="variable"/>
  </w:font>
  <w:font w:name="Liberation Mono">
    <w:altName w:val="Courier New"/>
    <w:charset w:val="01"/>
    <w:family w:val="roman"/>
    <w:pitch w:val="variable"/>
  </w:font>
  <w:font w:name="Times New              Roman">
    <w:altName w:val="se"/>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sz w:val="22"/>
        <w:szCs w:val="22"/>
      </w:rPr>
      <w:fldChar w:fldCharType="begin"/>
    </w:r>
    <w:r>
      <w:rPr>
        <w:sz w:val="22"/>
        <w:szCs w:val="22"/>
      </w:rPr>
      <w:instrText xml:space="preserve"> PAGE </w:instrText>
    </w:r>
    <w:r>
      <w:rPr>
        <w:sz w:val="22"/>
        <w:szCs w:val="22"/>
      </w:rPr>
      <w:fldChar w:fldCharType="separate"/>
    </w:r>
    <w:r>
      <w:rPr>
        <w:sz w:val="22"/>
        <w:szCs w:val="22"/>
      </w:rPr>
      <w:t>23</w:t>
    </w:r>
    <w:r>
      <w:rPr>
        <w:sz w:val="22"/>
        <w:szCs w:val="22"/>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sz w:val="22"/>
        <w:szCs w:val="22"/>
      </w:rPr>
      <w:fldChar w:fldCharType="begin"/>
    </w:r>
    <w:r>
      <w:rPr>
        <w:sz w:val="22"/>
        <w:szCs w:val="22"/>
      </w:rPr>
      <w:instrText xml:space="preserve"> PAGE </w:instrText>
    </w:r>
    <w:r>
      <w:rPr>
        <w:sz w:val="22"/>
        <w:szCs w:val="22"/>
      </w:rPr>
      <w:fldChar w:fldCharType="separate"/>
    </w:r>
    <w:r>
      <w:rPr>
        <w:sz w:val="22"/>
        <w:szCs w:val="22"/>
      </w:rPr>
      <w:t>26</w:t>
    </w:r>
    <w:r>
      <w:rPr>
        <w:sz w:val="22"/>
        <w:szCs w:val="22"/>
      </w:rPr>
      <w:fldChar w:fldCharType="end"/>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rPr/>
      </w:pPr>
      <w:r>
        <w:rPr>
          <w:rStyle w:val="Style13"/>
        </w:rPr>
        <w:footnoteRef/>
      </w:r>
      <w:r>
        <w:rPr/>
      </w:r>
    </w:p>
  </w:footnote>
  <w:footnote w:id="3">
    <w:p>
      <w:pPr>
        <w:pStyle w:val="FootnoteText"/>
        <w:jc w:val="both"/>
        <w:rPr/>
      </w:pPr>
      <w:r>
        <w:rPr>
          <w:rStyle w:val="Style13"/>
        </w:rPr>
        <w:footnoteRef/>
      </w:r>
      <w:r>
        <w:rPr/>
        <w:tab/>
        <w:t xml:space="preserve"> В соответствии с Общероссийским классификатором стран мира (утв. Постановлением Госстандарта России от 14.12.2001 N 529-ст.).</w:t>
      </w:r>
    </w:p>
  </w:footnote>
  <w:footnote w:id="4">
    <w:p>
      <w:pPr>
        <w:pStyle w:val="FootnoteText"/>
        <w:jc w:val="both"/>
        <w:rPr/>
      </w:pPr>
      <w:r>
        <w:rPr>
          <w:rStyle w:val="Style13"/>
        </w:rPr>
        <w:footnoteRef/>
      </w:r>
      <w:r>
        <w:rPr/>
        <w:t xml:space="preserve"> </w:t>
      </w:r>
      <w:r>
        <w:rPr/>
        <w:t>Не распространяются на договоры, заключенные по результатам конкурентной закупки товаров, работ, услуг в электронной форме только среди субъектов малого и среднего предпринимательства, требования к гарантам по которым предусмотрены федеральным законом от 18.07.2011 № 223-ФЗ «О закупках товаров, работ, услуг отдельными видами юридических лиц».</w:t>
      </w:r>
    </w:p>
  </w:footnote>
  <w:footnote w:id="5">
    <w:p>
      <w:pPr>
        <w:pStyle w:val="FootnoteText"/>
        <w:jc w:val="both"/>
        <w:rPr/>
      </w:pPr>
      <w:r>
        <w:rPr>
          <w:rStyle w:val="Style13"/>
        </w:rPr>
        <w:footnoteRef/>
      </w:r>
      <w:r>
        <w:rPr>
          <w:lang w:eastAsia="x-none"/>
        </w:rPr>
        <w:t xml:space="preserve"> </w:t>
      </w:r>
      <w:r>
        <w:rPr>
          <w:lang w:eastAsia="x-none"/>
        </w:rPr>
        <w:t xml:space="preserve">Актуальный Перечень Банков-Гарантов Группы РусГидро размещен на официальном сайте Заказчика </w:t>
      </w:r>
      <w:r>
        <w:rPr/>
        <w:t>http</w:t>
      </w:r>
      <w:r>
        <w:rPr>
          <w:lang w:eastAsia="x-none"/>
        </w:rPr>
        <w:t>://</w:t>
      </w:r>
      <w:r>
        <w:rPr/>
        <w:t>zakupki</w:t>
      </w:r>
      <w:r>
        <w:rPr>
          <w:lang w:eastAsia="x-none"/>
        </w:rPr>
        <w:t>.</w:t>
      </w:r>
      <w:r>
        <w:rPr/>
        <w:t>rushydro</w:t>
      </w:r>
      <w:r>
        <w:rPr>
          <w:lang w:eastAsia="x-none"/>
        </w:rPr>
        <w:t>.</w:t>
      </w:r>
      <w:r>
        <w:rPr/>
        <w:t>ru</w:t>
      </w:r>
      <w:r>
        <w:rPr>
          <w:lang w:eastAsia="x-none"/>
        </w:rPr>
        <w:t>/</w:t>
      </w:r>
      <w:r>
        <w:rPr/>
        <w:t>PublicContent</w:t>
      </w:r>
      <w:r>
        <w:rPr>
          <w:lang w:eastAsia="x-none"/>
        </w:rPr>
        <w:t>/</w:t>
      </w:r>
      <w:r>
        <w:rPr/>
        <w:t>Section</w:t>
      </w:r>
      <w:r>
        <w:rPr>
          <w:lang w:eastAsia="x-none"/>
        </w:rPr>
        <w:t>/.</w:t>
      </w:r>
    </w:p>
  </w:footnote>
  <w:footnote w:id="6">
    <w:p>
      <w:pPr>
        <w:pStyle w:val="FootnoteText"/>
        <w:jc w:val="both"/>
        <w:rPr/>
      </w:pPr>
      <w:r>
        <w:rPr>
          <w:rStyle w:val="Style13"/>
        </w:rPr>
        <w:footnoteRef/>
      </w:r>
      <w:r>
        <w:rPr>
          <w:lang w:eastAsia="x-none"/>
        </w:rPr>
        <w:t xml:space="preserve"> </w:t>
      </w:r>
      <w:r>
        <w:rPr>
          <w:lang w:eastAsia="x-none"/>
        </w:rPr>
        <w:t xml:space="preserve">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из присвоенных (по данным сайта кредитной организации и /или рейтинговых агентств и/или из информационных систем </w:t>
      </w:r>
      <w:r>
        <w:rPr/>
        <w:t>Reuters</w:t>
      </w:r>
      <w:r>
        <w:rPr>
          <w:lang w:eastAsia="x-none"/>
        </w:rPr>
        <w:t xml:space="preserve">, </w:t>
      </w:r>
      <w:r>
        <w:rPr/>
        <w:t>Bloomberg</w:t>
      </w:r>
      <w:r>
        <w:rPr>
          <w:lang w:eastAsia="x-none"/>
        </w:rPr>
        <w:t>, С</w:t>
      </w:r>
      <w:r>
        <w:rPr/>
        <w:t>bonds</w:t>
      </w:r>
      <w:r>
        <w:rPr>
          <w:lang w:eastAsia="x-none"/>
        </w:rPr>
        <w:t>).</w:t>
      </w:r>
    </w:p>
  </w:footnote>
  <w:footnote w:id="7">
    <w:p>
      <w:pPr>
        <w:pStyle w:val="FootnoteText"/>
        <w:jc w:val="both"/>
        <w:rPr/>
      </w:pPr>
      <w:r>
        <w:rPr>
          <w:rStyle w:val="Style13"/>
        </w:rPr>
        <w:footnoteRef/>
      </w:r>
      <w:r>
        <w:rPr>
          <w:lang w:eastAsia="x-none"/>
        </w:rPr>
        <w:t xml:space="preserve"> </w:t>
      </w:r>
      <w:r>
        <w:rPr>
          <w:lang w:eastAsia="x-none"/>
        </w:rPr>
        <w:t>Данное требование не применяется в отношении небанковских кредитных организаций.</w:t>
      </w:r>
    </w:p>
  </w:footnote>
  <w:footnote w:id="8">
    <w:p>
      <w:pPr>
        <w:pStyle w:val="FootnoteText"/>
        <w:jc w:val="both"/>
        <w:rPr/>
      </w:pPr>
      <w:r>
        <w:rPr>
          <w:rStyle w:val="Style13"/>
        </w:rPr>
        <w:footnoteRef/>
      </w:r>
      <w:r>
        <w:rPr>
          <w:lang w:eastAsia="x-none"/>
        </w:rPr>
        <w:t xml:space="preserve"> </w:t>
      </w:r>
      <w:r>
        <w:rPr>
          <w:lang w:eastAsia="x-none"/>
        </w:rPr>
        <w:t>При издании ПО организационно-распорядительного документа о ТФУ данный критерий может быть исключен.</w:t>
      </w:r>
    </w:p>
  </w:footnote>
  <w:footnote w:id="9">
    <w:p>
      <w:pPr>
        <w:pStyle w:val="FootnoteText"/>
        <w:jc w:val="both"/>
        <w:rPr/>
      </w:pPr>
      <w:r>
        <w:rPr>
          <w:rStyle w:val="Style13"/>
        </w:rPr>
        <w:footnoteRef/>
      </w:r>
      <w:r>
        <w:rPr/>
        <w:t xml:space="preserve"> </w:t>
      </w:r>
      <w:r>
        <w:rPr/>
        <w:t>Значение показателя округляется в большую или меньшую сторону до суммы, кратной 100 млн. руб. по правилам математического округления. В случае если первая из отделяемых цифр меньше 5, то значение показателя округляется в меньшую сторону; если первая из отделяемых цифр больше 5, то значение показателя округляется в большую сторону. Например, расчетное значение лимита - 5 440 млн. руб., лимит к установлению - 5 400 млн. руб.; расчетное значение лимита - 5 450 млн. руб., лимит к установлению - 5 500 млн. руб.</w:t>
      </w:r>
    </w:p>
  </w:footnote>
  <w:footnote w:id="10">
    <w:p>
      <w:pPr>
        <w:pStyle w:val="FootnoteText"/>
        <w:jc w:val="both"/>
        <w:rPr/>
      </w:pPr>
      <w:r>
        <w:rPr>
          <w:rStyle w:val="Style13"/>
        </w:rPr>
        <w:footnoteRef/>
      </w:r>
      <w:r>
        <w:rPr/>
        <w:t xml:space="preserve"> </w:t>
      </w:r>
      <w:r>
        <w:rPr/>
        <w:t>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из присвоенных (по данным сайта кредитной организации и / или рейтинговых агентств и/или из информационных систем Reuters, Bloomberg, Сbonds).</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numPr>
        <w:ilvl w:val="0"/>
        <w:numId w:val="0"/>
      </w:numPr>
      <w:ind w:hanging="0" w:left="0"/>
      <w:jc w:val="right"/>
      <w:outlineLvl w:val="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1778"/>
        </w:tabs>
        <w:ind w:left="1778" w:hanging="360"/>
      </w:pPr>
      <w:rPr>
        <w:rFonts w:ascii="Symbol" w:hAnsi="Symbol" w:cs="Symbol" w:hint="default"/>
      </w:rPr>
    </w:lvl>
    <w:lvl w:ilvl="1">
      <w:start w:val="1"/>
      <w:numFmt w:val="bullet"/>
      <w:lvlText w:val="o"/>
      <w:lvlJc w:val="left"/>
      <w:pPr>
        <w:tabs>
          <w:tab w:val="num" w:pos="2498"/>
        </w:tabs>
        <w:ind w:left="2498" w:hanging="360"/>
      </w:pPr>
      <w:rPr>
        <w:rFonts w:ascii="Courier New" w:hAnsi="Courier New" w:cs="Courier New" w:hint="default"/>
      </w:rPr>
    </w:lvl>
    <w:lvl w:ilvl="2">
      <w:start w:val="1"/>
      <w:numFmt w:val="bullet"/>
      <w:lvlText w:val=""/>
      <w:lvlJc w:val="left"/>
      <w:pPr>
        <w:tabs>
          <w:tab w:val="num" w:pos="3218"/>
        </w:tabs>
        <w:ind w:left="3218" w:hanging="360"/>
      </w:pPr>
      <w:rPr>
        <w:rFonts w:ascii="Wingdings" w:hAnsi="Wingdings" w:cs="Wingdings" w:hint="default"/>
      </w:rPr>
    </w:lvl>
    <w:lvl w:ilvl="3">
      <w:start w:val="1"/>
      <w:numFmt w:val="bullet"/>
      <w:lvlText w:val=""/>
      <w:lvlJc w:val="left"/>
      <w:pPr>
        <w:tabs>
          <w:tab w:val="num" w:pos="3938"/>
        </w:tabs>
        <w:ind w:left="3938" w:hanging="360"/>
      </w:pPr>
      <w:rPr>
        <w:rFonts w:ascii="Symbol" w:hAnsi="Symbol" w:cs="Symbol" w:hint="default"/>
      </w:rPr>
    </w:lvl>
    <w:lvl w:ilvl="4">
      <w:start w:val="1"/>
      <w:numFmt w:val="bullet"/>
      <w:lvlText w:val="o"/>
      <w:lvlJc w:val="left"/>
      <w:pPr>
        <w:tabs>
          <w:tab w:val="num" w:pos="4658"/>
        </w:tabs>
        <w:ind w:left="4658" w:hanging="360"/>
      </w:pPr>
      <w:rPr>
        <w:rFonts w:ascii="Courier New" w:hAnsi="Courier New" w:cs="Courier New" w:hint="default"/>
      </w:rPr>
    </w:lvl>
    <w:lvl w:ilvl="5">
      <w:start w:val="1"/>
      <w:numFmt w:val="bullet"/>
      <w:lvlText w:val=""/>
      <w:lvlJc w:val="left"/>
      <w:pPr>
        <w:tabs>
          <w:tab w:val="num" w:pos="5378"/>
        </w:tabs>
        <w:ind w:left="5378" w:hanging="360"/>
      </w:pPr>
      <w:rPr>
        <w:rFonts w:ascii="Wingdings" w:hAnsi="Wingdings" w:cs="Wingdings" w:hint="default"/>
      </w:rPr>
    </w:lvl>
    <w:lvl w:ilvl="6">
      <w:start w:val="1"/>
      <w:numFmt w:val="bullet"/>
      <w:lvlText w:val=""/>
      <w:lvlJc w:val="left"/>
      <w:pPr>
        <w:tabs>
          <w:tab w:val="num" w:pos="6098"/>
        </w:tabs>
        <w:ind w:left="6098" w:hanging="360"/>
      </w:pPr>
      <w:rPr>
        <w:rFonts w:ascii="Symbol" w:hAnsi="Symbol" w:cs="Symbol" w:hint="default"/>
      </w:rPr>
    </w:lvl>
    <w:lvl w:ilvl="7">
      <w:start w:val="1"/>
      <w:numFmt w:val="bullet"/>
      <w:lvlText w:val="o"/>
      <w:lvlJc w:val="left"/>
      <w:pPr>
        <w:tabs>
          <w:tab w:val="num" w:pos="6818"/>
        </w:tabs>
        <w:ind w:left="6818" w:hanging="360"/>
      </w:pPr>
      <w:rPr>
        <w:rFonts w:ascii="Courier New" w:hAnsi="Courier New" w:cs="Courier New" w:hint="default"/>
      </w:rPr>
    </w:lvl>
    <w:lvl w:ilvl="8">
      <w:start w:val="1"/>
      <w:numFmt w:val="bullet"/>
      <w:lvlText w:val=""/>
      <w:lvlJc w:val="left"/>
      <w:pPr>
        <w:tabs>
          <w:tab w:val="num" w:pos="7538"/>
        </w:tabs>
        <w:ind w:left="7538" w:hanging="360"/>
      </w:pPr>
      <w:rPr>
        <w:rFonts w:ascii="Wingdings" w:hAnsi="Wingdings" w:cs="Wingdings" w:hint="default"/>
      </w:rPr>
    </w:lvl>
  </w:abstractNum>
  <w:abstractNum w:abstractNumId="3">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5">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numFmt w:val="bullet"/>
      <w:lvlText w:val="–"/>
      <w:lvlJc w:val="left"/>
      <w:pPr>
        <w:tabs>
          <w:tab w:val="num" w:pos="0"/>
        </w:tabs>
        <w:ind w:left="1429" w:hanging="360"/>
      </w:pPr>
      <w:rPr>
        <w:rFonts w:ascii="Times New Roman" w:hAnsi="Times New Roman" w:cs="Times New Roman" w:hint="default"/>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lvl w:ilvl="0">
      <w:start w:val="4"/>
      <w:numFmt w:val="decimal"/>
      <w:lvlText w:val="%1."/>
      <w:lvlJc w:val="left"/>
      <w:pPr>
        <w:tabs>
          <w:tab w:val="num" w:pos="0"/>
        </w:tabs>
        <w:ind w:left="360" w:hanging="360"/>
      </w:pPr>
      <w:rPr>
        <w:b/>
        <w:rFonts w:ascii="Times New Roman" w:hAnsi="Times New Roman" w:cs="Times New Roman"/>
      </w:rPr>
    </w:lvl>
    <w:lvl w:ilvl="1">
      <w:start w:val="1"/>
      <w:numFmt w:val="decimal"/>
      <w:lvlText w:val="%1.%2."/>
      <w:lvlJc w:val="left"/>
      <w:pPr>
        <w:tabs>
          <w:tab w:val="num" w:pos="0"/>
        </w:tabs>
        <w:ind w:left="360" w:hanging="360"/>
      </w:pPr>
      <w:rPr>
        <w:rFonts w:cs="Times New Roman"/>
      </w:rPr>
    </w:lvl>
    <w:lvl w:ilvl="2">
      <w:start w:val="1"/>
      <w:numFmt w:val="decimal"/>
      <w:lvlText w:val="%1.%2.%3."/>
      <w:lvlJc w:val="left"/>
      <w:pPr>
        <w:tabs>
          <w:tab w:val="num" w:pos="0"/>
        </w:tabs>
        <w:ind w:left="8376" w:hanging="720"/>
      </w:pPr>
      <w:rPr>
        <w:rFonts w:cs="Times New Roman"/>
      </w:rPr>
    </w:lvl>
    <w:lvl w:ilvl="3">
      <w:start w:val="1"/>
      <w:numFmt w:val="decimal"/>
      <w:lvlText w:val="%1.%2.%3.%4."/>
      <w:lvlJc w:val="left"/>
      <w:pPr>
        <w:tabs>
          <w:tab w:val="num" w:pos="0"/>
        </w:tabs>
        <w:ind w:left="12204" w:hanging="720"/>
      </w:pPr>
      <w:rPr>
        <w:rFonts w:cs="Times New Roman"/>
      </w:rPr>
    </w:lvl>
    <w:lvl w:ilvl="4">
      <w:start w:val="1"/>
      <w:numFmt w:val="decimal"/>
      <w:lvlText w:val="%1.%2.%3.%4.%5."/>
      <w:lvlJc w:val="left"/>
      <w:pPr>
        <w:tabs>
          <w:tab w:val="num" w:pos="0"/>
        </w:tabs>
        <w:ind w:left="16392" w:hanging="1080"/>
      </w:pPr>
      <w:rPr>
        <w:rFonts w:cs="Times New Roman"/>
      </w:rPr>
    </w:lvl>
    <w:lvl w:ilvl="5">
      <w:start w:val="1"/>
      <w:numFmt w:val="decimal"/>
      <w:lvlText w:val="%1.%2.%3.%4.%5.%6."/>
      <w:lvlJc w:val="left"/>
      <w:pPr>
        <w:tabs>
          <w:tab w:val="num" w:pos="0"/>
        </w:tabs>
        <w:ind w:left="20220" w:hanging="1080"/>
      </w:pPr>
      <w:rPr>
        <w:rFonts w:cs="Times New Roman"/>
      </w:rPr>
    </w:lvl>
    <w:lvl w:ilvl="6">
      <w:start w:val="1"/>
      <w:numFmt w:val="decimal"/>
      <w:lvlText w:val="%1.%2.%3.%4.%5.%6.%7."/>
      <w:lvlJc w:val="left"/>
      <w:pPr>
        <w:tabs>
          <w:tab w:val="num" w:pos="0"/>
        </w:tabs>
        <w:ind w:left="24408" w:hanging="1440"/>
      </w:pPr>
      <w:rPr>
        <w:rFonts w:cs="Times New Roman"/>
      </w:rPr>
    </w:lvl>
    <w:lvl w:ilvl="7">
      <w:start w:val="1"/>
      <w:numFmt w:val="decimal"/>
      <w:lvlText w:val="%1.%2.%3.%4.%5.%6.%7.%8."/>
      <w:lvlJc w:val="left"/>
      <w:pPr>
        <w:tabs>
          <w:tab w:val="num" w:pos="0"/>
        </w:tabs>
        <w:ind w:left="28236" w:hanging="1440"/>
      </w:pPr>
      <w:rPr>
        <w:rFonts w:cs="Times New Roman"/>
      </w:rPr>
    </w:lvl>
    <w:lvl w:ilvl="8">
      <w:start w:val="1"/>
      <w:numFmt w:val="decimal"/>
      <w:lvlText w:val="%1.%2.%3.%4.%5.%6.%7.%8.%9."/>
      <w:lvlJc w:val="left"/>
      <w:pPr>
        <w:tabs>
          <w:tab w:val="num" w:pos="0"/>
        </w:tabs>
        <w:ind w:left="0" w:hanging="1800"/>
      </w:pPr>
      <w:rPr>
        <w:rFonts w:cs="Times New Roman"/>
      </w:rPr>
    </w:lvl>
  </w:abstractNum>
  <w:abstractNum w:abstractNumId="12">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3">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4">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5">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6">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7">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8">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9">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20">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21">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22">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23">
    <w:lvl w:ilvl="0">
      <w:start w:val="2"/>
      <w:numFmt w:val="decimal"/>
      <w:lvlText w:val="%1."/>
      <w:lvlJc w:val="left"/>
      <w:pPr>
        <w:tabs>
          <w:tab w:val="num" w:pos="0"/>
        </w:tabs>
        <w:ind w:left="540" w:hanging="540"/>
      </w:pPr>
      <w:rPr/>
    </w:lvl>
    <w:lvl w:ilvl="1">
      <w:start w:val="3"/>
      <w:numFmt w:val="decimal"/>
      <w:lvlText w:val="%1.%2."/>
      <w:lvlJc w:val="left"/>
      <w:pPr>
        <w:tabs>
          <w:tab w:val="num" w:pos="0"/>
        </w:tabs>
        <w:ind w:left="1107" w:hanging="540"/>
      </w:pPr>
      <w:rPr/>
    </w:lvl>
    <w:lvl w:ilvl="2">
      <w:start w:val="2"/>
      <w:numFmt w:val="decimal"/>
      <w:lvlText w:val="%1.%2.%3."/>
      <w:lvlJc w:val="left"/>
      <w:pPr>
        <w:tabs>
          <w:tab w:val="num" w:pos="0"/>
        </w:tabs>
        <w:ind w:left="1854" w:hanging="720"/>
      </w:pPr>
      <w:rPr/>
    </w:lvl>
    <w:lvl w:ilvl="3">
      <w:start w:val="1"/>
      <w:numFmt w:val="decimal"/>
      <w:lvlText w:val="%1.%2.%3.%4."/>
      <w:lvlJc w:val="left"/>
      <w:pPr>
        <w:tabs>
          <w:tab w:val="num" w:pos="0"/>
        </w:tabs>
        <w:ind w:left="2421" w:hanging="720"/>
      </w:pPr>
      <w:rPr/>
    </w:lvl>
    <w:lvl w:ilvl="4">
      <w:start w:val="1"/>
      <w:numFmt w:val="decimal"/>
      <w:lvlText w:val="%1.%2.%3.%4.%5."/>
      <w:lvlJc w:val="left"/>
      <w:pPr>
        <w:tabs>
          <w:tab w:val="num" w:pos="0"/>
        </w:tabs>
        <w:ind w:left="3348" w:hanging="1080"/>
      </w:pPr>
      <w:rPr/>
    </w:lvl>
    <w:lvl w:ilvl="5">
      <w:start w:val="1"/>
      <w:numFmt w:val="decimal"/>
      <w:lvlText w:val="%1.%2.%3.%4.%5.%6."/>
      <w:lvlJc w:val="left"/>
      <w:pPr>
        <w:tabs>
          <w:tab w:val="num" w:pos="0"/>
        </w:tabs>
        <w:ind w:left="3915" w:hanging="1080"/>
      </w:pPr>
      <w:rPr/>
    </w:lvl>
    <w:lvl w:ilvl="6">
      <w:start w:val="1"/>
      <w:numFmt w:val="decimal"/>
      <w:lvlText w:val="%1.%2.%3.%4.%5.%6.%7."/>
      <w:lvlJc w:val="left"/>
      <w:pPr>
        <w:tabs>
          <w:tab w:val="num" w:pos="0"/>
        </w:tabs>
        <w:ind w:left="4842" w:hanging="1440"/>
      </w:pPr>
      <w:rPr/>
    </w:lvl>
    <w:lvl w:ilvl="7">
      <w:start w:val="1"/>
      <w:numFmt w:val="decimal"/>
      <w:lvlText w:val="%1.%2.%3.%4.%5.%6.%7.%8."/>
      <w:lvlJc w:val="left"/>
      <w:pPr>
        <w:tabs>
          <w:tab w:val="num" w:pos="0"/>
        </w:tabs>
        <w:ind w:left="5409" w:hanging="1440"/>
      </w:pPr>
      <w:rPr/>
    </w:lvl>
    <w:lvl w:ilvl="8">
      <w:start w:val="1"/>
      <w:numFmt w:val="decimal"/>
      <w:lvlText w:val="%1.%2.%3.%4.%5.%6.%7.%8.%9."/>
      <w:lvlJc w:val="left"/>
      <w:pPr>
        <w:tabs>
          <w:tab w:val="num" w:pos="0"/>
        </w:tabs>
        <w:ind w:left="6336" w:hanging="1800"/>
      </w:pPr>
      <w:rPr/>
    </w:lvl>
  </w:abstractNum>
  <w:abstractNum w:abstractNumId="24">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25">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26">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27">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28">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29">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0">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1">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2">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3">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4">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5">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6">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7">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8">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9">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40">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41">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42">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43">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44">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45">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46">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47">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48">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49">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50">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51">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52">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53">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54">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55">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56">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57">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58">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59">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60">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61">
    <w:lvl w:ilvl="0">
      <w:start w:val="1"/>
      <w:numFmt w:val="decimal"/>
      <w:lvlText w:val="%1."/>
      <w:lvlJc w:val="left"/>
      <w:pPr>
        <w:tabs>
          <w:tab w:val="num" w:pos="360"/>
        </w:tabs>
        <w:ind w:left="360" w:hanging="360"/>
      </w:pPr>
      <w:rPr/>
    </w:lvl>
    <w:lvl w:ilvl="1">
      <w:start w:val="1"/>
      <w:numFmt w:val="decimal"/>
      <w:lvlText w:val="%1.%2."/>
      <w:lvlJc w:val="left"/>
      <w:pPr>
        <w:tabs>
          <w:tab w:val="num" w:pos="4260"/>
        </w:tabs>
        <w:ind w:left="4260"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13"/>
    <w:lvlOverride w:ilvl="0">
      <w:startOverride w:val="1"/>
    </w:lvlOverride>
  </w:num>
  <w:num w:numId="63">
    <w:abstractNumId w:val="13"/>
  </w:num>
  <w:num w:numId="64">
    <w:abstractNumId w:val="13"/>
  </w:num>
  <w:num w:numId="65">
    <w:abstractNumId w:val="13"/>
  </w:num>
  <w:num w:numId="66">
    <w:abstractNumId w:val="13"/>
  </w:num>
  <w:num w:numId="67">
    <w:abstractNumId w:val="13"/>
  </w:num>
  <w:num w:numId="68">
    <w:abstractNumId w:val="13"/>
  </w:num>
  <w:num w:numId="69">
    <w:abstractNumId w:val="13"/>
  </w:num>
  <w:num w:numId="70">
    <w:abstractNumId w:val="13"/>
  </w:num>
  <w:num w:numId="71">
    <w:abstractNumId w:val="13"/>
  </w:num>
  <w:num w:numId="72">
    <w:abstractNumId w:val="23"/>
    <w:lvlOverride w:ilvl="0">
      <w:startOverride w:val="2"/>
    </w:lvlOverride>
    <w:lvlOverride w:ilvl="1">
      <w:startOverride w:val="3"/>
    </w:lvlOverride>
    <w:lvlOverride w:ilvl="2">
      <w:startOverride w:val="2"/>
    </w:lvlOverride>
  </w:num>
  <w:num w:numId="73">
    <w:abstractNumId w:val="13"/>
  </w:num>
  <w:num w:numId="74">
    <w:abstractNumId w:val="13"/>
  </w:num>
  <w:num w:numId="75">
    <w:abstractNumId w:val="13"/>
  </w:num>
  <w:num w:numId="76">
    <w:abstractNumId w:val="13"/>
  </w:num>
  <w:num w:numId="77">
    <w:abstractNumId w:val="13"/>
  </w:num>
  <w:num w:numId="78">
    <w:abstractNumId w:val="13"/>
  </w:num>
  <w:num w:numId="79">
    <w:abstractNumId w:val="13"/>
  </w:num>
  <w:num w:numId="80">
    <w:abstractNumId w:val="13"/>
  </w:num>
  <w:num w:numId="81">
    <w:abstractNumId w:val="13"/>
  </w:num>
  <w:num w:numId="82">
    <w:abstractNumId w:val="13"/>
  </w:num>
  <w:num w:numId="83">
    <w:abstractNumId w:val="13"/>
  </w:num>
  <w:num w:numId="84">
    <w:abstractNumId w:val="13"/>
  </w:num>
  <w:num w:numId="85">
    <w:abstractNumId w:val="13"/>
  </w:num>
  <w:num w:numId="86">
    <w:abstractNumId w:val="13"/>
  </w:num>
  <w:num w:numId="87">
    <w:abstractNumId w:val="13"/>
  </w:num>
  <w:num w:numId="88">
    <w:abstractNumId w:val="13"/>
  </w:num>
  <w:num w:numId="89">
    <w:abstractNumId w:val="13"/>
  </w:num>
  <w:num w:numId="90">
    <w:abstractNumId w:val="13"/>
  </w:num>
  <w:num w:numId="91">
    <w:abstractNumId w:val="13"/>
  </w:num>
  <w:num w:numId="92">
    <w:abstractNumId w:val="13"/>
  </w:num>
  <w:num w:numId="93">
    <w:abstractNumId w:val="13"/>
  </w:num>
  <w:num w:numId="94">
    <w:abstractNumId w:val="13"/>
  </w:num>
  <w:num w:numId="95">
    <w:abstractNumId w:val="13"/>
  </w:num>
  <w:num w:numId="96">
    <w:abstractNumId w:val="13"/>
  </w:num>
  <w:num w:numId="97">
    <w:abstractNumId w:val="13"/>
  </w:num>
  <w:num w:numId="98">
    <w:abstractNumId w:val="13"/>
  </w:num>
  <w:num w:numId="99">
    <w:abstractNumId w:val="13"/>
  </w:num>
  <w:num w:numId="100">
    <w:abstractNumId w:val="13"/>
  </w:num>
  <w:num w:numId="101">
    <w:abstractNumId w:val="13"/>
  </w:num>
  <w:num w:numId="102">
    <w:abstractNumId w:val="13"/>
  </w:num>
  <w:num w:numId="103">
    <w:abstractNumId w:val="13"/>
  </w:num>
  <w:num w:numId="104">
    <w:abstractNumId w:val="13"/>
  </w:num>
  <w:num w:numId="105">
    <w:abstractNumId w:val="13"/>
  </w:num>
  <w:num w:numId="106">
    <w:abstractNumId w:val="13"/>
  </w:num>
  <w:num w:numId="107">
    <w:abstractNumId w:val="13"/>
  </w:num>
  <w:num w:numId="108">
    <w:abstractNumId w:val="13"/>
  </w:num>
  <w:num w:numId="109">
    <w:abstractNumId w:val="13"/>
  </w:num>
  <w:num w:numId="110">
    <w:abstractNumId w:val="13"/>
  </w:num>
</w:numbering>
</file>

<file path=word/settings.xml><?xml version="1.0" encoding="utf-8"?>
<w:settings xmlns:w="http://schemas.openxmlformats.org/wordprocessingml/2006/main">
  <w:zoom w:percent="100"/>
  <w:defaultTabStop w:val="708"/>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b206e"/>
    <w:pPr>
      <w:widowControl w:val="false"/>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a264b0"/>
    <w:pPr>
      <w:keepNext w:val="true"/>
      <w:spacing w:before="240" w:after="60"/>
      <w:outlineLvl w:val="0"/>
    </w:pPr>
    <w:rPr>
      <w:rFonts w:ascii="Arial" w:hAnsi="Arial" w:cs="Arial"/>
      <w:b/>
      <w:bCs/>
      <w:kern w:val="2"/>
      <w:sz w:val="32"/>
      <w:szCs w:val="32"/>
    </w:rPr>
  </w:style>
  <w:style w:type="paragraph" w:styleId="Heading3">
    <w:name w:val="Heading 3"/>
    <w:basedOn w:val="Normal"/>
    <w:next w:val="Normal"/>
    <w:link w:val="31"/>
    <w:qFormat/>
    <w:rsid w:val="001b1bd9"/>
    <w:pPr>
      <w:keepNext w:val="true"/>
      <w:keepLines/>
      <w:spacing w:before="200" w:after="0"/>
      <w:outlineLvl w:val="2"/>
    </w:pPr>
    <w:rPr>
      <w:rFonts w:ascii="Cambria" w:hAnsi="Cambria"/>
      <w:b/>
      <w:bCs/>
      <w:color w:val="4F81BD"/>
      <w:lang w:val="x-none" w:eastAsia="x-none"/>
    </w:rPr>
  </w:style>
  <w:style w:type="paragraph" w:styleId="Heading4">
    <w:name w:val="Heading 4"/>
    <w:basedOn w:val="Normal"/>
    <w:next w:val="Normal"/>
    <w:link w:val="4"/>
    <w:semiHidden/>
    <w:unhideWhenUsed/>
    <w:qFormat/>
    <w:rsid w:val="00d66689"/>
    <w:pPr>
      <w:keepNext w:val="true"/>
      <w:keepLines/>
      <w:spacing w:before="40" w:after="0"/>
      <w:outlineLvl w:val="3"/>
    </w:pPr>
    <w:rPr>
      <w:rFonts w:ascii="Calibri Light" w:hAnsi="Calibri Light" w:eastAsia="" w:cs="" w:asciiTheme="majorHAnsi" w:cstheme="majorBidi" w:eastAsiaTheme="majorEastAsia" w:hAnsiTheme="majorHAnsi"/>
      <w:i/>
      <w:iCs/>
      <w:color w:val="2E74B5" w:themeColor="accent1" w:themeShade="bf"/>
    </w:rPr>
  </w:style>
  <w:style w:type="character" w:styleId="DefaultParagraphFont" w:default="1">
    <w:name w:val="Default Paragraph Font"/>
    <w:uiPriority w:val="1"/>
    <w:unhideWhenUsed/>
    <w:qFormat/>
    <w:rPr/>
  </w:style>
  <w:style w:type="character" w:styleId="Style6" w:customStyle="1">
    <w:name w:val="Заголовок Знак"/>
    <w:qFormat/>
    <w:locked/>
    <w:rsid w:val="00565582"/>
    <w:rPr>
      <w:b/>
      <w:bCs/>
      <w:sz w:val="24"/>
      <w:szCs w:val="24"/>
      <w:lang w:val="ru-RU" w:eastAsia="ru-RU" w:bidi="ar-SA"/>
    </w:rPr>
  </w:style>
  <w:style w:type="character" w:styleId="Style7" w:customStyle="1">
    <w:name w:val="Основной текст Знак"/>
    <w:qFormat/>
    <w:rsid w:val="00565582"/>
    <w:rPr>
      <w:lang w:val="ru-RU" w:eastAsia="ru-RU" w:bidi="ar-SA"/>
    </w:rPr>
  </w:style>
  <w:style w:type="character" w:styleId="Pagenumber">
    <w:name w:val="page number"/>
    <w:basedOn w:val="DefaultParagraphFont"/>
    <w:qFormat/>
    <w:rsid w:val="008b02a1"/>
    <w:rPr/>
  </w:style>
  <w:style w:type="character" w:styleId="3" w:customStyle="1">
    <w:name w:val="Основной текст 3 Знак"/>
    <w:link w:val="BodyText3"/>
    <w:qFormat/>
    <w:rsid w:val="005a0965"/>
    <w:rPr>
      <w:sz w:val="16"/>
      <w:szCs w:val="16"/>
    </w:rPr>
  </w:style>
  <w:style w:type="character" w:styleId="Annotationreference">
    <w:name w:val="annotation reference"/>
    <w:qFormat/>
    <w:rsid w:val="00d36934"/>
    <w:rPr>
      <w:sz w:val="16"/>
      <w:szCs w:val="16"/>
    </w:rPr>
  </w:style>
  <w:style w:type="character" w:styleId="Style8" w:customStyle="1">
    <w:name w:val="Текст примечания Знак"/>
    <w:basedOn w:val="DefaultParagraphFont"/>
    <w:link w:val="Annotationtext"/>
    <w:qFormat/>
    <w:rsid w:val="00d36934"/>
    <w:rPr/>
  </w:style>
  <w:style w:type="character" w:styleId="Style9" w:customStyle="1">
    <w:name w:val="Тема примечания Знак"/>
    <w:link w:val="Annotationsubject"/>
    <w:qFormat/>
    <w:rsid w:val="00d36934"/>
    <w:rPr>
      <w:b/>
      <w:bCs/>
    </w:rPr>
  </w:style>
  <w:style w:type="character" w:styleId="31" w:customStyle="1">
    <w:name w:val="Заголовок 3 Знак"/>
    <w:semiHidden/>
    <w:qFormat/>
    <w:rsid w:val="001b1bd9"/>
    <w:rPr>
      <w:rFonts w:ascii="Cambria" w:hAnsi="Cambria" w:eastAsia="Times New Roman" w:cs="Times New Roman"/>
      <w:b/>
      <w:bCs/>
      <w:color w:val="4F81BD"/>
    </w:rPr>
  </w:style>
  <w:style w:type="character" w:styleId="Style10" w:customStyle="1">
    <w:name w:val="Основной текст с отступом Знак"/>
    <w:basedOn w:val="DefaultParagraphFont"/>
    <w:qFormat/>
    <w:rsid w:val="00e00bca"/>
    <w:rPr/>
  </w:style>
  <w:style w:type="character" w:styleId="Style11" w:customStyle="1">
    <w:name w:val="комментарий"/>
    <w:uiPriority w:val="99"/>
    <w:qFormat/>
    <w:rsid w:val="00d562c0"/>
    <w:rPr>
      <w:rFonts w:cs="Times New Roman"/>
      <w:b/>
      <w:bCs/>
      <w:i/>
      <w:iCs/>
      <w:shd w:fill="FFFF99" w:val="clear"/>
    </w:rPr>
  </w:style>
  <w:style w:type="character" w:styleId="Style12" w:customStyle="1">
    <w:name w:val="Текст сноски Знак"/>
    <w:basedOn w:val="DefaultParagraphFont"/>
    <w:uiPriority w:val="99"/>
    <w:qFormat/>
    <w:rsid w:val="00f47c6a"/>
    <w:rPr/>
  </w:style>
  <w:style w:type="character" w:styleId="Style13" w:customStyle="1">
    <w:name w:val="Символ сноски"/>
    <w:qFormat/>
    <w:rsid w:val="00f47c6a"/>
    <w:rPr>
      <w:vertAlign w:val="superscript"/>
    </w:rPr>
  </w:style>
  <w:style w:type="character" w:styleId="FootnoteReference">
    <w:name w:val="Footnote Reference"/>
    <w:rPr>
      <w:vertAlign w:val="superscript"/>
    </w:rPr>
  </w:style>
  <w:style w:type="character" w:styleId="Style14" w:customStyle="1">
    <w:name w:val="Верхний колонтитул Знак"/>
    <w:basedOn w:val="DefaultParagraphFont"/>
    <w:uiPriority w:val="99"/>
    <w:qFormat/>
    <w:rsid w:val="000449a5"/>
    <w:rPr/>
  </w:style>
  <w:style w:type="character" w:styleId="Hyperlink">
    <w:name w:val="Hyperlink"/>
    <w:rsid w:val="005e6f32"/>
    <w:rPr>
      <w:color w:val="0000FF"/>
      <w:u w:val="single"/>
    </w:rPr>
  </w:style>
  <w:style w:type="character" w:styleId="Style15" w:customStyle="1">
    <w:name w:val="Нижний колонтитул Знак"/>
    <w:uiPriority w:val="99"/>
    <w:qFormat/>
    <w:rsid w:val="00d925fb"/>
    <w:rPr/>
  </w:style>
  <w:style w:type="character" w:styleId="Style16" w:customStyle="1">
    <w:name w:val="Название Знак"/>
    <w:qFormat/>
    <w:rsid w:val="0095682b"/>
    <w:rPr>
      <w:b/>
      <w:bCs/>
      <w:sz w:val="24"/>
      <w:szCs w:val="24"/>
    </w:rPr>
  </w:style>
  <w:style w:type="character" w:styleId="Style17" w:customStyle="1">
    <w:name w:val="Абзац списка Знак"/>
    <w:link w:val="ListParagraph"/>
    <w:uiPriority w:val="34"/>
    <w:qFormat/>
    <w:locked/>
    <w:rsid w:val="00725d08"/>
    <w:rPr/>
  </w:style>
  <w:style w:type="character" w:styleId="Style18" w:customStyle="1">
    <w:name w:val="Символ концевой сноски"/>
    <w:qFormat/>
    <w:rPr>
      <w:vertAlign w:val="superscript"/>
    </w:rPr>
  </w:style>
  <w:style w:type="character" w:styleId="EndnoteReference">
    <w:name w:val="Endnote Reference"/>
    <w:rPr>
      <w:vertAlign w:val="superscript"/>
    </w:rPr>
  </w:style>
  <w:style w:type="character" w:styleId="4" w:customStyle="1">
    <w:name w:val="Заголовок 4 Знак"/>
    <w:basedOn w:val="DefaultParagraphFont"/>
    <w:semiHidden/>
    <w:qFormat/>
    <w:rsid w:val="00d66689"/>
    <w:rPr>
      <w:rFonts w:ascii="Calibri Light" w:hAnsi="Calibri Light" w:eastAsia="" w:cs="" w:asciiTheme="majorHAnsi" w:cstheme="majorBidi" w:eastAsiaTheme="majorEastAsia" w:hAnsiTheme="majorHAnsi"/>
      <w:i/>
      <w:iCs/>
      <w:color w:val="2E74B5" w:themeColor="accent1" w:themeShade="bf"/>
    </w:rPr>
  </w:style>
  <w:style w:type="character" w:styleId="Style19" w:customStyle="1">
    <w:name w:val="Символ нумерации"/>
    <w:qFormat/>
    <w:rPr/>
  </w:style>
  <w:style w:type="character" w:styleId="Strong">
    <w:name w:val="Strong"/>
    <w:qFormat/>
    <w:rPr>
      <w:b/>
      <w:bCs/>
    </w:rPr>
  </w:style>
  <w:style w:type="character" w:styleId="Linenumber">
    <w:name w:val="line number"/>
    <w:qFormat/>
    <w:rPr/>
  </w:style>
  <w:style w:type="character" w:styleId="Strong4" w:customStyle="1">
    <w:name w:val="Strong4"/>
    <w:qFormat/>
    <w:rPr>
      <w:b/>
      <w:bCs/>
    </w:rPr>
  </w:style>
  <w:style w:type="character" w:styleId="Strong3" w:customStyle="1">
    <w:name w:val="Strong3"/>
    <w:qFormat/>
    <w:rPr>
      <w:b/>
      <w:bCs/>
    </w:rPr>
  </w:style>
  <w:style w:type="character" w:styleId="Linenumber1" w:customStyle="1">
    <w:name w:val="line number1"/>
    <w:qFormat/>
    <w:rPr/>
  </w:style>
  <w:style w:type="character" w:styleId="1" w:customStyle="1">
    <w:name w:val="Заголовок 1 Знак"/>
    <w:qFormat/>
    <w:rPr>
      <w:rFonts w:cs="Calibri"/>
      <w:b/>
      <w:bCs/>
      <w:color w:val="000000"/>
      <w:sz w:val="28"/>
      <w:szCs w:val="24"/>
      <w:lang w:eastAsia="ar-SA"/>
    </w:rPr>
  </w:style>
  <w:style w:type="character" w:styleId="Style20" w:customStyle="1">
    <w:name w:val="Текст выноски Знак"/>
    <w:qFormat/>
    <w:rPr>
      <w:rFonts w:ascii="Segoe UI" w:hAnsi="Segoe UI" w:cs="Segoe UI"/>
      <w:color w:val="000000"/>
      <w:sz w:val="18"/>
      <w:szCs w:val="18"/>
      <w:lang w:bidi="en-US"/>
    </w:rPr>
  </w:style>
  <w:style w:type="character" w:styleId="Linenumber2" w:customStyle="1">
    <w:name w:val="line number2"/>
    <w:qFormat/>
    <w:rPr/>
  </w:style>
  <w:style w:type="character" w:styleId="Style21" w:customStyle="1">
    <w:name w:val="Стандарт Знак"/>
    <w:qFormat/>
    <w:rPr>
      <w:rFonts w:ascii="Arial" w:hAnsi="Arial" w:eastAsia="Calibri" w:cs="Arial"/>
      <w:sz w:val="22"/>
      <w:szCs w:val="22"/>
      <w:lang w:eastAsia="en-US"/>
    </w:rPr>
  </w:style>
  <w:style w:type="character" w:styleId="11" w:customStyle="1">
    <w:name w:val="Гиперссылка1"/>
    <w:qFormat/>
    <w:rPr>
      <w:color w:val="0000FF"/>
      <w:u w:val="single"/>
    </w:rPr>
  </w:style>
  <w:style w:type="character" w:styleId="FootnoteCharacters" w:customStyle="1">
    <w:name w:val="Footnote Characters"/>
    <w:qFormat/>
    <w:rPr>
      <w:vertAlign w:val="superscript"/>
    </w:rPr>
  </w:style>
  <w:style w:type="character" w:styleId="Strong2" w:customStyle="1">
    <w:name w:val="Strong2"/>
    <w:qFormat/>
    <w:rPr>
      <w:b/>
      <w:bCs/>
    </w:rPr>
  </w:style>
  <w:style w:type="character" w:styleId="Strong11" w:customStyle="1">
    <w:name w:val="Strong11"/>
    <w:qFormat/>
    <w:rPr>
      <w:b/>
      <w:bCs/>
    </w:rPr>
  </w:style>
  <w:style w:type="character" w:styleId="Strong1" w:customStyle="1">
    <w:name w:val="Strong1"/>
    <w:qFormat/>
    <w:rPr>
      <w:b/>
      <w:bCs/>
    </w:rPr>
  </w:style>
  <w:style w:type="character" w:styleId="Bodytext1" w:customStyle="1">
    <w:name w:val="Body text|1_"/>
    <w:qFormat/>
    <w:rPr>
      <w:rFonts w:ascii="Liberation Serif" w:hAnsi="Liberation Serif" w:eastAsia="Liberation Serif" w:cs="Liberation Serif"/>
      <w:b w:val="false"/>
      <w:bCs w:val="false"/>
      <w:i w:val="false"/>
      <w:iCs w:val="false"/>
      <w:caps w:val="false"/>
      <w:smallCaps w:val="false"/>
      <w:strike w:val="false"/>
      <w:dstrike w:val="false"/>
      <w:color w:val="000000"/>
      <w:sz w:val="22"/>
      <w:szCs w:val="22"/>
      <w:u w:val="none"/>
    </w:rPr>
  </w:style>
  <w:style w:type="character" w:styleId="Linenumber11" w:customStyle="1">
    <w:name w:val="line number11"/>
    <w:qFormat/>
    <w:rPr/>
  </w:style>
  <w:style w:type="character" w:styleId="FollowedHyperlink">
    <w:name w:val="FollowedHyperlink"/>
    <w:rPr>
      <w:color w:val="800000"/>
      <w:u w:val="single"/>
    </w:rPr>
  </w:style>
  <w:style w:type="paragraph" w:styleId="Style22">
    <w:name w:val="Заголовок"/>
    <w:basedOn w:val="Normal"/>
    <w:next w:val="BodyText"/>
    <w:qFormat/>
    <w:pPr>
      <w:keepNext w:val="true"/>
      <w:spacing w:before="240" w:after="120"/>
    </w:pPr>
    <w:rPr>
      <w:rFonts w:ascii="Liberation Sans" w:hAnsi="Liberation Sans" w:eastAsia="Noto Sans CJK SC" w:cs="Arial Unicode MS"/>
      <w:sz w:val="28"/>
      <w:szCs w:val="28"/>
    </w:rPr>
  </w:style>
  <w:style w:type="paragraph" w:styleId="BodyText">
    <w:name w:val="Body Text"/>
    <w:basedOn w:val="Normal"/>
    <w:link w:val="Style7"/>
    <w:rsid w:val="00084bde"/>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rFonts w:cs="Arial Unicode MS"/>
      <w:i/>
      <w:iCs/>
      <w:sz w:val="24"/>
      <w:szCs w:val="24"/>
    </w:rPr>
  </w:style>
  <w:style w:type="paragraph" w:styleId="Style23">
    <w:name w:val="Указатель"/>
    <w:basedOn w:val="Normal"/>
    <w:qFormat/>
    <w:pPr>
      <w:suppressLineNumbers/>
    </w:pPr>
    <w:rPr>
      <w:rFonts w:cs="Arial Unicode MS"/>
    </w:rPr>
  </w:style>
  <w:style w:type="paragraph" w:styleId="Title">
    <w:name w:val="Title"/>
    <w:basedOn w:val="Normal"/>
    <w:next w:val="BodyText"/>
    <w:link w:val="Style6"/>
    <w:qFormat/>
    <w:rsid w:val="00a264b0"/>
    <w:pPr>
      <w:jc w:val="center"/>
    </w:pPr>
    <w:rPr>
      <w:b/>
      <w:bCs/>
      <w:sz w:val="24"/>
      <w:szCs w:val="24"/>
    </w:rPr>
  </w:style>
  <w:style w:type="paragraph" w:styleId="Caption1">
    <w:name w:val="caption1"/>
    <w:basedOn w:val="Normal"/>
    <w:qFormat/>
    <w:pPr>
      <w:suppressLineNumbers/>
      <w:spacing w:before="120" w:after="120"/>
    </w:pPr>
    <w:rPr>
      <w:i/>
      <w:iCs/>
      <w:sz w:val="24"/>
      <w:szCs w:val="24"/>
    </w:rPr>
  </w:style>
  <w:style w:type="paragraph" w:styleId="Indexheading">
    <w:name w:val="index heading"/>
    <w:basedOn w:val="Normal"/>
    <w:qFormat/>
    <w:pPr>
      <w:suppressLineNumbers/>
    </w:pPr>
    <w:rPr/>
  </w:style>
  <w:style w:type="paragraph" w:styleId="Caption11" w:customStyle="1">
    <w:name w:val="caption11"/>
    <w:basedOn w:val="Normal"/>
    <w:qFormat/>
    <w:pPr>
      <w:suppressLineNumbers/>
      <w:spacing w:before="120" w:after="120"/>
    </w:pPr>
    <w:rPr>
      <w:i/>
      <w:iCs/>
      <w:sz w:val="24"/>
      <w:szCs w:val="24"/>
    </w:rPr>
  </w:style>
  <w:style w:type="paragraph" w:styleId="Caption111" w:customStyle="1">
    <w:name w:val="caption111"/>
    <w:basedOn w:val="Normal"/>
    <w:qFormat/>
    <w:pPr>
      <w:suppressLineNumbers/>
      <w:spacing w:before="120" w:after="120"/>
    </w:pPr>
    <w:rPr>
      <w:i/>
      <w:iCs/>
      <w:sz w:val="24"/>
      <w:szCs w:val="24"/>
    </w:rPr>
  </w:style>
  <w:style w:type="paragraph" w:styleId="Caption1111" w:customStyle="1">
    <w:name w:val="caption1111"/>
    <w:basedOn w:val="Normal"/>
    <w:qFormat/>
    <w:pPr>
      <w:suppressLineNumbers/>
      <w:spacing w:before="120" w:after="120"/>
    </w:pPr>
    <w:rPr>
      <w:i/>
      <w:iCs/>
      <w:sz w:val="24"/>
      <w:szCs w:val="24"/>
    </w:rPr>
  </w:style>
  <w:style w:type="paragraph" w:styleId="Caption11111" w:customStyle="1">
    <w:name w:val="caption11111"/>
    <w:basedOn w:val="Normal"/>
    <w:qFormat/>
    <w:pPr>
      <w:suppressLineNumbers/>
      <w:spacing w:before="120" w:after="120"/>
    </w:pPr>
    <w:rPr>
      <w:i/>
      <w:iCs/>
      <w:sz w:val="24"/>
      <w:szCs w:val="24"/>
    </w:rPr>
  </w:style>
  <w:style w:type="paragraph" w:styleId="Style24" w:customStyle="1">
    <w:name w:val="Таблицы (моноширинный)"/>
    <w:basedOn w:val="Normal"/>
    <w:next w:val="Normal"/>
    <w:qFormat/>
    <w:rsid w:val="00a264b0"/>
    <w:pPr>
      <w:jc w:val="both"/>
    </w:pPr>
    <w:rPr>
      <w:rFonts w:ascii="Courier New" w:hAnsi="Courier New" w:cs="Courier New"/>
    </w:rPr>
  </w:style>
  <w:style w:type="paragraph" w:styleId="BodyTextIndent2">
    <w:name w:val="Body Text Indent 2"/>
    <w:basedOn w:val="Normal"/>
    <w:qFormat/>
    <w:rsid w:val="00a264b0"/>
    <w:pPr>
      <w:ind w:hanging="0" w:left="1843"/>
      <w:jc w:val="both"/>
    </w:pPr>
    <w:rPr>
      <w:sz w:val="24"/>
    </w:rPr>
  </w:style>
  <w:style w:type="paragraph" w:styleId="BalloonText">
    <w:name w:val="Balloon Text"/>
    <w:basedOn w:val="Normal"/>
    <w:semiHidden/>
    <w:qFormat/>
    <w:rsid w:val="00080acb"/>
    <w:pPr/>
    <w:rPr>
      <w:rFonts w:ascii="Tahoma" w:hAnsi="Tahoma" w:cs="Tahoma"/>
      <w:sz w:val="16"/>
      <w:szCs w:val="16"/>
    </w:rPr>
  </w:style>
  <w:style w:type="paragraph" w:styleId="BodyText2">
    <w:name w:val="Body Text 2"/>
    <w:basedOn w:val="Normal"/>
    <w:qFormat/>
    <w:rsid w:val="006257f9"/>
    <w:pPr>
      <w:widowControl/>
      <w:spacing w:lineRule="auto" w:line="480" w:before="0" w:after="120"/>
    </w:pPr>
    <w:rPr>
      <w:sz w:val="24"/>
      <w:szCs w:val="24"/>
    </w:rPr>
  </w:style>
  <w:style w:type="paragraph" w:styleId="Style25" w:customStyle="1">
    <w:name w:val="Колонтитул"/>
    <w:basedOn w:val="Normal"/>
    <w:qFormat/>
    <w:pPr/>
    <w:rPr/>
  </w:style>
  <w:style w:type="paragraph" w:styleId="Footer">
    <w:name w:val="Footer"/>
    <w:basedOn w:val="Normal"/>
    <w:link w:val="Style15"/>
    <w:uiPriority w:val="99"/>
    <w:rsid w:val="008b02a1"/>
    <w:pPr>
      <w:tabs>
        <w:tab w:val="clear" w:pos="708"/>
        <w:tab w:val="center" w:pos="4677" w:leader="none"/>
        <w:tab w:val="right" w:pos="9355" w:leader="none"/>
      </w:tabs>
    </w:pPr>
    <w:rPr/>
  </w:style>
  <w:style w:type="paragraph" w:styleId="BodyText3">
    <w:name w:val="Body Text 3"/>
    <w:basedOn w:val="Normal"/>
    <w:link w:val="3"/>
    <w:qFormat/>
    <w:rsid w:val="005a0965"/>
    <w:pPr>
      <w:spacing w:before="0" w:after="120"/>
    </w:pPr>
    <w:rPr>
      <w:sz w:val="16"/>
      <w:szCs w:val="16"/>
      <w:lang w:val="x-none" w:eastAsia="x-none"/>
    </w:rPr>
  </w:style>
  <w:style w:type="paragraph" w:styleId="Annotationtext">
    <w:name w:val="annotation text"/>
    <w:basedOn w:val="Normal"/>
    <w:link w:val="Style8"/>
    <w:qFormat/>
    <w:rsid w:val="00d36934"/>
    <w:pPr/>
    <w:rPr/>
  </w:style>
  <w:style w:type="paragraph" w:styleId="Annotationsubject">
    <w:name w:val="annotation subject"/>
    <w:basedOn w:val="Annotationtext"/>
    <w:next w:val="Annotationtext"/>
    <w:link w:val="Style9"/>
    <w:qFormat/>
    <w:rsid w:val="00d36934"/>
    <w:pPr/>
    <w:rPr>
      <w:b/>
      <w:bCs/>
      <w:lang w:val="x-none" w:eastAsia="x-none"/>
    </w:rPr>
  </w:style>
  <w:style w:type="paragraph" w:styleId="ListParagraph">
    <w:name w:val="List Paragraph"/>
    <w:basedOn w:val="Normal"/>
    <w:link w:val="Style17"/>
    <w:uiPriority w:val="34"/>
    <w:qFormat/>
    <w:rsid w:val="00ec6e7d"/>
    <w:pPr>
      <w:spacing w:before="0" w:after="0"/>
      <w:ind w:hanging="0" w:left="720"/>
      <w:contextualSpacing/>
    </w:pPr>
    <w:rPr/>
  </w:style>
  <w:style w:type="paragraph" w:styleId="Style26" w:customStyle="1">
    <w:name w:val="Знак Знак Знак Знак Знак Знак Знак Знак Знак"/>
    <w:basedOn w:val="Normal"/>
    <w:uiPriority w:val="99"/>
    <w:qFormat/>
    <w:rsid w:val="00d31bfd"/>
    <w:pPr>
      <w:widowControl/>
      <w:spacing w:lineRule="exact" w:line="240" w:before="0" w:after="160"/>
      <w:jc w:val="both"/>
    </w:pPr>
    <w:rPr>
      <w:rFonts w:ascii="Verdana" w:hAnsi="Verdana"/>
      <w:sz w:val="22"/>
      <w:lang w:val="en-US" w:eastAsia="en-US"/>
    </w:rPr>
  </w:style>
  <w:style w:type="paragraph" w:styleId="Style27" w:customStyle="1">
    <w:name w:val="Подпункт договора"/>
    <w:basedOn w:val="Normal"/>
    <w:qFormat/>
    <w:rsid w:val="00d31bfd"/>
    <w:pPr>
      <w:widowControl/>
      <w:tabs>
        <w:tab w:val="clear" w:pos="708"/>
        <w:tab w:val="left" w:pos="360" w:leader="none"/>
      </w:tabs>
      <w:jc w:val="both"/>
    </w:pPr>
    <w:rPr>
      <w:rFonts w:ascii="Arial" w:hAnsi="Arial"/>
    </w:rPr>
  </w:style>
  <w:style w:type="paragraph" w:styleId="ConsNormal" w:customStyle="1">
    <w:name w:val="ConsNormal"/>
    <w:qFormat/>
    <w:rsid w:val="00b53021"/>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BodyTextIndent">
    <w:name w:val="Body Text Indent"/>
    <w:basedOn w:val="Normal"/>
    <w:link w:val="Style10"/>
    <w:rsid w:val="00e00bca"/>
    <w:pPr>
      <w:spacing w:before="0" w:after="120"/>
      <w:ind w:hanging="0" w:left="283"/>
    </w:pPr>
    <w:rPr/>
  </w:style>
  <w:style w:type="paragraph" w:styleId="Style28" w:customStyle="1">
    <w:name w:val="Знак"/>
    <w:basedOn w:val="Normal"/>
    <w:qFormat/>
    <w:rsid w:val="00d562c0"/>
    <w:pPr>
      <w:widowControl/>
      <w:spacing w:lineRule="exact" w:line="240" w:before="0" w:after="160"/>
    </w:pPr>
    <w:rPr>
      <w:rFonts w:ascii="Verdana" w:hAnsi="Verdana" w:cs="Verdana"/>
      <w:lang w:val="en-US" w:eastAsia="en-US"/>
    </w:rPr>
  </w:style>
  <w:style w:type="paragraph" w:styleId="FootnoteText">
    <w:name w:val="Footnote Text"/>
    <w:basedOn w:val="Normal"/>
    <w:link w:val="Style12"/>
    <w:rsid w:val="00f47c6a"/>
    <w:pPr/>
    <w:rPr/>
  </w:style>
  <w:style w:type="paragraph" w:styleId="ListBullet3">
    <w:name w:val="List Bullet 3"/>
    <w:basedOn w:val="Normal"/>
    <w:uiPriority w:val="99"/>
    <w:unhideWhenUsed/>
    <w:qFormat/>
    <w:rsid w:val="00fa3bf9"/>
    <w:pPr>
      <w:widowControl/>
      <w:tabs>
        <w:tab w:val="clear" w:pos="708"/>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fa3bf9"/>
    <w:pPr>
      <w:widowControl/>
      <w:tabs>
        <w:tab w:val="clear" w:pos="708"/>
        <w:tab w:val="left" w:pos="851" w:leader="none"/>
      </w:tabs>
      <w:spacing w:lineRule="auto" w:line="360"/>
      <w:ind w:hanging="851" w:left="851"/>
      <w:jc w:val="both"/>
    </w:pPr>
    <w:rPr>
      <w:rFonts w:eastAsia="Calibri"/>
      <w:sz w:val="28"/>
      <w:szCs w:val="28"/>
    </w:rPr>
  </w:style>
  <w:style w:type="paragraph" w:styleId="DocumentMap">
    <w:name w:val="Document Map"/>
    <w:basedOn w:val="Normal"/>
    <w:semiHidden/>
    <w:qFormat/>
    <w:rsid w:val="00936d2a"/>
    <w:pPr>
      <w:shd w:val="clear" w:color="auto" w:fill="000080"/>
    </w:pPr>
    <w:rPr>
      <w:rFonts w:ascii="Tahoma" w:hAnsi="Tahoma" w:cs="Tahoma"/>
    </w:rPr>
  </w:style>
  <w:style w:type="paragraph" w:styleId="Revision">
    <w:name w:val="Revision"/>
    <w:uiPriority w:val="99"/>
    <w:semiHidden/>
    <w:qFormat/>
    <w:rsid w:val="00f2582e"/>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4"/>
    <w:uiPriority w:val="99"/>
    <w:rsid w:val="000449a5"/>
    <w:pPr>
      <w:tabs>
        <w:tab w:val="clear" w:pos="708"/>
        <w:tab w:val="center" w:pos="4677" w:leader="none"/>
        <w:tab w:val="right" w:pos="9355" w:leader="none"/>
      </w:tabs>
    </w:pPr>
    <w:rPr/>
  </w:style>
  <w:style w:type="paragraph" w:styleId="Style29" w:customStyle="1">
    <w:name w:val="Пункт договора"/>
    <w:basedOn w:val="Normal"/>
    <w:qFormat/>
    <w:rsid w:val="00e65842"/>
    <w:pPr>
      <w:jc w:val="both"/>
    </w:pPr>
    <w:rPr>
      <w:rFonts w:ascii="Arial" w:hAnsi="Arial"/>
    </w:rPr>
  </w:style>
  <w:style w:type="paragraph" w:styleId="12" w:customStyle="1">
    <w:name w:val="Знак Знак Знак Знак Знак Знак Знак Знак Знак1"/>
    <w:basedOn w:val="Normal"/>
    <w:qFormat/>
    <w:rsid w:val="007d41d8"/>
    <w:pPr>
      <w:widowControl/>
      <w:spacing w:lineRule="exact" w:line="240" w:before="0" w:after="160"/>
      <w:jc w:val="both"/>
    </w:pPr>
    <w:rPr>
      <w:rFonts w:ascii="Verdana" w:hAnsi="Verdana"/>
      <w:sz w:val="22"/>
      <w:lang w:val="en-US" w:eastAsia="en-US"/>
    </w:rPr>
  </w:style>
  <w:style w:type="paragraph" w:styleId="13" w:customStyle="1">
    <w:name w:val="Обычный1"/>
    <w:qFormat/>
    <w:rsid w:val="0073039c"/>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ConsPlusNormal" w:customStyle="1">
    <w:name w:val="ConsPlusNormal"/>
    <w:qFormat/>
    <w:rsid w:val="00a510bb"/>
    <w:pPr>
      <w:widowControl w:val="false"/>
      <w:suppressAutoHyphens w:val="true"/>
      <w:bidi w:val="0"/>
      <w:spacing w:before="0" w:after="0"/>
      <w:jc w:val="left"/>
    </w:pPr>
    <w:rPr>
      <w:rFonts w:ascii="Calibri" w:hAnsi="Calibri" w:eastAsia="Times New Roman" w:cs="Calibri"/>
      <w:color w:val="auto"/>
      <w:kern w:val="0"/>
      <w:sz w:val="22"/>
      <w:szCs w:val="20"/>
      <w:lang w:val="ru-RU" w:eastAsia="ru-RU" w:bidi="ar-SA"/>
    </w:rPr>
  </w:style>
  <w:style w:type="paragraph" w:styleId="NormalWeb">
    <w:name w:val="Normal (Web)"/>
    <w:basedOn w:val="Normal"/>
    <w:uiPriority w:val="99"/>
    <w:unhideWhenUsed/>
    <w:qFormat/>
    <w:rsid w:val="003e7f9e"/>
    <w:pPr>
      <w:widowControl/>
      <w:spacing w:beforeAutospacing="1" w:afterAutospacing="1"/>
    </w:pPr>
    <w:rPr>
      <w:sz w:val="24"/>
      <w:szCs w:val="24"/>
    </w:rPr>
  </w:style>
  <w:style w:type="paragraph" w:styleId="Style30" w:customStyle="1">
    <w:name w:val="Содержимое таблицы"/>
    <w:basedOn w:val="Normal"/>
    <w:qFormat/>
    <w:pPr>
      <w:suppressLineNumbers/>
    </w:pPr>
    <w:rPr/>
  </w:style>
  <w:style w:type="paragraph" w:styleId="Style31" w:customStyle="1">
    <w:name w:val="Заголовок таблицы"/>
    <w:basedOn w:val="Style30"/>
    <w:qFormat/>
    <w:pPr>
      <w:jc w:val="center"/>
    </w:pPr>
    <w:rPr>
      <w:b/>
      <w:bCs/>
    </w:rPr>
  </w:style>
  <w:style w:type="paragraph" w:styleId="Style32" w:customStyle="1">
    <w:name w:val="Текст в заданном формате"/>
    <w:basedOn w:val="Normal"/>
    <w:qFormat/>
    <w:pPr/>
    <w:rPr>
      <w:rFonts w:ascii="Liberation Mono" w:hAnsi="Liberation Mono" w:eastAsia="Liberation Mono" w:cs="Liberation Mono"/>
    </w:rPr>
  </w:style>
  <w:style w:type="paragraph" w:styleId="Style33" w:customStyle="1">
    <w:name w:val="Таблица шапка"/>
    <w:basedOn w:val="Normal"/>
    <w:qFormat/>
    <w:pPr>
      <w:keepNext w:val="true"/>
      <w:spacing w:before="40" w:after="40"/>
      <w:ind w:hanging="0" w:left="57" w:right="57"/>
    </w:pPr>
    <w:rPr>
      <w:sz w:val="22"/>
      <w:szCs w:val="26"/>
    </w:rPr>
  </w:style>
  <w:style w:type="paragraph" w:styleId="-1" w:customStyle="1">
    <w:name w:val="Адрес&lt;-&gt;Дата"/>
    <w:basedOn w:val="Normal"/>
    <w:qFormat/>
    <w:pPr>
      <w:tabs>
        <w:tab w:val="clear" w:pos="708"/>
        <w:tab w:val="right" w:pos="9639" w:leader="none"/>
      </w:tabs>
      <w:spacing w:lineRule="auto" w:line="360" w:before="60" w:after="60"/>
    </w:pPr>
    <w:rPr/>
  </w:style>
  <w:style w:type="paragraph" w:styleId="Style34" w:customStyle="1">
    <w:name w:val="Жирный обычный текст"/>
    <w:basedOn w:val="Normal"/>
    <w:qFormat/>
    <w:pPr/>
    <w:rPr>
      <w:b/>
    </w:rPr>
  </w:style>
  <w:style w:type="paragraph" w:styleId="Style35" w:customStyle="1">
    <w:name w:val="Стандарт"/>
    <w:qFormat/>
    <w:pPr>
      <w:widowControl/>
      <w:suppressAutoHyphens w:val="false"/>
      <w:bidi w:val="0"/>
      <w:spacing w:lineRule="auto" w:line="276" w:before="0" w:after="0"/>
      <w:jc w:val="both"/>
    </w:pPr>
    <w:rPr>
      <w:rFonts w:ascii="Arial" w:hAnsi="Arial" w:eastAsia="Calibri" w:cs="Arial"/>
      <w:color w:val="auto"/>
      <w:kern w:val="0"/>
      <w:sz w:val="22"/>
      <w:szCs w:val="22"/>
      <w:lang w:val="ru-RU" w:eastAsia="en-US" w:bidi="ar-SA"/>
    </w:rPr>
  </w:style>
  <w:style w:type="paragraph" w:styleId="Caption1111111" w:customStyle="1">
    <w:name w:val="caption1111111"/>
    <w:basedOn w:val="Normal"/>
    <w:qFormat/>
    <w:pPr>
      <w:spacing w:before="120" w:after="120"/>
    </w:pPr>
    <w:rPr>
      <w:i/>
      <w:iCs/>
      <w:sz w:val="24"/>
      <w:szCs w:val="24"/>
    </w:rPr>
  </w:style>
  <w:style w:type="paragraph" w:styleId="Caption111111" w:customStyle="1">
    <w:name w:val="caption111111"/>
    <w:basedOn w:val="Normal"/>
    <w:qFormat/>
    <w:pPr>
      <w:spacing w:before="120" w:after="120"/>
    </w:pPr>
    <w:rPr>
      <w:rFonts w:cs="Arial Unicode MS"/>
      <w:i/>
      <w:iCs/>
      <w:sz w:val="24"/>
      <w:szCs w:val="24"/>
    </w:rPr>
  </w:style>
  <w:style w:type="paragraph" w:styleId="NoSpacing">
    <w:name w:val="No Spacing"/>
    <w:qFormat/>
    <w:pPr>
      <w:widowControl/>
      <w:suppressAutoHyphens w:val="true"/>
      <w:bidi w:val="0"/>
      <w:spacing w:before="0" w:after="0"/>
      <w:jc w:val="left"/>
    </w:pPr>
    <w:rPr>
      <w:rFonts w:ascii="Calibri" w:hAnsi="Calibri" w:eastAsia="Calibri" w:cs="Times New Roman"/>
      <w:color w:val="auto"/>
      <w:kern w:val="0"/>
      <w:sz w:val="22"/>
      <w:szCs w:val="22"/>
      <w:lang w:val="ru-RU" w:eastAsia="en-US" w:bidi="ar-SA"/>
    </w:rPr>
  </w:style>
  <w:style w:type="paragraph" w:styleId="Style36" w:customStyle="1">
    <w:name w:val="Раздел положения"/>
    <w:basedOn w:val="Normal"/>
    <w:qFormat/>
    <w:pPr/>
    <w:rPr/>
  </w:style>
  <w:style w:type="paragraph" w:styleId="Caption111112" w:customStyle="1">
    <w:name w:val="caption111112"/>
    <w:basedOn w:val="Normal"/>
    <w:qFormat/>
    <w:pPr>
      <w:spacing w:before="120" w:after="120"/>
    </w:pPr>
    <w:rPr>
      <w:i/>
      <w:iCs/>
      <w:sz w:val="24"/>
      <w:szCs w:val="24"/>
    </w:rPr>
  </w:style>
  <w:style w:type="numbering" w:styleId="NoList" w:default="1">
    <w:name w:val="No List"/>
    <w:uiPriority w:val="99"/>
    <w:semiHidden/>
    <w:unhideWhenUsed/>
    <w:qFormat/>
  </w:style>
  <w:style w:type="numbering" w:styleId="123" w:customStyle="1">
    <w:name w:val="Нумерованный 123"/>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f9">
    <w:name w:val="Table Grid"/>
    <w:basedOn w:val="a1"/>
    <w:uiPriority w:val="39"/>
    <w:rsid w:val="00084bd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header" Target="header6.xml"/><Relationship Id="rId11" Type="http://schemas.openxmlformats.org/officeDocument/2006/relationships/header" Target="header7.xml"/><Relationship Id="rId12" Type="http://schemas.openxmlformats.org/officeDocument/2006/relationships/footer" Target="footer1.xml"/><Relationship Id="rId13" Type="http://schemas.openxmlformats.org/officeDocument/2006/relationships/hyperlink" Target="http://www.cbr.ru/" TargetMode="External"/><Relationship Id="rId14" Type="http://schemas.openxmlformats.org/officeDocument/2006/relationships/header" Target="header8.xml"/><Relationship Id="rId15" Type="http://schemas.openxmlformats.org/officeDocument/2006/relationships/header" Target="header9.xml"/><Relationship Id="rId16" Type="http://schemas.openxmlformats.org/officeDocument/2006/relationships/footer" Target="footer2.xml"/><Relationship Id="rId17" Type="http://schemas.openxmlformats.org/officeDocument/2006/relationships/footer" Target="footer3.xml"/><Relationship Id="rId18" Type="http://schemas.openxmlformats.org/officeDocument/2006/relationships/hyperlink" Target="http://www.cbr.ru/" TargetMode="External"/><Relationship Id="rId19" Type="http://schemas.openxmlformats.org/officeDocument/2006/relationships/header" Target="header10.xml"/><Relationship Id="rId20" Type="http://schemas.openxmlformats.org/officeDocument/2006/relationships/header" Target="header11.xml"/><Relationship Id="rId21" Type="http://schemas.openxmlformats.org/officeDocument/2006/relationships/footer" Target="footer4.xml"/><Relationship Id="rId22" Type="http://schemas.openxmlformats.org/officeDocument/2006/relationships/footer" Target="footer5.xml"/><Relationship Id="rId23" Type="http://schemas.openxmlformats.org/officeDocument/2006/relationships/footnotes" Target="footnotes.xml"/><Relationship Id="rId24" Type="http://schemas.openxmlformats.org/officeDocument/2006/relationships/numbering" Target="numbering.xml"/><Relationship Id="rId25" Type="http://schemas.openxmlformats.org/officeDocument/2006/relationships/fontTable" Target="fontTable.xml"/><Relationship Id="rId26" Type="http://schemas.openxmlformats.org/officeDocument/2006/relationships/settings" Target="settings.xml"/><Relationship Id="rId27" Type="http://schemas.openxmlformats.org/officeDocument/2006/relationships/theme" Target="theme/theme1.xml"/><Relationship Id="rId28" Type="http://schemas.openxmlformats.org/officeDocument/2006/relationships/customXml" Target="../customXml/item1.xml"/><Relationship Id="rId29" Type="http://schemas.openxmlformats.org/officeDocument/2006/relationships/customXml" Target="../customXml/item2.xml"/><Relationship Id="rId30" Type="http://schemas.openxmlformats.org/officeDocument/2006/relationships/customXml" Target="../customXml/item3.xml"/><Relationship Id="rId31" Type="http://schemas.openxmlformats.org/officeDocument/2006/relationships/customXml" Target="../customXml/item4.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F4B0BAB9-8B8F-4B85-B8DF-266ED50E1B2E}">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4.xml><?xml version="1.0" encoding="utf-8"?>
<ds:datastoreItem xmlns:ds="http://schemas.openxmlformats.org/officeDocument/2006/customXml" ds:itemID="{10AE4478-9CFA-4EE5-B4E2-B75263EDA3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Application>AlterOffice/2026.2.0.0$Linux_X86_64 LibreOffice_project/bc4ef1adf80b36c7a6365f8ed6cbf29021361edd</Application>
  <AppVersion>15.0000</AppVersion>
  <Pages>26</Pages>
  <Words>8402</Words>
  <Characters>59239</Characters>
  <CharactersWithSpaces>67975</CharactersWithSpaces>
  <Paragraphs>446</Paragraphs>
  <Company>Inter RAO UES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2026-08-25T11:47:00Z</dcterms:created>
  <dc:creator>tsypilev_ag</dc:creator>
  <dc:description/>
  <dc:language>ru-RU</dc:language>
  <cp:lastModifiedBy>masterinnn@corp.gidroogk.com</cp:lastModifiedBy>
  <cp:lastPrinted>2023-03-06T07:59:00Z</cp:lastPrinted>
  <dcterms:modified xsi:type="dcterms:W3CDTF">2026-09-16T08:18:52Z</dcterms:modified>
  <cp:revision>7</cp:revision>
  <dc:subject/>
  <dc:title>Договор № _________</dc:title>
</cp:coreProperties>
</file>

<file path=docProps/custom.xml><?xml version="1.0" encoding="utf-8"?>
<Properties xmlns="http://schemas.openxmlformats.org/officeDocument/2006/custom-properties" xmlns:vt="http://schemas.openxmlformats.org/officeDocument/2006/docPropsVTypes"/>
</file>