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ОКПД2 28.92.61.120</w:t>
      </w:r>
      <w:r>
        <w:rPr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color w:val="auto"/>
          <w:kern w:val="0"/>
          <w:sz w:val="24"/>
          <w:szCs w:val="24"/>
          <w:lang w:val="ru-RU" w:eastAsia="ru-RU" w:bidi="ar-SA"/>
        </w:rPr>
        <w:t>По</w:t>
      </w:r>
      <w:r>
        <w:rPr>
          <w:b/>
          <w:bCs/>
          <w:sz w:val="24"/>
          <w:szCs w:val="24"/>
        </w:rPr>
        <w:t xml:space="preserve">ставка </w:t>
      </w:r>
      <w:r>
        <w:rPr>
          <w:b/>
          <w:bCs/>
          <w:sz w:val="24"/>
          <w:szCs w:val="24"/>
        </w:rPr>
        <w:t>запасных частей для ремонта ходовой части</w:t>
      </w:r>
      <w:r>
        <w:rPr>
          <w:b/>
          <w:bCs/>
          <w:sz w:val="24"/>
          <w:szCs w:val="24"/>
        </w:rPr>
        <w:t xml:space="preserve"> экскаватора  HYUNDAI R210LC-7 для нужд Загорского строительного участка Центрального филиала АО «ТК РусГидро».</w:t>
      </w:r>
      <w:bookmarkStart w:id="0" w:name="_GoBack"/>
      <w:bookmarkEnd w:id="0"/>
    </w:p>
    <w:p>
      <w:pPr>
        <w:pStyle w:val="Normal"/>
        <w:keepNext w:val="true"/>
        <w:keepLines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i/>
          <w:i/>
          <w:sz w:val="24"/>
          <w:szCs w:val="24"/>
        </w:rPr>
      </w:pPr>
      <w:r>
        <w:rPr>
          <w:rFonts w:eastAsia="Calibri"/>
          <w:i/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jc w:val="center"/>
        <w:rPr/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"1-3"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_RefHeading___Toc1139_1913739647">
            <w:r>
              <w:rPr>
                <w:webHidden/>
                <w:rStyle w:val="Style14"/>
                <w:vanish w:val="false"/>
              </w:rPr>
              <w:t>1. Общие сведения</w:t>
              <w:tab/>
              <w:t>3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1141_1913739647">
            <w:r>
              <w:rPr>
                <w:webHidden/>
                <w:rStyle w:val="Style14"/>
                <w:vanish w:val="false"/>
              </w:rPr>
              <w:t>2. Требования к продукции</w:t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1143_1913739647">
            <w:r>
              <w:rPr>
                <w:webHidden/>
                <w:rStyle w:val="Style14"/>
                <w:vanish w:val="false"/>
              </w:rPr>
              <w:t>2.1.1. Перечень и объем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1145_1913739647">
            <w:r>
              <w:rPr>
                <w:webHidden/>
                <w:rStyle w:val="Style14"/>
                <w:vanish w:val="false"/>
              </w:rPr>
              <w:t>Таблица 1.1 Перечень и объем закупаемой продукции</w:t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1147_1913739647">
            <w:r>
              <w:rPr>
                <w:webHidden/>
                <w:rStyle w:val="Style14"/>
                <w:vanish w:val="false"/>
              </w:rPr>
              <w:t>2.1.2. Требования к срокам поставки продукции и оказания сопутствующих услуг</w:t>
              <w:tab/>
              <w:t>3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1149_1913739647">
            <w:r>
              <w:rPr>
                <w:webHidden/>
                <w:rStyle w:val="Style14"/>
                <w:vanish w:val="false"/>
              </w:rPr>
              <w:t>Таблица 2.1 Требования по срокам поставки продукции</w:t>
              <w:tab/>
              <w:t>3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1151_1913739647">
            <w:r>
              <w:rPr>
                <w:webHidden/>
                <w:rStyle w:val="Style14"/>
                <w:vanish w:val="false"/>
              </w:rPr>
              <w:t xml:space="preserve"> </w:t>
            </w:r>
            <w:r>
              <w:rPr>
                <w:rStyle w:val="Style14"/>
              </w:rPr>
              <w:t>Таблица 3. Требования к продукции</w:t>
              <w:tab/>
              <w:t>4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1153_1913739647">
            <w:r>
              <w:rPr>
                <w:webHidden/>
                <w:rStyle w:val="Style14"/>
                <w:vanish w:val="false"/>
              </w:rPr>
              <w:t>3. Требования к документации по ценообразованию на этапе закупки</w:t>
              <w:tab/>
              <w:t>6</w:t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TOC1"/>
        <w:rPr>
          <w:rFonts w:ascii="Calibri" w:hAnsi="Calibri" w:eastAsia="新細明體" w:cs="Arial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新細明體" w:cs="Arial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Normal"/>
        <w:jc w:val="center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0" w:left="0"/>
        <w:jc w:val="both"/>
        <w:rPr>
          <w:caps/>
        </w:rPr>
      </w:pPr>
      <w:bookmarkStart w:id="1" w:name="__RefHeading___Toc1139_1913739647"/>
      <w:bookmarkStart w:id="2" w:name="_Toc190176008"/>
      <w:bookmarkStart w:id="3" w:name="_Toc51339692"/>
      <w:bookmarkEnd w:id="1"/>
      <w:r>
        <w:rPr/>
        <w:t>Общие сведения</w:t>
      </w:r>
      <w:bookmarkEnd w:id="2"/>
      <w:bookmarkEnd w:id="3"/>
    </w:p>
    <w:p>
      <w:pPr>
        <w:pStyle w:val="Heading4"/>
        <w:numPr>
          <w:ilvl w:val="1"/>
          <w:numId w:val="3"/>
        </w:numPr>
        <w:ind w:hanging="432" w:left="432"/>
        <w:rPr/>
      </w:pPr>
      <w:r>
        <w:rPr/>
        <w:t>Наименование закупаемой продукции</w:t>
      </w:r>
    </w:p>
    <w:p>
      <w:pPr>
        <w:pStyle w:val="Normal"/>
        <w:keepNext w:val="true"/>
        <w:keepLines/>
        <w:jc w:val="center"/>
        <w:rPr>
          <w:b w:val="false"/>
          <w:bCs w:val="false"/>
        </w:rPr>
      </w:pPr>
      <w:r>
        <w:rPr>
          <w:rFonts w:eastAsia="Calibri"/>
          <w:b w:val="false"/>
          <w:bCs w:val="false"/>
          <w:sz w:val="24"/>
          <w:szCs w:val="24"/>
          <w:lang w:eastAsia="x-none"/>
        </w:rPr>
        <w:t xml:space="preserve">ОКПД2 28.92.61.120 </w:t>
      </w:r>
      <w:r>
        <w:rPr>
          <w:rFonts w:eastAsia="Times New Roman" w:cs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>По</w:t>
      </w:r>
      <w:r>
        <w:rPr>
          <w:rFonts w:eastAsia="Calibri"/>
          <w:b w:val="false"/>
          <w:bCs w:val="false"/>
          <w:sz w:val="24"/>
          <w:szCs w:val="24"/>
          <w:lang w:eastAsia="x-none"/>
        </w:rPr>
        <w:t xml:space="preserve">ставка </w:t>
      </w:r>
      <w:r>
        <w:rPr>
          <w:rFonts w:eastAsia="Calibri"/>
          <w:b w:val="false"/>
          <w:bCs w:val="false"/>
          <w:sz w:val="24"/>
          <w:szCs w:val="24"/>
          <w:lang w:eastAsia="x-none"/>
        </w:rPr>
        <w:t>запасных частей для ремонта ходовой части</w:t>
      </w:r>
      <w:r>
        <w:rPr>
          <w:rFonts w:eastAsia="Calibri"/>
          <w:b w:val="false"/>
          <w:bCs w:val="false"/>
          <w:sz w:val="24"/>
          <w:szCs w:val="24"/>
          <w:lang w:eastAsia="x-none"/>
        </w:rPr>
        <w:t xml:space="preserve"> экскаватора  HYUNDAI R210LC-7 для нужд Загорского строительного участка Центрального филиала АО «ТК РусГидро».</w:t>
      </w:r>
      <w:bookmarkStart w:id="4" w:name="_GoBack_Копия_1"/>
      <w:bookmarkEnd w:id="4"/>
    </w:p>
    <w:p>
      <w:pPr>
        <w:pStyle w:val="Heading4"/>
        <w:numPr>
          <w:ilvl w:val="1"/>
          <w:numId w:val="3"/>
        </w:numPr>
        <w:ind w:hanging="432" w:left="432"/>
        <w:rPr/>
      </w:pPr>
      <w:bookmarkStart w:id="5" w:name="_Toc46743507"/>
      <w:r>
        <w:rPr/>
        <w:t xml:space="preserve">Цель </w:t>
      </w:r>
      <w:bookmarkEnd w:id="5"/>
      <w:r>
        <w:rPr/>
        <w:t xml:space="preserve">использования закупаемой продукции </w:t>
      </w:r>
    </w:p>
    <w:p>
      <w:pPr>
        <w:pStyle w:val="Normal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rStyle w:val="Style8"/>
          <w:b w:val="false"/>
          <w:i w:val="false"/>
          <w:sz w:val="24"/>
          <w:szCs w:val="24"/>
          <w:shd w:fill="auto" w:val="clear"/>
        </w:rPr>
        <w:t>Для проведения восстановительного ремонта э</w:t>
      </w:r>
      <w:r>
        <w:rPr>
          <w:rStyle w:val="Style8"/>
          <w:rFonts w:eastAsia="Calibri"/>
          <w:b w:val="false"/>
          <w:i w:val="false"/>
          <w:sz w:val="24"/>
          <w:szCs w:val="24"/>
          <w:shd w:fill="auto" w:val="clear"/>
          <w:lang w:eastAsia="x-none"/>
        </w:rPr>
        <w:t xml:space="preserve">кскаватора  HYUNDAI R210LC-7 г.н. 19 ХА 1255 </w:t>
      </w:r>
      <w:r>
        <w:rPr>
          <w:rStyle w:val="Style8"/>
          <w:b w:val="false"/>
          <w:i w:val="false"/>
          <w:sz w:val="24"/>
          <w:szCs w:val="24"/>
          <w:shd w:fill="auto" w:val="clear"/>
        </w:rPr>
        <w:t xml:space="preserve"> VIN HHKHN606LC000G324, Загорского строительного участка. </w:t>
      </w:r>
    </w:p>
    <w:p>
      <w:pPr>
        <w:pStyle w:val="Heading4"/>
        <w:numPr>
          <w:ilvl w:val="1"/>
          <w:numId w:val="3"/>
        </w:numPr>
        <w:ind w:hanging="0" w:left="0"/>
        <w:rPr/>
      </w:pPr>
      <w:bookmarkStart w:id="6" w:name="_Hlk49857604"/>
      <w:bookmarkStart w:id="7" w:name="_Toc46743509"/>
      <w:r>
        <w:rPr/>
        <w:t xml:space="preserve">Информация в отношении исполнения договора, </w:t>
      </w:r>
      <w:bookmarkStart w:id="8" w:name="_Hlk46492347"/>
      <w:r>
        <w:rPr/>
        <w:t xml:space="preserve">которая должна быть учтена при подготовке заявки </w:t>
      </w:r>
      <w:bookmarkEnd w:id="8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6"/>
      <w:bookmarkEnd w:id="7"/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1.3.1 Товар должен соответствовать требованиям, установленным настоящими Техническими требованиями (далее ТТ).</w:t>
      </w:r>
    </w:p>
    <w:p>
      <w:pPr>
        <w:pStyle w:val="Heading4"/>
        <w:numPr>
          <w:ilvl w:val="1"/>
          <w:numId w:val="3"/>
        </w:numPr>
        <w:ind w:hanging="432" w:left="432"/>
        <w:rPr/>
      </w:pPr>
      <w:bookmarkStart w:id="9" w:name="_Hlk48209761"/>
      <w:bookmarkEnd w:id="9"/>
      <w:r>
        <w:rPr/>
        <w:t>Иные требования и сведения общего характера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1.4.1 Продукция должна быть не бывшая в употреблении, не прошедшей ремонт, в том числе восстановление и замену составных частей, восстановление потребительских свойств. 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Год изготовления товара – не ранее 2025 г.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numPr>
          <w:ilvl w:val="0"/>
          <w:numId w:val="3"/>
        </w:numPr>
        <w:ind w:hanging="0" w:left="0"/>
        <w:rPr>
          <w:caps/>
          <w:lang w:val="ru-RU"/>
        </w:rPr>
      </w:pPr>
      <w:bookmarkStart w:id="10" w:name="__RefHeading___Toc1141_1913739647"/>
      <w:bookmarkStart w:id="11" w:name="_Toc51339693"/>
      <w:bookmarkStart w:id="12" w:name="_Toc124170681"/>
      <w:bookmarkStart w:id="13" w:name="_Toc190176009"/>
      <w:bookmarkEnd w:id="10"/>
      <w:r>
        <w:rPr/>
        <w:t>Требования к продукции</w:t>
      </w:r>
      <w:bookmarkEnd w:id="11"/>
      <w:bookmarkEnd w:id="12"/>
      <w:bookmarkEnd w:id="13"/>
    </w:p>
    <w:p>
      <w:pPr>
        <w:pStyle w:val="Heading4"/>
        <w:numPr>
          <w:ilvl w:val="1"/>
          <w:numId w:val="3"/>
        </w:numPr>
        <w:ind w:hanging="0" w:left="432"/>
        <w:rPr/>
      </w:pPr>
      <w:r>
        <w:rPr/>
        <w:t xml:space="preserve">Требования к объемам и срокам </w:t>
      </w:r>
      <w:r>
        <w:rPr>
          <w:lang w:val="ru-RU"/>
        </w:rPr>
        <w:t>поставки</w:t>
      </w:r>
    </w:p>
    <w:p>
      <w:pPr>
        <w:pStyle w:val="Heading3"/>
        <w:numPr>
          <w:ilvl w:val="2"/>
          <w:numId w:val="3"/>
        </w:numPr>
        <w:ind w:hanging="0" w:left="0"/>
        <w:rPr/>
      </w:pPr>
      <w:bookmarkStart w:id="14" w:name="__RefHeading___Toc1143_1913739647"/>
      <w:bookmarkStart w:id="15" w:name="_Toc190176010"/>
      <w:bookmarkEnd w:id="14"/>
      <w:r>
        <w:rPr/>
        <w:t>Перечень и объем закупаемой продукции</w:t>
      </w:r>
      <w:bookmarkEnd w:id="15"/>
    </w:p>
    <w:p>
      <w:pPr>
        <w:pStyle w:val="Heading1"/>
        <w:tabs>
          <w:tab w:val="clear" w:pos="0"/>
        </w:tabs>
        <w:ind w:hanging="0" w:left="0"/>
        <w:rPr>
          <w:sz w:val="24"/>
          <w:szCs w:val="24"/>
        </w:rPr>
      </w:pPr>
      <w:bookmarkStart w:id="16" w:name="__RefHeading___Toc1145_1913739647"/>
      <w:bookmarkStart w:id="17" w:name="_Toc190176011"/>
      <w:bookmarkStart w:id="18" w:name="_Toc51339695"/>
      <w:bookmarkEnd w:id="16"/>
      <w:r>
        <w:rPr>
          <w:sz w:val="24"/>
          <w:szCs w:val="24"/>
        </w:rPr>
        <w:t>Таблица 1.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Перечень </w:t>
      </w:r>
      <w:bookmarkEnd w:id="18"/>
      <w:r>
        <w:rPr>
          <w:sz w:val="24"/>
          <w:szCs w:val="24"/>
        </w:rPr>
        <w:t>и объем закупаемой продукции</w:t>
      </w:r>
      <w:bookmarkEnd w:id="17"/>
    </w:p>
    <w:tbl>
      <w:tblPr>
        <w:tblW w:w="10549" w:type="dxa"/>
        <w:jc w:val="left"/>
        <w:tblInd w:w="-34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77"/>
        <w:gridCol w:w="4514"/>
        <w:gridCol w:w="1268"/>
        <w:gridCol w:w="3690"/>
      </w:tblGrid>
      <w:tr>
        <w:trPr>
          <w:tblHeader w:val="true"/>
          <w:trHeight w:val="423" w:hRule="atLeast"/>
        </w:trPr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>
          <w:trHeight w:val="300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jc w:val="center"/>
              <w:rPr/>
            </w:pPr>
            <w:r>
              <w:rPr/>
            </w:r>
          </w:p>
        </w:tc>
        <w:tc>
          <w:tcPr>
            <w:tcW w:w="451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Запасные части для ремонта ходовой части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 экскаватора  HYUNDAI R210LC-7 </w:t>
            </w:r>
            <w:bookmarkStart w:id="19" w:name="_GoBack_Копия_2"/>
            <w:bookmarkEnd w:id="19"/>
            <w:r>
              <w:rPr>
                <w:b w:val="false"/>
                <w:bCs w:val="false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36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</w:tbl>
    <w:p>
      <w:pPr>
        <w:pStyle w:val="Heading3"/>
        <w:numPr>
          <w:ilvl w:val="2"/>
          <w:numId w:val="3"/>
        </w:numPr>
        <w:ind w:hanging="0" w:left="0"/>
        <w:rPr/>
      </w:pPr>
      <w:bookmarkStart w:id="20" w:name="__RefHeading___Toc1147_1913739647"/>
      <w:bookmarkStart w:id="21" w:name="_Toc190176012"/>
      <w:bookmarkStart w:id="22" w:name="_Toc51339696"/>
      <w:bookmarkEnd w:id="20"/>
      <w:r>
        <w:rPr/>
        <w:t xml:space="preserve">Требования </w:t>
      </w:r>
      <w:bookmarkEnd w:id="22"/>
      <w:r>
        <w:rPr/>
        <w:t>к срокам поставки продукции и оказания сопутствующих услуг</w:t>
      </w:r>
      <w:bookmarkEnd w:id="21"/>
    </w:p>
    <w:p>
      <w:pPr>
        <w:pStyle w:val="Heading1"/>
        <w:tabs>
          <w:tab w:val="clear" w:pos="0"/>
        </w:tabs>
        <w:ind w:hanging="0" w:left="0"/>
        <w:rPr>
          <w:sz w:val="24"/>
          <w:szCs w:val="24"/>
          <w:lang w:val="ru-RU"/>
        </w:rPr>
      </w:pPr>
      <w:bookmarkStart w:id="23" w:name="__RefHeading___Toc1149_1913739647"/>
      <w:bookmarkStart w:id="24" w:name="_Toc190176013"/>
      <w:bookmarkStart w:id="25" w:name="_Toc50125127"/>
      <w:bookmarkStart w:id="26" w:name="_Toc51339697"/>
      <w:bookmarkStart w:id="27" w:name="_Toc50125126"/>
      <w:bookmarkEnd w:id="23"/>
      <w:bookmarkEnd w:id="2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8" w:name="_Hlk50465284"/>
      <w:r>
        <w:rPr>
          <w:sz w:val="24"/>
          <w:szCs w:val="24"/>
        </w:rPr>
        <w:t xml:space="preserve">Требования по срокам </w:t>
      </w:r>
      <w:bookmarkEnd w:id="25"/>
      <w:bookmarkEnd w:id="26"/>
      <w:bookmarkEnd w:id="28"/>
      <w:r>
        <w:rPr>
          <w:sz w:val="24"/>
          <w:szCs w:val="24"/>
          <w:lang w:val="ru-RU"/>
        </w:rPr>
        <w:t>поставки продукции</w:t>
      </w:r>
      <w:bookmarkEnd w:id="24"/>
      <w:r>
        <w:rPr>
          <w:sz w:val="24"/>
          <w:szCs w:val="24"/>
          <w:lang w:val="ru-RU"/>
        </w:rPr>
        <w:t xml:space="preserve"> </w:t>
      </w:r>
    </w:p>
    <w:tbl>
      <w:tblPr>
        <w:tblW w:w="10490" w:type="dxa"/>
        <w:jc w:val="left"/>
        <w:tblInd w:w="-2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5"/>
        <w:gridCol w:w="2976"/>
        <w:gridCol w:w="2833"/>
        <w:gridCol w:w="3685"/>
      </w:tblGrid>
      <w:tr>
        <w:trPr/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п/п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 / партии продукции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поставки продукции:</w:t>
            </w:r>
          </w:p>
          <w:p>
            <w:pPr>
              <w:pStyle w:val="Normal"/>
              <w:keepNext w:val="true"/>
              <w:keepLines/>
              <w:jc w:val="center"/>
              <w:rPr/>
            </w:pPr>
            <w:r>
              <w:rPr>
                <w:rFonts w:eastAsia="Calibri"/>
                <w:b w:val="false"/>
                <w:bCs w:val="false"/>
                <w:sz w:val="24"/>
                <w:szCs w:val="24"/>
                <w:lang w:eastAsia="x-none"/>
              </w:rPr>
              <w:t xml:space="preserve">ОКПД2 28.92.61.120 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По</w:t>
            </w:r>
            <w:r>
              <w:rPr>
                <w:rFonts w:eastAsia="Calibri"/>
                <w:b w:val="false"/>
                <w:bCs w:val="false"/>
                <w:sz w:val="24"/>
                <w:szCs w:val="24"/>
                <w:lang w:eastAsia="x-none"/>
              </w:rPr>
              <w:t xml:space="preserve">ставка </w:t>
            </w:r>
            <w:r>
              <w:rPr>
                <w:rFonts w:eastAsia="Calibri"/>
                <w:b w:val="false"/>
                <w:bCs w:val="false"/>
                <w:sz w:val="24"/>
                <w:szCs w:val="24"/>
                <w:lang w:eastAsia="x-none"/>
              </w:rPr>
              <w:t>запасных частей для ремонта ходовой части</w:t>
            </w:r>
            <w:r>
              <w:rPr>
                <w:rFonts w:eastAsia="Calibri"/>
                <w:b w:val="false"/>
                <w:bCs w:val="false"/>
                <w:sz w:val="24"/>
                <w:szCs w:val="24"/>
                <w:lang w:eastAsia="x-none"/>
              </w:rPr>
              <w:t xml:space="preserve"> экскаватора  HYUNDAI R210LC-7 для нужд Загорского строительного участка Центрального филиала АО «ТК РусГидро».</w:t>
            </w:r>
            <w:bookmarkStart w:id="29" w:name="_GoBack_Копия_3"/>
            <w:bookmarkEnd w:id="29"/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внесения авансового платежа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7 (семи) календарных дней</w:t>
            </w:r>
          </w:p>
        </w:tc>
      </w:tr>
    </w:tbl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  <w:bookmarkStart w:id="30" w:name="_Toc46743510"/>
      <w:bookmarkStart w:id="31" w:name="_Toc46743510"/>
      <w:bookmarkEnd w:id="31"/>
    </w:p>
    <w:p>
      <w:pPr>
        <w:pStyle w:val="Heading4"/>
        <w:numPr>
          <w:ilvl w:val="1"/>
          <w:numId w:val="3"/>
        </w:numPr>
        <w:ind w:hanging="0" w:left="432"/>
        <w:rPr/>
      </w:pPr>
      <w:bookmarkStart w:id="32" w:name="_Toc51339698"/>
      <w:bookmarkStart w:id="33" w:name="_Toc46743511"/>
      <w:r>
        <w:rPr/>
        <w:t xml:space="preserve">Требования к </w:t>
      </w:r>
      <w:bookmarkEnd w:id="33"/>
      <w:r>
        <w:rPr/>
        <w:t>качеству продукции</w:t>
      </w:r>
    </w:p>
    <w:p>
      <w:pPr>
        <w:pStyle w:val="Heading1"/>
        <w:tabs>
          <w:tab w:val="clear" w:pos="0"/>
        </w:tabs>
        <w:ind w:hanging="0" w:left="0"/>
        <w:rPr>
          <w:sz w:val="24"/>
          <w:szCs w:val="24"/>
        </w:rPr>
      </w:pPr>
      <w:bookmarkStart w:id="34" w:name="__RefHeading___Toc1151_1913739647"/>
      <w:bookmarkEnd w:id="34"/>
      <w:r>
        <w:rPr/>
        <w:t xml:space="preserve"> </w:t>
      </w:r>
      <w:bookmarkStart w:id="35" w:name="_Toc190176014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35"/>
      <w:r>
        <w:rPr>
          <w:sz w:val="24"/>
          <w:szCs w:val="24"/>
        </w:rPr>
        <w:t xml:space="preserve"> </w:t>
      </w:r>
      <w:bookmarkEnd w:id="32"/>
    </w:p>
    <w:p>
      <w:pPr>
        <w:pStyle w:val="Normal"/>
        <w:rPr>
          <w:sz w:val="24"/>
          <w:szCs w:val="24"/>
          <w:lang w:eastAsia="x-none"/>
        </w:rPr>
      </w:pPr>
      <w:r>
        <w:rPr>
          <w:b/>
          <w:bCs/>
          <w:sz w:val="24"/>
          <w:szCs w:val="24"/>
          <w:shd w:fill="auto" w:val="clear"/>
          <w:lang w:val="ru-RU" w:eastAsia="x-none"/>
        </w:rPr>
        <w:t xml:space="preserve">Наименование услуг/этапа услуг (позиция № 1-8 Таблицы 1.1): </w:t>
      </w:r>
      <w:r>
        <w:rPr>
          <w:sz w:val="24"/>
          <w:szCs w:val="24"/>
          <w:lang w:eastAsia="x-none"/>
        </w:rPr>
        <w:t xml:space="preserve"> </w:t>
      </w:r>
      <w:r>
        <w:rPr>
          <w:rFonts w:eastAsia="Calibri"/>
          <w:b w:val="false"/>
          <w:bCs w:val="false"/>
          <w:sz w:val="24"/>
          <w:szCs w:val="24"/>
          <w:lang w:eastAsia="x-none"/>
        </w:rPr>
        <w:t xml:space="preserve">ОКПД2 28.92.61.120 </w:t>
      </w:r>
      <w:r>
        <w:rPr>
          <w:rFonts w:eastAsia="Times New Roman" w:cs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>По</w:t>
      </w:r>
      <w:r>
        <w:rPr>
          <w:rFonts w:eastAsia="Calibri"/>
          <w:b w:val="false"/>
          <w:bCs w:val="false"/>
          <w:sz w:val="24"/>
          <w:szCs w:val="24"/>
          <w:lang w:eastAsia="x-none"/>
        </w:rPr>
        <w:t xml:space="preserve">ставка </w:t>
      </w:r>
      <w:r>
        <w:rPr>
          <w:rFonts w:eastAsia="Calibri"/>
          <w:b w:val="false"/>
          <w:bCs w:val="false"/>
          <w:sz w:val="24"/>
          <w:szCs w:val="24"/>
          <w:lang w:eastAsia="x-none"/>
        </w:rPr>
        <w:t>запасных частей для ремонта ходовой части</w:t>
      </w:r>
      <w:r>
        <w:rPr>
          <w:rFonts w:eastAsia="Calibri"/>
          <w:b w:val="false"/>
          <w:bCs w:val="false"/>
          <w:sz w:val="24"/>
          <w:szCs w:val="24"/>
          <w:lang w:eastAsia="x-none"/>
        </w:rPr>
        <w:t xml:space="preserve"> экскаватора  HYUNDAI R210LC-7 для нужд Загорского строительного участка Центрального филиала АО «ТК РусГидро».</w:t>
      </w:r>
      <w:bookmarkStart w:id="36" w:name="_GoBack_Копия_4"/>
      <w:bookmarkEnd w:id="36"/>
    </w:p>
    <w:tbl>
      <w:tblPr>
        <w:tblStyle w:val="affff7"/>
        <w:tblW w:w="10632" w:type="dxa"/>
        <w:jc w:val="left"/>
        <w:tblInd w:w="-2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5"/>
        <w:gridCol w:w="2510"/>
        <w:gridCol w:w="2879"/>
        <w:gridCol w:w="1553"/>
        <w:gridCol w:w="1422"/>
        <w:gridCol w:w="1272"/>
      </w:tblGrid>
      <w:tr>
        <w:trPr/>
        <w:tc>
          <w:tcPr>
            <w:tcW w:w="99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251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87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297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2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99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51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8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5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42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2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9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5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8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5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42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2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9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1.</w:t>
            </w:r>
          </w:p>
        </w:tc>
        <w:tc>
          <w:tcPr>
            <w:tcW w:w="53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5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42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6384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42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25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Наименование детали/оборудования</w:t>
            </w: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/кол-во</w:t>
            </w:r>
          </w:p>
        </w:tc>
        <w:tc>
          <w:tcPr>
            <w:tcW w:w="2879" w:type="dxa"/>
            <w:tcBorders/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kern w:val="0"/>
                <w:sz w:val="24"/>
                <w:szCs w:val="24"/>
                <w:lang w:val="ru-RU" w:eastAsia="ru-RU" w:bidi="ar-SA"/>
              </w:rPr>
              <w:t>Запасные части для ремонта ходовой части</w:t>
            </w:r>
            <w:r>
              <w:rPr>
                <w:rFonts w:eastAsia="Times New Roman" w:cs="Times New Roman"/>
                <w:b w:val="false"/>
                <w:bCs w:val="false"/>
                <w:i/>
                <w:kern w:val="0"/>
                <w:sz w:val="24"/>
                <w:szCs w:val="24"/>
                <w:lang w:val="ru-RU" w:eastAsia="ru-RU" w:bidi="ar-SA"/>
              </w:rPr>
              <w:t xml:space="preserve"> экскаватора  HYUNDAI </w:t>
            </w:r>
            <w:r>
              <w:rPr>
                <w:rFonts w:eastAsia="Calibri" w:cs="Times New Roman"/>
                <w:b w:val="false"/>
                <w:bCs w:val="false"/>
                <w:i/>
                <w:kern w:val="0"/>
                <w:sz w:val="24"/>
                <w:szCs w:val="24"/>
                <w:lang w:val="ru-RU" w:eastAsia="x-none" w:bidi="ar-SA"/>
              </w:rPr>
              <w:t>R210LC-7</w:t>
            </w:r>
            <w:r>
              <w:rPr>
                <w:rFonts w:eastAsia="Calibri" w:cs="Times New Roman"/>
                <w:b w:val="false"/>
                <w:bCs w:val="false"/>
                <w:i/>
                <w:kern w:val="0"/>
                <w:sz w:val="24"/>
                <w:szCs w:val="24"/>
                <w:lang w:val="ru-RU" w:eastAsia="x-none" w:bidi="ar-SA"/>
              </w:rPr>
              <w:t>(комплект)</w:t>
            </w:r>
            <w:r>
              <w:rPr>
                <w:rFonts w:eastAsia="Times New Roman" w:cs="Times New Roman"/>
                <w:b w:val="false"/>
                <w:bCs w:val="false"/>
                <w:i/>
                <w:kern w:val="0"/>
                <w:sz w:val="24"/>
                <w:szCs w:val="24"/>
                <w:lang w:val="ru-RU" w:eastAsia="ru-RU" w:bidi="ar-SA"/>
              </w:rPr>
              <w:t>.</w:t>
            </w:r>
            <w:bookmarkStart w:id="37" w:name="_GoBack_Копия_5"/>
            <w:bookmarkEnd w:id="37"/>
          </w:p>
        </w:tc>
        <w:tc>
          <w:tcPr>
            <w:tcW w:w="15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42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9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bidi w:val="0"/>
              <w:spacing w:before="60" w:after="60"/>
              <w:ind w:hanging="1361" w:left="1474" w:right="0"/>
              <w:jc w:val="center"/>
              <w:rPr/>
            </w:pPr>
            <w:r>
              <w:rPr/>
            </w:r>
          </w:p>
        </w:tc>
        <w:tc>
          <w:tcPr>
            <w:tcW w:w="2510" w:type="dxa"/>
            <w:tcBorders>
              <w:top w:val="nil"/>
            </w:tcBorders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Каток поддерживающий. 81EM-10031-TK/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4 шт</w:t>
            </w:r>
          </w:p>
        </w:tc>
        <w:tc>
          <w:tcPr>
            <w:tcW w:w="2879" w:type="dxa"/>
            <w:tcBorders>
              <w:top w:val="nil"/>
            </w:tcBorders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81EM-10031-TK</w:t>
            </w:r>
          </w:p>
        </w:tc>
        <w:tc>
          <w:tcPr>
            <w:tcW w:w="155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4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7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9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bidi w:val="0"/>
              <w:spacing w:before="60" w:after="60"/>
              <w:ind w:hanging="1361" w:left="1474" w:right="0"/>
              <w:jc w:val="center"/>
              <w:rPr/>
            </w:pPr>
            <w:r>
              <w:rPr/>
            </w:r>
          </w:p>
        </w:tc>
        <w:tc>
          <w:tcPr>
            <w:tcW w:w="2510" w:type="dxa"/>
            <w:tcBorders>
              <w:top w:val="nil"/>
            </w:tcBorders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Колесо направляющее. 81N6-13010-TK/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2 шт.</w:t>
            </w:r>
          </w:p>
        </w:tc>
        <w:tc>
          <w:tcPr>
            <w:tcW w:w="2879" w:type="dxa"/>
            <w:tcBorders>
              <w:top w:val="nil"/>
            </w:tcBorders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81N6-13010-TK</w:t>
            </w:r>
          </w:p>
        </w:tc>
        <w:tc>
          <w:tcPr>
            <w:tcW w:w="155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4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7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9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bidi w:val="0"/>
              <w:spacing w:before="60" w:after="60"/>
              <w:ind w:hanging="1361" w:left="1474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510" w:type="dxa"/>
            <w:tcBorders>
              <w:top w:val="nil"/>
            </w:tcBorders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Звездочка (30 крепежных отверстий). 81EM-10010-TK/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2 шт.</w:t>
            </w:r>
          </w:p>
        </w:tc>
        <w:tc>
          <w:tcPr>
            <w:tcW w:w="2879" w:type="dxa"/>
            <w:tcBorders>
              <w:top w:val="nil"/>
            </w:tcBorders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81EM-10010-TK</w:t>
            </w:r>
          </w:p>
        </w:tc>
        <w:tc>
          <w:tcPr>
            <w:tcW w:w="155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4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7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9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bidi w:val="0"/>
              <w:spacing w:before="60" w:after="60"/>
              <w:ind w:hanging="1361" w:left="1474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10" w:type="dxa"/>
            <w:tcBorders>
              <w:top w:val="nil"/>
            </w:tcBorders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Втулка. X114-802100/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4 шт.</w:t>
            </w:r>
          </w:p>
        </w:tc>
        <w:tc>
          <w:tcPr>
            <w:tcW w:w="2879" w:type="dxa"/>
            <w:tcBorders>
              <w:top w:val="nil"/>
            </w:tcBorders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X114-802100</w:t>
            </w:r>
          </w:p>
        </w:tc>
        <w:tc>
          <w:tcPr>
            <w:tcW w:w="155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4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7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9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bidi w:val="0"/>
              <w:spacing w:before="60" w:after="60"/>
              <w:ind w:hanging="1361" w:left="1474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10" w:type="dxa"/>
            <w:tcBorders>
              <w:top w:val="nil"/>
            </w:tcBorders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Палец  61N6-11100-HS/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2 шт.</w:t>
            </w:r>
          </w:p>
        </w:tc>
        <w:tc>
          <w:tcPr>
            <w:tcW w:w="2879" w:type="dxa"/>
            <w:tcBorders>
              <w:top w:val="nil"/>
            </w:tcBorders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61N6-11100-HS</w:t>
            </w:r>
          </w:p>
        </w:tc>
        <w:tc>
          <w:tcPr>
            <w:tcW w:w="155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4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7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9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bidi w:val="0"/>
              <w:spacing w:before="60" w:after="60"/>
              <w:ind w:hanging="1361" w:left="1474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510" w:type="dxa"/>
            <w:tcBorders>
              <w:top w:val="nil"/>
            </w:tcBorders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Гусеница в сборе 49L 3G 600 мм. 9250499-TK/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2 шт.</w:t>
            </w:r>
          </w:p>
        </w:tc>
        <w:tc>
          <w:tcPr>
            <w:tcW w:w="2879" w:type="dxa"/>
            <w:tcBorders>
              <w:top w:val="nil"/>
            </w:tcBorders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9250499-TK</w:t>
            </w:r>
          </w:p>
        </w:tc>
        <w:tc>
          <w:tcPr>
            <w:tcW w:w="155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4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7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9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bidi w:val="0"/>
              <w:spacing w:before="60" w:after="60"/>
              <w:ind w:hanging="1361" w:left="1474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10" w:type="dxa"/>
            <w:tcBorders>
              <w:top w:val="nil"/>
            </w:tcBorders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Каток опорный. E181-2002-TK/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18 шт.</w:t>
            </w:r>
          </w:p>
        </w:tc>
        <w:tc>
          <w:tcPr>
            <w:tcW w:w="2879" w:type="dxa"/>
            <w:tcBorders>
              <w:top w:val="nil"/>
            </w:tcBorders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E181-2002-TK </w:t>
            </w:r>
          </w:p>
        </w:tc>
        <w:tc>
          <w:tcPr>
            <w:tcW w:w="155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4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7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9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bidi w:val="0"/>
              <w:spacing w:before="60" w:after="60"/>
              <w:ind w:hanging="1361" w:left="1474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10" w:type="dxa"/>
            <w:tcBorders>
              <w:top w:val="nil"/>
            </w:tcBorders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Натяжитель гусеницы. 81N6-14010-HME/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2 шт.</w:t>
            </w:r>
          </w:p>
        </w:tc>
        <w:tc>
          <w:tcPr>
            <w:tcW w:w="2879" w:type="dxa"/>
            <w:tcBorders>
              <w:top w:val="nil"/>
            </w:tcBorders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81N6-14010-HME</w:t>
            </w:r>
          </w:p>
        </w:tc>
        <w:tc>
          <w:tcPr>
            <w:tcW w:w="155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4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7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2.</w:t>
            </w:r>
          </w:p>
        </w:tc>
        <w:tc>
          <w:tcPr>
            <w:tcW w:w="53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15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42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2.1.</w:t>
            </w:r>
          </w:p>
        </w:tc>
        <w:tc>
          <w:tcPr>
            <w:tcW w:w="53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Качество и безопасность товара должны соответствовать </w:t>
            </w:r>
            <w:r>
              <w:rPr>
                <w:rFonts w:eastAsia="Times New Roman" w:cs="Times New Roman"/>
                <w:color w:val="1A1A1A"/>
                <w:kern w:val="0"/>
                <w:sz w:val="24"/>
                <w:szCs w:val="24"/>
                <w:lang w:val="ru-RU" w:eastAsia="ru-RU" w:bidi="ar-SA"/>
              </w:rPr>
              <w:t>Постановление Правительства РФ от 2 ноября 2022 г. N 1967 "Об утверждении требований к техническому состоянию и эксплуатации самоходных машин и других видов техники, изготовленных и допущенных к эксплуатации до вступления в силу технических регламентов Таможенного союза, регулирующих вопросы безопасности самоходных машин 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1A1A1A"/>
                <w:kern w:val="0"/>
                <w:sz w:val="24"/>
                <w:szCs w:val="24"/>
                <w:lang w:val="ru-RU" w:eastAsia="ru-RU" w:bidi="ar-SA"/>
              </w:rPr>
              <w:t>других видов техники"</w:t>
            </w:r>
          </w:p>
        </w:tc>
        <w:tc>
          <w:tcPr>
            <w:tcW w:w="15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42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53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55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42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3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.1</w:t>
            </w:r>
          </w:p>
        </w:tc>
        <w:tc>
          <w:tcPr>
            <w:tcW w:w="25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28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Московская область, Сергиево-Посадский г.о., пгт. Богородское</w:t>
            </w:r>
          </w:p>
        </w:tc>
        <w:tc>
          <w:tcPr>
            <w:tcW w:w="155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42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27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3.2.</w:t>
            </w:r>
          </w:p>
        </w:tc>
        <w:tc>
          <w:tcPr>
            <w:tcW w:w="25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упаковке</w:t>
            </w:r>
          </w:p>
        </w:tc>
        <w:tc>
          <w:tcPr>
            <w:tcW w:w="28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поставляться в упаковке, обеспечивающей защиту от внешних воздействующих факторов (в т.ч. климатических, механических) при транспортировании, хранении и погрузочно-разгрузочных работах.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Маркировка и (или) упаковка продукции должна обеспечивать Заказчику возможность идентифицировать продукцию.</w:t>
            </w:r>
          </w:p>
        </w:tc>
        <w:tc>
          <w:tcPr>
            <w:tcW w:w="15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42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27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4.</w:t>
            </w:r>
          </w:p>
        </w:tc>
        <w:tc>
          <w:tcPr>
            <w:tcW w:w="53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эксплуатации, обеспечению и утилизации</w:t>
            </w:r>
          </w:p>
        </w:tc>
        <w:tc>
          <w:tcPr>
            <w:tcW w:w="15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42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1639" w:hRule="atLeast"/>
        </w:trPr>
        <w:tc>
          <w:tcPr>
            <w:tcW w:w="9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4.1.</w:t>
            </w:r>
          </w:p>
        </w:tc>
        <w:tc>
          <w:tcPr>
            <w:tcW w:w="53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обеспечивать взаимодействие с транспортными средствами Покупателя. Продукция должна обеспечивать устойчивую, надёжную и безопасную работу агрегатов и узлов транспортного средства.</w:t>
            </w:r>
          </w:p>
        </w:tc>
        <w:tc>
          <w:tcPr>
            <w:tcW w:w="15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42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27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5.</w:t>
            </w:r>
          </w:p>
        </w:tc>
        <w:tc>
          <w:tcPr>
            <w:tcW w:w="53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5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42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5.1.</w:t>
            </w:r>
          </w:p>
        </w:tc>
        <w:tc>
          <w:tcPr>
            <w:tcW w:w="53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Гарантийный срок – в соответствии с гарантией завода изготовителя</w:t>
            </w:r>
          </w:p>
        </w:tc>
        <w:tc>
          <w:tcPr>
            <w:tcW w:w="15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42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27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6.</w:t>
            </w:r>
          </w:p>
        </w:tc>
        <w:tc>
          <w:tcPr>
            <w:tcW w:w="53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5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42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6.1.</w:t>
            </w:r>
          </w:p>
        </w:tc>
        <w:tc>
          <w:tcPr>
            <w:tcW w:w="25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Состав пакета документов, передаваемых вместе с товаром</w:t>
            </w:r>
          </w:p>
        </w:tc>
        <w:tc>
          <w:tcPr>
            <w:tcW w:w="28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товарно-транспортная накладная</w:t>
            </w:r>
          </w:p>
        </w:tc>
        <w:tc>
          <w:tcPr>
            <w:tcW w:w="15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42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27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</w:tbl>
    <w:p>
      <w:pPr>
        <w:pStyle w:val="Normal"/>
        <w:rPr>
          <w:strike/>
          <w:color w:val="FF0000"/>
          <w:lang w:val="x-none" w:eastAsia="x-none"/>
        </w:rPr>
      </w:pPr>
      <w:r>
        <w:rPr>
          <w:strike/>
          <w:color w:val="FF0000"/>
          <w:lang w:val="x-none" w:eastAsia="x-none"/>
        </w:rPr>
      </w:r>
    </w:p>
    <w:p>
      <w:pPr>
        <w:pStyle w:val="Heading1"/>
        <w:numPr>
          <w:ilvl w:val="0"/>
          <w:numId w:val="3"/>
        </w:numPr>
        <w:ind w:hanging="0" w:left="0"/>
        <w:rPr/>
      </w:pPr>
      <w:bookmarkStart w:id="38" w:name="__RefHeading___Toc1153_1913739647"/>
      <w:bookmarkStart w:id="39" w:name="_Toc190176015"/>
      <w:bookmarkEnd w:id="38"/>
      <w:r>
        <w:rPr/>
        <w:t>Требования к документации по ценообразованию на этапе закупки</w:t>
      </w:r>
      <w:bookmarkEnd w:id="39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>
        <w:rPr>
          <w:i w:val="false"/>
          <w:iCs w:val="false"/>
          <w:sz w:val="24"/>
          <w:szCs w:val="24"/>
          <w:shd w:fill="auto" w:val="clear"/>
        </w:rPr>
        <w:t>В</w:t>
      </w:r>
      <w:r>
        <w:rPr>
          <w:i w:val="false"/>
          <w:iCs w:val="false"/>
          <w:spacing w:val="1"/>
          <w:sz w:val="24"/>
          <w:szCs w:val="24"/>
          <w:shd w:fill="auto" w:val="clear"/>
        </w:rPr>
        <w:t xml:space="preserve"> </w:t>
      </w:r>
      <w:r>
        <w:rPr>
          <w:i w:val="false"/>
          <w:iCs w:val="false"/>
          <w:sz w:val="24"/>
          <w:szCs w:val="24"/>
          <w:shd w:fill="auto" w:val="clear"/>
        </w:rPr>
        <w:t>обоснование</w:t>
      </w:r>
      <w:r>
        <w:rPr>
          <w:i w:val="false"/>
          <w:iCs w:val="false"/>
          <w:spacing w:val="1"/>
          <w:sz w:val="24"/>
          <w:szCs w:val="24"/>
          <w:shd w:fill="auto" w:val="clear"/>
        </w:rPr>
        <w:t xml:space="preserve"> </w:t>
      </w:r>
      <w:r>
        <w:rPr>
          <w:i w:val="false"/>
          <w:iCs w:val="false"/>
          <w:sz w:val="24"/>
          <w:szCs w:val="24"/>
          <w:shd w:fill="auto" w:val="clear"/>
        </w:rPr>
        <w:t>стоимости</w:t>
      </w:r>
      <w:r>
        <w:rPr>
          <w:i w:val="false"/>
          <w:iCs w:val="false"/>
          <w:spacing w:val="1"/>
          <w:sz w:val="24"/>
          <w:szCs w:val="24"/>
          <w:shd w:fill="auto" w:val="clear"/>
        </w:rPr>
        <w:t xml:space="preserve"> </w:t>
      </w:r>
      <w:r>
        <w:rPr>
          <w:i w:val="false"/>
          <w:iCs w:val="false"/>
          <w:sz w:val="24"/>
          <w:szCs w:val="24"/>
          <w:shd w:fill="auto" w:val="clear"/>
        </w:rPr>
        <w:t>своей</w:t>
      </w:r>
      <w:r>
        <w:rPr>
          <w:i w:val="false"/>
          <w:iCs w:val="false"/>
          <w:spacing w:val="1"/>
          <w:sz w:val="24"/>
          <w:szCs w:val="24"/>
          <w:shd w:fill="auto" w:val="clear"/>
        </w:rPr>
        <w:t xml:space="preserve"> </w:t>
      </w:r>
      <w:r>
        <w:rPr>
          <w:i w:val="false"/>
          <w:iCs w:val="false"/>
          <w:sz w:val="24"/>
          <w:szCs w:val="24"/>
          <w:shd w:fill="auto" w:val="clear"/>
        </w:rPr>
        <w:t>заявки</w:t>
      </w:r>
      <w:r>
        <w:rPr>
          <w:i w:val="false"/>
          <w:iCs w:val="false"/>
          <w:spacing w:val="1"/>
          <w:sz w:val="24"/>
          <w:szCs w:val="24"/>
          <w:shd w:fill="auto" w:val="clear"/>
        </w:rPr>
        <w:t xml:space="preserve"> </w:t>
      </w:r>
      <w:r>
        <w:rPr>
          <w:i w:val="false"/>
          <w:iCs w:val="false"/>
          <w:sz w:val="24"/>
          <w:szCs w:val="24"/>
          <w:shd w:fill="auto" w:val="clear"/>
        </w:rPr>
        <w:t>Участник</w:t>
      </w:r>
      <w:r>
        <w:rPr>
          <w:i w:val="false"/>
          <w:iCs w:val="false"/>
          <w:spacing w:val="1"/>
          <w:sz w:val="24"/>
          <w:szCs w:val="24"/>
          <w:shd w:fill="auto" w:val="clear"/>
        </w:rPr>
        <w:t xml:space="preserve"> </w:t>
      </w:r>
      <w:r>
        <w:rPr>
          <w:i w:val="false"/>
          <w:iCs w:val="false"/>
          <w:sz w:val="24"/>
          <w:szCs w:val="24"/>
          <w:shd w:fill="auto" w:val="clear"/>
        </w:rPr>
        <w:t>предоставляет</w:t>
      </w:r>
      <w:r>
        <w:rPr>
          <w:i w:val="false"/>
          <w:iCs w:val="false"/>
          <w:spacing w:val="1"/>
          <w:sz w:val="24"/>
          <w:szCs w:val="24"/>
          <w:shd w:fill="auto" w:val="clear"/>
        </w:rPr>
        <w:t xml:space="preserve"> </w:t>
      </w:r>
      <w:r>
        <w:rPr>
          <w:i w:val="false"/>
          <w:iCs w:val="false"/>
          <w:sz w:val="24"/>
          <w:szCs w:val="24"/>
          <w:shd w:fill="auto" w:val="clear"/>
        </w:rPr>
        <w:t>Коммерческое</w:t>
      </w:r>
      <w:r>
        <w:rPr>
          <w:i w:val="false"/>
          <w:iCs w:val="false"/>
          <w:spacing w:val="-57"/>
          <w:sz w:val="24"/>
          <w:szCs w:val="24"/>
          <w:shd w:fill="auto" w:val="clear"/>
        </w:rPr>
        <w:t xml:space="preserve"> </w:t>
      </w:r>
      <w:r>
        <w:rPr>
          <w:i w:val="false"/>
          <w:iCs w:val="false"/>
          <w:sz w:val="24"/>
          <w:szCs w:val="24"/>
          <w:shd w:fill="auto" w:val="clear"/>
        </w:rPr>
        <w:t>предложение по форме (с учетом прилагаемой к ней инструкции по заполнению),</w:t>
      </w:r>
      <w:r>
        <w:rPr>
          <w:i w:val="false"/>
          <w:iCs w:val="false"/>
          <w:spacing w:val="1"/>
          <w:sz w:val="24"/>
          <w:szCs w:val="24"/>
          <w:shd w:fill="auto" w:val="clear"/>
        </w:rPr>
        <w:t xml:space="preserve"> </w:t>
      </w:r>
      <w:r>
        <w:rPr>
          <w:i w:val="false"/>
          <w:iCs w:val="false"/>
          <w:sz w:val="24"/>
          <w:szCs w:val="24"/>
          <w:shd w:fill="auto" w:val="clear"/>
        </w:rPr>
        <w:t>приведенной</w:t>
      </w:r>
      <w:r>
        <w:rPr>
          <w:i w:val="false"/>
          <w:iCs w:val="false"/>
          <w:spacing w:val="-1"/>
          <w:sz w:val="24"/>
          <w:szCs w:val="24"/>
          <w:shd w:fill="auto" w:val="clear"/>
        </w:rPr>
        <w:t xml:space="preserve"> </w:t>
      </w:r>
      <w:r>
        <w:rPr>
          <w:i w:val="false"/>
          <w:iCs w:val="false"/>
          <w:sz w:val="24"/>
          <w:szCs w:val="24"/>
          <w:shd w:fill="auto" w:val="clear"/>
        </w:rPr>
        <w:t>в</w:t>
      </w:r>
      <w:r>
        <w:rPr>
          <w:i w:val="false"/>
          <w:iCs w:val="false"/>
          <w:spacing w:val="-1"/>
          <w:sz w:val="24"/>
          <w:szCs w:val="24"/>
          <w:shd w:fill="auto" w:val="clear"/>
        </w:rPr>
        <w:t xml:space="preserve"> </w:t>
      </w:r>
      <w:r>
        <w:rPr>
          <w:i w:val="false"/>
          <w:iCs w:val="false"/>
          <w:sz w:val="24"/>
          <w:szCs w:val="24"/>
          <w:shd w:fill="auto" w:val="clear"/>
        </w:rPr>
        <w:t>Документации</w:t>
      </w:r>
      <w:r>
        <w:rPr>
          <w:i w:val="false"/>
          <w:iCs w:val="false"/>
          <w:spacing w:val="-1"/>
          <w:sz w:val="24"/>
          <w:szCs w:val="24"/>
          <w:shd w:fill="auto" w:val="clear"/>
        </w:rPr>
        <w:t xml:space="preserve"> </w:t>
      </w:r>
      <w:r>
        <w:rPr>
          <w:i w:val="false"/>
          <w:iCs w:val="false"/>
          <w:sz w:val="24"/>
          <w:szCs w:val="24"/>
          <w:shd w:fill="auto" w:val="clear"/>
        </w:rPr>
        <w:t>о закупке.</w:t>
      </w:r>
    </w:p>
    <w:p>
      <w:pPr>
        <w:pStyle w:val="ListParagraph"/>
        <w:widowControl/>
        <w:numPr>
          <w:ilvl w:val="1"/>
          <w:numId w:val="6"/>
        </w:numPr>
        <w:tabs>
          <w:tab w:val="clear" w:pos="708"/>
          <w:tab w:val="left" w:pos="0" w:leader="none"/>
        </w:tabs>
        <w:suppressAutoHyphens w:val="true"/>
        <w:bidi w:val="0"/>
        <w:spacing w:lineRule="auto" w:line="240" w:before="120" w:after="0"/>
        <w:ind w:hanging="0" w:left="0" w:right="0"/>
        <w:contextualSpacing w:val="false"/>
        <w:jc w:val="both"/>
        <w:rPr>
          <w:i w:val="false"/>
          <w:i w:val="false"/>
          <w:iCs w:val="false"/>
          <w:highlight w:val="none"/>
          <w:shd w:fill="auto" w:val="clear"/>
        </w:rPr>
      </w:pPr>
      <w:r>
        <w:rPr>
          <w:i w:val="false"/>
          <w:iCs w:val="false"/>
          <w:shd w:fill="auto" w:val="clear"/>
        </w:rPr>
        <w:t>3.2. Дополнительные</w:t>
      </w:r>
      <w:r>
        <w:rPr>
          <w:i w:val="false"/>
          <w:iCs w:val="false"/>
          <w:spacing w:val="-4"/>
          <w:shd w:fill="auto" w:val="clear"/>
        </w:rPr>
        <w:t xml:space="preserve"> </w:t>
      </w:r>
      <w:r>
        <w:rPr>
          <w:i w:val="false"/>
          <w:iCs w:val="false"/>
          <w:shd w:fill="auto" w:val="clear"/>
        </w:rPr>
        <w:t>документы</w:t>
      </w:r>
      <w:r>
        <w:rPr>
          <w:i w:val="false"/>
          <w:iCs w:val="false"/>
          <w:spacing w:val="-3"/>
          <w:shd w:fill="auto" w:val="clear"/>
        </w:rPr>
        <w:t xml:space="preserve"> </w:t>
      </w:r>
      <w:r>
        <w:rPr>
          <w:i w:val="false"/>
          <w:iCs w:val="false"/>
          <w:shd w:fill="auto" w:val="clear"/>
        </w:rPr>
        <w:t>по</w:t>
      </w:r>
      <w:r>
        <w:rPr>
          <w:i w:val="false"/>
          <w:iCs w:val="false"/>
          <w:spacing w:val="-2"/>
          <w:shd w:fill="auto" w:val="clear"/>
        </w:rPr>
        <w:t xml:space="preserve"> </w:t>
      </w:r>
      <w:r>
        <w:rPr>
          <w:i w:val="false"/>
          <w:iCs w:val="false"/>
          <w:shd w:fill="auto" w:val="clear"/>
        </w:rPr>
        <w:t>ценообразованию</w:t>
      </w:r>
      <w:r>
        <w:rPr>
          <w:i w:val="false"/>
          <w:iCs w:val="false"/>
          <w:spacing w:val="2"/>
          <w:shd w:fill="auto" w:val="clear"/>
        </w:rPr>
        <w:t xml:space="preserve"> </w:t>
      </w:r>
      <w:r>
        <w:rPr>
          <w:i w:val="false"/>
          <w:iCs w:val="false"/>
          <w:shd w:fill="auto" w:val="clear"/>
        </w:rPr>
        <w:t>в</w:t>
      </w:r>
      <w:r>
        <w:rPr>
          <w:i w:val="false"/>
          <w:iCs w:val="false"/>
          <w:spacing w:val="-3"/>
          <w:shd w:fill="auto" w:val="clear"/>
        </w:rPr>
        <w:t xml:space="preserve"> </w:t>
      </w:r>
      <w:r>
        <w:rPr>
          <w:i w:val="false"/>
          <w:iCs w:val="false"/>
          <w:shd w:fill="auto" w:val="clear"/>
        </w:rPr>
        <w:t>состав</w:t>
      </w:r>
      <w:r>
        <w:rPr>
          <w:i w:val="false"/>
          <w:iCs w:val="false"/>
          <w:spacing w:val="-4"/>
          <w:shd w:fill="auto" w:val="clear"/>
        </w:rPr>
        <w:t xml:space="preserve"> </w:t>
      </w:r>
      <w:r>
        <w:rPr>
          <w:i w:val="false"/>
          <w:iCs w:val="false"/>
          <w:shd w:fill="auto" w:val="clear"/>
        </w:rPr>
        <w:t>заявки</w:t>
      </w:r>
      <w:r>
        <w:rPr>
          <w:i w:val="false"/>
          <w:iCs w:val="false"/>
          <w:spacing w:val="-3"/>
          <w:shd w:fill="auto" w:val="clear"/>
        </w:rPr>
        <w:t xml:space="preserve"> </w:t>
      </w:r>
      <w:r>
        <w:rPr>
          <w:i w:val="false"/>
          <w:iCs w:val="false"/>
          <w:shd w:fill="auto" w:val="clear"/>
        </w:rPr>
        <w:t>не</w:t>
      </w:r>
      <w:r>
        <w:rPr>
          <w:i w:val="false"/>
          <w:iCs w:val="false"/>
          <w:spacing w:val="-3"/>
          <w:shd w:fill="auto" w:val="clear"/>
        </w:rPr>
        <w:t xml:space="preserve"> </w:t>
      </w:r>
      <w:r>
        <w:rPr>
          <w:i w:val="false"/>
          <w:iCs w:val="false"/>
          <w:shd w:fill="auto" w:val="clear"/>
        </w:rPr>
        <w:t>включаются.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Разработал: Зам. руководителя ТГ Загорского СУ ________________________Кулёмин С.Ф.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5E04458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5E044581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763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74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7"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ind w:hanging="0" w:left="5038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d91cfb"/>
    <w:pPr>
      <w:keepNext w:val="true"/>
      <w:tabs>
        <w:tab w:val="clear" w:pos="708"/>
        <w:tab w:val="left" w:pos="0" w:leader="none"/>
      </w:tabs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ind w:hanging="0" w:left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d91cfb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Linenumber">
    <w:name w:val="line number"/>
    <w:qFormat/>
    <w:rPr/>
  </w:style>
  <w:style w:type="character" w:styleId="Style15">
    <w:name w:val="Символ нумерации"/>
    <w:qFormat/>
    <w:rPr/>
  </w:style>
  <w:style w:type="character" w:styleId="Strong">
    <w:name w:val="Strong"/>
    <w:qFormat/>
    <w:rPr>
      <w:b/>
      <w:bCs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262d5f"/>
    <w:pPr>
      <w:tabs>
        <w:tab w:val="clear" w:pos="708"/>
        <w:tab w:val="left" w:pos="560" w:leader="none"/>
        <w:tab w:val="right" w:pos="9911" w:leader="dot"/>
      </w:tabs>
      <w:spacing w:before="120" w:after="0"/>
    </w:pPr>
    <w:rPr>
      <w:rFonts w:cs="Calibri Light (Заголовки)"/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 w:customStyle="1">
    <w:name w:val="[РГ] Текст"/>
    <w:basedOn w:val="Normal"/>
    <w:qFormat/>
    <w:rsid w:val="00ff3463"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>
    <w:name w:val="Содержимое таблицы"/>
    <w:basedOn w:val="Normal"/>
    <w:qFormat/>
    <w:pPr>
      <w:widowControl w:val="false"/>
      <w:suppressLineNumbers/>
    </w:pPr>
    <w:rPr/>
  </w:style>
  <w:style w:type="paragraph" w:styleId="Style37">
    <w:name w:val="Заголовок таблицы"/>
    <w:basedOn w:val="Style36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30573369281">
    <w:name w:val="30573369281"/>
    <w:qFormat/>
  </w:style>
  <w:style w:type="numbering" w:styleId="3602055961">
    <w:name w:val="360205596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7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5880A1-CC60-407C-994A-6AD558917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2071</TotalTime>
  <Application>AlterOffice/2026.2.0.0$Linux_X86_64 LibreOffice_project/bc4ef1adf80b36c7a6365f8ed6cbf29021361edd</Application>
  <AppVersion>15.0000</AppVersion>
  <Pages>6</Pages>
  <Words>795</Words>
  <Characters>5395</Characters>
  <CharactersWithSpaces>6025</CharactersWithSpaces>
  <Paragraphs>177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2023-06-22T14:59:00Z</dcterms:created>
  <dc:creator>Быстров Олег Геннадьевич</dc:creator>
  <dc:description/>
  <dc:language>ru-RU</dc:language>
  <cp:lastModifiedBy>masterinnn@corp.gidroogk.com</cp:lastModifiedBy>
  <cp:lastPrinted>2025-01-16T07:05:00Z</cp:lastPrinted>
  <dcterms:modified xsi:type="dcterms:W3CDTF">2026-09-16T08:14:33Z</dcterms:modified>
  <cp:revision>394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