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left="5245"/>
        <w:rPr>
          <w:rFonts w:eastAsia="Calibri"/>
        </w:rPr>
      </w:pPr>
      <w:r>
        <w:rPr>
          <w:rFonts w:eastAsia="Calibri"/>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ind w:hanging="0" w:left="0"/>
        <w:jc w:val="center"/>
        <w:outlineLvl w:val="0"/>
        <w:rPr>
          <w:b/>
        </w:rPr>
      </w:pPr>
      <w:r>
        <w:rPr>
          <w:b/>
        </w:rPr>
      </w:r>
    </w:p>
    <w:p>
      <w:pPr>
        <w:pStyle w:val="Normal"/>
        <w:keepNext w:val="true"/>
        <w:numPr>
          <w:ilvl w:val="0"/>
          <w:numId w:val="0"/>
        </w:numPr>
        <w:spacing w:lineRule="auto" w:line="276"/>
        <w:ind w:hanging="0" w:left="0"/>
        <w:jc w:val="center"/>
        <w:outlineLvl w:val="0"/>
        <w:rPr/>
      </w:pPr>
      <w:r>
        <w:rPr/>
        <w:t>ТЕХНИЧЕСКОЕ ЗАДАНИЕ</w:t>
      </w:r>
    </w:p>
    <w:p>
      <w:pPr>
        <w:pStyle w:val="Normal"/>
        <w:keepNext w:val="true"/>
        <w:numPr>
          <w:ilvl w:val="0"/>
          <w:numId w:val="0"/>
        </w:numPr>
        <w:spacing w:lineRule="auto" w:line="276"/>
        <w:ind w:hanging="0" w:left="0"/>
        <w:jc w:val="center"/>
        <w:outlineLvl w:val="0"/>
        <w:rPr>
          <w:rFonts w:eastAsia="Calibri"/>
          <w:color w:val="000000"/>
          <w:lang w:eastAsia="en-US"/>
        </w:rPr>
      </w:pPr>
      <w:r>
        <w:rPr/>
        <w:t xml:space="preserve">на оказание услуг  по </w:t>
      </w:r>
      <w:r>
        <w:rPr>
          <w:rFonts w:eastAsia="Calibri"/>
          <w:color w:val="000000"/>
          <w:lang w:eastAsia="en-US"/>
        </w:rPr>
        <w:t xml:space="preserve">ОКПД2 84.24 Услуги по охране и  антитеррористической защищенности Гизельдонской ГЭС филиала ПАО «РусГидро» - </w:t>
      </w:r>
    </w:p>
    <w:p>
      <w:pPr>
        <w:pStyle w:val="Normal"/>
        <w:numPr>
          <w:ilvl w:val="0"/>
          <w:numId w:val="0"/>
        </w:numPr>
        <w:spacing w:lineRule="auto" w:line="276"/>
        <w:ind w:hanging="0" w:left="0"/>
        <w:jc w:val="center"/>
        <w:outlineLvl w:val="0"/>
        <w:rPr>
          <w:rFonts w:eastAsia="Calibri"/>
          <w:color w:val="000000"/>
          <w:lang w:eastAsia="en-US"/>
        </w:rPr>
      </w:pPr>
      <w:r>
        <w:rPr>
          <w:rFonts w:eastAsia="Calibri"/>
          <w:color w:val="000000"/>
          <w:lang w:eastAsia="en-US"/>
        </w:rPr>
        <w:t>«Северо-Осетинский филиал»</w:t>
      </w:r>
    </w:p>
    <w:p>
      <w:pPr>
        <w:pStyle w:val="Normal"/>
        <w:spacing w:lineRule="auto" w:line="276"/>
        <w:jc w:val="center"/>
        <w:rPr>
          <w:color w:val="FF0000"/>
        </w:rPr>
      </w:pPr>
      <w:r>
        <w:rPr>
          <w:color w:val="FF0000"/>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t>СОДЕРЖАНИЕ</w:t>
      </w:r>
    </w:p>
    <w:p>
      <w:pPr>
        <w:pStyle w:val="Normal"/>
        <w:widowControl w:val="false"/>
        <w:rPr>
          <w:b/>
        </w:rPr>
      </w:pPr>
      <w:r>
        <w:rPr>
          <w:b/>
        </w:rPr>
      </w:r>
    </w:p>
    <w:sdt>
      <w:sdtPr>
        <w:docPartObj>
          <w:docPartGallery w:val="Table of Contents"/>
          <w:docPartUnique w:val="true"/>
        </w:docPartObj>
      </w:sdtPr>
      <w:sdtContent>
        <w:p>
          <w:pPr>
            <w:pStyle w:val="TOC1"/>
            <w:spacing w:before="0" w:after="0"/>
            <w:rPr>
              <w:rFonts w:cs="Times New Roman"/>
            </w:rPr>
          </w:pPr>
          <w:r>
            <w:fldChar w:fldCharType="begin"/>
          </w:r>
          <w:r>
            <w:rPr>
              <w:rStyle w:val="Style16"/>
              <w:rFonts w:cs="Times New Roman"/>
            </w:rPr>
            <w:instrText xml:space="preserve"> TOC \o "1-4" \h</w:instrText>
          </w:r>
          <w:r>
            <w:rPr>
              <w:rStyle w:val="Style16"/>
              <w:rFonts w:cs="Times New Roman"/>
            </w:rPr>
            <w:fldChar w:fldCharType="separate"/>
          </w:r>
          <w:hyperlink w:anchor="_Toc54643453">
            <w:r>
              <w:rPr>
                <w:rStyle w:val="Style16"/>
                <w:rFonts w:cs="Times New Roman"/>
              </w:rPr>
              <w:t>1.</w:t>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b w:val="false"/>
                <w:bCs w:val="false"/>
                <w:iCs w:val="false"/>
              </w:rPr>
              <w:tab/>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Общие сведения</w:t>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ab/>
            </w:r>
            <w:r>
              <w:rPr>
                <w:webHidden/>
              </w:rPr>
              <w:fldChar w:fldCharType="end"/>
            </w:r>
          </w:hyperlink>
          <w:r>
            <w:rPr>
              <w:rFonts w:cs="Times New Roman"/>
            </w:rPr>
            <w:t>3</w:t>
          </w:r>
        </w:p>
        <w:p>
          <w:pPr>
            <w:pStyle w:val="TOC4"/>
            <w:tabs>
              <w:tab w:val="clear" w:pos="709"/>
              <w:tab w:val="left" w:pos="1400" w:leader="none"/>
              <w:tab w:val="right" w:pos="9911" w:leader="dot"/>
            </w:tabs>
            <w:rPr>
              <w:rFonts w:cs="Times New Roman"/>
              <w:sz w:val="24"/>
              <w:szCs w:val="24"/>
            </w:rPr>
          </w:pPr>
          <w:hyperlink w:anchor="_Toc54643455">
            <w:r>
              <w:rPr>
                <w:rStyle w:val="Style16"/>
                <w:rFonts w:cs="Times New Roman"/>
                <w:iCs/>
                <w:sz w:val="24"/>
                <w:szCs w:val="24"/>
              </w:rPr>
              <w:t>1.1.</w:t>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Наименование закупаемых услуг</w:t>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56">
            <w:r>
              <w:rPr>
                <w:rStyle w:val="Style16"/>
                <w:rFonts w:cs="Times New Roman"/>
                <w:iCs/>
                <w:sz w:val="24"/>
                <w:szCs w:val="24"/>
              </w:rPr>
              <w:t>1.2.</w:t>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Цель оказания услуг</w:t>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60">
            <w:r>
              <w:rPr>
                <w:rStyle w:val="Style16"/>
                <w:rFonts w:cs="Times New Roman"/>
                <w:iCs/>
                <w:sz w:val="24"/>
                <w:szCs w:val="24"/>
              </w:rPr>
              <w:t>1.3.</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Существующее положение</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rFonts w:cs="Times New Roman"/>
              <w:sz w:val="24"/>
              <w:szCs w:val="24"/>
            </w:rPr>
          </w:pPr>
          <w:hyperlink w:anchor="_Toc54643460">
            <w:r>
              <w:rPr>
                <w:rStyle w:val="Style16"/>
                <w:rFonts w:cs="Times New Roman"/>
                <w:iCs/>
                <w:sz w:val="24"/>
                <w:szCs w:val="24"/>
              </w:rPr>
              <w:t>1.4.</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Иные требования и сведения общего характера</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1">
            <w:r>
              <w:rPr>
                <w:rStyle w:val="Style16"/>
                <w:rFonts w:cs="Times New Roman"/>
              </w:rPr>
              <w:t>2.</w:t>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b w:val="false"/>
                <w:bCs w:val="false"/>
                <w:iCs w:val="false"/>
              </w:rPr>
              <w:tab/>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Требования к продукции</w:t>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ab/>
            </w:r>
            <w:r>
              <w:rPr>
                <w:webHidden/>
              </w:rPr>
              <w:fldChar w:fldCharType="end"/>
            </w:r>
          </w:hyperlink>
          <w:r>
            <w:rPr>
              <w:rFonts w:cs="Times New Roman"/>
            </w:rPr>
            <w:t>4</w:t>
          </w:r>
        </w:p>
        <w:p>
          <w:pPr>
            <w:pStyle w:val="TOC4"/>
            <w:tabs>
              <w:tab w:val="clear" w:pos="709"/>
              <w:tab w:val="left" w:pos="1400" w:leader="none"/>
              <w:tab w:val="right" w:pos="9911" w:leader="dot"/>
            </w:tabs>
            <w:rPr>
              <w:rFonts w:cs="Times New Roman"/>
              <w:sz w:val="24"/>
              <w:szCs w:val="24"/>
            </w:rPr>
          </w:pPr>
          <w:hyperlink w:anchor="_Toc54643462">
            <w:r>
              <w:rPr>
                <w:rStyle w:val="Style16"/>
                <w:rFonts w:cs="Times New Roman"/>
                <w:iCs/>
                <w:sz w:val="24"/>
                <w:szCs w:val="24"/>
              </w:rPr>
              <w:t>2.1.</w:t>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Требования к объемам и срокам оказания услуг</w:t>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3"/>
            <w:rPr>
              <w:rFonts w:cs="Times New Roman"/>
              <w:sz w:val="24"/>
              <w:szCs w:val="24"/>
            </w:rPr>
          </w:pPr>
          <w:hyperlink w:anchor="_Toc54643463">
            <w:r>
              <w:rPr>
                <w:rStyle w:val="Style16"/>
                <w:rFonts w:cs="Times New Roman"/>
                <w:sz w:val="24"/>
                <w:szCs w:val="24"/>
              </w:rPr>
              <w:t>2.1.1.</w:t>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ab/>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Требования к перечню и объему услуг</w:t>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4">
            <w:r>
              <w:rPr>
                <w:rStyle w:val="Style16"/>
                <w:rFonts w:cs="Times New Roman"/>
              </w:rPr>
              <w:t>Таблица 2. Перечень и объем оказываемых услуг</w:t>
            </w:r>
          </w:hyperlink>
          <w:hyperlink w:anchor="_Toc54643464">
            <w:r>
              <w:rPr>
                <w:webHidden/>
              </w:rPr>
              <w:fldChar w:fldCharType="begin"/>
            </w:r>
            <w:r>
              <w:rPr>
                <w:webHidden/>
              </w:rPr>
              <w:instrText xml:space="preserve">PAGEREF _Toc54643464 \h</w:instrText>
            </w:r>
            <w:r>
              <w:rPr>
                <w:webHidden/>
              </w:rPr>
              <w:fldChar w:fldCharType="separate"/>
            </w:r>
            <w:r>
              <w:rPr>
                <w:rStyle w:val="Style16"/>
                <w:rFonts w:cs="Times New Roman"/>
              </w:rPr>
              <w:tab/>
            </w:r>
            <w:r>
              <w:rPr>
                <w:webHidden/>
              </w:rPr>
              <w:fldChar w:fldCharType="end"/>
            </w:r>
          </w:hyperlink>
          <w:r>
            <w:rPr>
              <w:rFonts w:cs="Times New Roman"/>
            </w:rPr>
            <w:t>4</w:t>
          </w:r>
        </w:p>
        <w:p>
          <w:pPr>
            <w:pStyle w:val="TOC3"/>
            <w:rPr>
              <w:rFonts w:cs="Times New Roman"/>
              <w:sz w:val="24"/>
              <w:szCs w:val="24"/>
            </w:rPr>
          </w:pPr>
          <w:hyperlink w:anchor="_Toc54643465">
            <w:r>
              <w:rPr>
                <w:rStyle w:val="Style16"/>
                <w:rFonts w:cs="Times New Roman"/>
                <w:sz w:val="24"/>
                <w:szCs w:val="24"/>
              </w:rPr>
              <w:t>2.1.2.</w:t>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ab/>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Требования к срокам оказания услуг</w:t>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ab/>
            </w:r>
            <w:r>
              <w:rPr>
                <w:webHidden/>
              </w:rPr>
              <w:fldChar w:fldCharType="end"/>
            </w:r>
          </w:hyperlink>
          <w:r>
            <w:rPr>
              <w:sz w:val="24"/>
              <w:szCs w:val="24"/>
            </w:rPr>
            <w:t>4</w:t>
          </w:r>
        </w:p>
        <w:p>
          <w:pPr>
            <w:pStyle w:val="TOC1"/>
            <w:spacing w:before="0" w:after="0"/>
            <w:rPr>
              <w:rFonts w:cs="Times New Roman"/>
            </w:rPr>
          </w:pPr>
          <w:hyperlink w:anchor="_Toc54643466">
            <w:r>
              <w:rPr>
                <w:rStyle w:val="Style16"/>
                <w:rFonts w:cs="Times New Roman"/>
              </w:rPr>
              <w:t>Таблица 3. Требования к срокам оказания услуг</w:t>
            </w:r>
          </w:hyperlink>
          <w:hyperlink w:anchor="_Toc54643466">
            <w:r>
              <w:rPr>
                <w:webHidden/>
              </w:rPr>
              <w:fldChar w:fldCharType="begin"/>
            </w:r>
            <w:r>
              <w:rPr>
                <w:webHidden/>
              </w:rPr>
              <w:instrText xml:space="preserve">PAGEREF _Toc54643466 \h</w:instrText>
            </w:r>
            <w:r>
              <w:rPr>
                <w:webHidden/>
              </w:rPr>
              <w:fldChar w:fldCharType="separate"/>
            </w:r>
            <w:r>
              <w:rPr>
                <w:rStyle w:val="Style16"/>
                <w:rFonts w:cs="Times New Roman"/>
              </w:rPr>
              <w:tab/>
            </w:r>
            <w:r>
              <w:rPr>
                <w:webHidden/>
              </w:rPr>
              <w:fldChar w:fldCharType="end"/>
            </w:r>
          </w:hyperlink>
          <w:r>
            <w:rPr>
              <w:rFonts w:cs="Times New Roman"/>
            </w:rPr>
            <w:t>4</w:t>
          </w:r>
        </w:p>
        <w:p>
          <w:pPr>
            <w:pStyle w:val="TOC4"/>
            <w:tabs>
              <w:tab w:val="clear" w:pos="709"/>
              <w:tab w:val="left" w:pos="1400" w:leader="none"/>
              <w:tab w:val="right" w:pos="9911" w:leader="dot"/>
            </w:tabs>
            <w:rPr>
              <w:rFonts w:cs="Times New Roman"/>
              <w:sz w:val="24"/>
              <w:szCs w:val="24"/>
            </w:rPr>
          </w:pPr>
          <w:hyperlink w:anchor="_Toc54643467">
            <w:r>
              <w:rPr>
                <w:rStyle w:val="Style16"/>
                <w:rFonts w:cs="Times New Roman"/>
                <w:iCs/>
                <w:sz w:val="24"/>
                <w:szCs w:val="24"/>
              </w:rPr>
              <w:t>2.2.</w:t>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Требования к качеству услуг</w:t>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rFonts w:cs="Times New Roman"/>
            </w:rPr>
          </w:pPr>
          <w:hyperlink w:anchor="_Toc54643468">
            <w:r>
              <w:rPr>
                <w:rStyle w:val="Style16"/>
                <w:rFonts w:cs="Times New Roman"/>
              </w:rPr>
              <w:t>Таблица 4. Требования к качеству услуг</w:t>
            </w:r>
          </w:hyperlink>
          <w:hyperlink w:anchor="_Toc54643468">
            <w:r>
              <w:rPr>
                <w:webHidden/>
              </w:rPr>
              <w:fldChar w:fldCharType="begin"/>
            </w:r>
            <w:r>
              <w:rPr>
                <w:webHidden/>
              </w:rPr>
              <w:instrText xml:space="preserve">PAGEREF _Toc54643468 \h</w:instrText>
            </w:r>
            <w:r>
              <w:rPr>
                <w:webHidden/>
              </w:rPr>
              <w:fldChar w:fldCharType="separate"/>
            </w:r>
            <w:r>
              <w:rPr>
                <w:rStyle w:val="Style16"/>
                <w:rFonts w:cs="Times New Roman"/>
              </w:rPr>
              <w:tab/>
            </w:r>
            <w:r>
              <w:rPr>
                <w:webHidden/>
              </w:rPr>
              <w:fldChar w:fldCharType="end"/>
            </w:r>
          </w:hyperlink>
          <w:r>
            <w:rPr>
              <w:rFonts w:cs="Times New Roman"/>
            </w:rPr>
            <w:t>5</w:t>
          </w:r>
        </w:p>
        <w:p>
          <w:pPr>
            <w:pStyle w:val="TOC1"/>
            <w:spacing w:before="0" w:after="0"/>
            <w:rPr>
              <w:rFonts w:cs="Times New Roman"/>
            </w:rPr>
          </w:pPr>
          <w:hyperlink w:anchor="_Toc54643470">
            <w:r>
              <w:rPr>
                <w:rStyle w:val="Style16"/>
                <w:rFonts w:cs="Times New Roman"/>
              </w:rPr>
              <w:t>3.</w:t>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b w:val="false"/>
                <w:bCs w:val="false"/>
                <w:iCs w:val="false"/>
              </w:rPr>
              <w:tab/>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Требования к документации по ценообразованию на этапе заключения (исполнения) договора</w:t>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ab/>
              <w:t>1</w:t>
            </w:r>
            <w:r>
              <w:rPr>
                <w:webHidden/>
              </w:rPr>
              <w:fldChar w:fldCharType="end"/>
            </w:r>
          </w:hyperlink>
          <w:r>
            <w:rPr>
              <w:rFonts w:cs="Times New Roman"/>
            </w:rPr>
            <w:t>2</w:t>
          </w:r>
        </w:p>
        <w:p>
          <w:pPr>
            <w:pStyle w:val="TOC1"/>
            <w:spacing w:before="0" w:after="0"/>
            <w:rPr>
              <w:rFonts w:cs="Times New Roman"/>
            </w:rPr>
          </w:pPr>
          <w:hyperlink w:anchor="_Toc54643471">
            <w:r>
              <w:rPr>
                <w:rStyle w:val="Style16"/>
                <w:rFonts w:cs="Times New Roman"/>
              </w:rPr>
              <w:t>4.</w:t>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b w:val="false"/>
                <w:bCs w:val="false"/>
                <w:iCs w:val="false"/>
              </w:rPr>
              <w:tab/>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Приложения</w:t>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ab/>
              <w:t>1</w:t>
            </w:r>
            <w:r>
              <w:rPr>
                <w:webHidden/>
              </w:rPr>
              <w:fldChar w:fldCharType="end"/>
            </w:r>
          </w:hyperlink>
          <w:r>
            <w:rPr>
              <w:rFonts w:cs="Times New Roman"/>
            </w:rPr>
            <w:t>3</w:t>
          </w:r>
          <w:r>
            <w:rPr>
              <w:rFonts w:cs="Times New Roman"/>
            </w:rPr>
            <w:fldChar w:fldCharType="end"/>
          </w:r>
        </w:p>
      </w:sdtContent>
    </w:sdt>
    <w:p>
      <w:pPr>
        <w:pStyle w:val="Normal"/>
        <w:keepNext w:val="true"/>
        <w:keepLines/>
        <w:jc w:val="both"/>
        <w:rPr>
          <w:rFonts w:eastAsia="Calibri"/>
        </w:rPr>
      </w:pPr>
      <w:r>
        <w:rPr>
          <w:rFonts w:eastAsia="Calibri"/>
        </w:rPr>
        <w:t xml:space="preserve"> </w:t>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hanging="720" w:left="862"/>
        <w:contextualSpacing/>
        <w:jc w:val="center"/>
        <w:rPr>
          <w:rFonts w:ascii="Times New Roman" w:hAnsi="Times New Roman"/>
          <w:b/>
          <w:sz w:val="24"/>
          <w:szCs w:val="24"/>
        </w:rPr>
      </w:pPr>
      <w:r>
        <w:rPr>
          <w:rFonts w:ascii="Times New Roman" w:hAnsi="Times New Roman"/>
          <w:b/>
          <w:sz w:val="24"/>
          <w:szCs w:val="24"/>
        </w:rPr>
        <w:t>1. Общие сведения.</w:t>
      </w:r>
    </w:p>
    <w:p>
      <w:pPr>
        <w:pStyle w:val="Normal"/>
        <w:ind w:hanging="0" w:left="142"/>
        <w:jc w:val="both"/>
        <w:rPr>
          <w:b/>
        </w:rPr>
      </w:pPr>
      <w:r>
        <w:rPr>
          <w:b/>
        </w:rPr>
        <w:t>1.1. Наименование закупаемых услуг.</w:t>
      </w:r>
    </w:p>
    <w:p>
      <w:pPr>
        <w:pStyle w:val="Normal"/>
        <w:tabs>
          <w:tab w:val="clear" w:pos="709"/>
          <w:tab w:val="left" w:pos="0" w:leader="none"/>
        </w:tabs>
        <w:jc w:val="both"/>
        <w:rPr/>
      </w:pPr>
      <w:r>
        <w:rPr>
          <w:lang w:eastAsia="en-US"/>
        </w:rPr>
        <w:t xml:space="preserve">ОКПД2 84.24 Услуги по охране и  антитеррористической защищенности </w:t>
      </w:r>
      <w:r>
        <w:rPr>
          <w:rFonts w:eastAsia="Calibri"/>
          <w:color w:val="000000"/>
          <w:lang w:eastAsia="en-US"/>
        </w:rPr>
        <w:t>Гизельдонской</w:t>
      </w:r>
      <w:r>
        <w:rPr>
          <w:lang w:eastAsia="en-US"/>
        </w:rPr>
        <w:t xml:space="preserve"> ГЭС филиала ПАО «РусГидро» - «Северо-Осетинский филиал»</w:t>
      </w:r>
      <w:r>
        <w:rPr>
          <w:rFonts w:eastAsia="Calibri"/>
          <w:lang w:eastAsia="en-US"/>
        </w:rPr>
        <w:t xml:space="preserve"> </w:t>
      </w:r>
      <w:r>
        <w:rPr>
          <w:rFonts w:eastAsia="Calibri"/>
          <w:bCs/>
          <w:lang w:eastAsia="en-US"/>
        </w:rPr>
        <w:t>(далее – услуга)</w:t>
      </w:r>
      <w:r>
        <w:rPr>
          <w:rFonts w:eastAsia="Calibri"/>
          <w:lang w:eastAsia="en-US"/>
        </w:rPr>
        <w:t>.</w:t>
      </w:r>
    </w:p>
    <w:p>
      <w:pPr>
        <w:pStyle w:val="Normal"/>
        <w:jc w:val="both"/>
        <w:rPr/>
      </w:pPr>
      <w:r>
        <w:rPr/>
      </w:r>
    </w:p>
    <w:p>
      <w:pPr>
        <w:pStyle w:val="Normal"/>
        <w:ind w:hanging="0" w:left="142"/>
        <w:jc w:val="both"/>
        <w:rPr>
          <w:b/>
        </w:rPr>
      </w:pPr>
      <w:r>
        <w:rPr>
          <w:b/>
        </w:rPr>
        <w:t>1.2. Цель оказания услуг.</w:t>
      </w:r>
    </w:p>
    <w:p>
      <w:pPr>
        <w:pStyle w:val="Normal"/>
        <w:ind w:hanging="0" w:left="142"/>
        <w:jc w:val="both"/>
        <w:rPr>
          <w:b/>
          <w:sz w:val="12"/>
          <w:szCs w:val="12"/>
        </w:rPr>
      </w:pPr>
      <w:r>
        <w:rPr>
          <w:b/>
          <w:sz w:val="12"/>
          <w:szCs w:val="12"/>
        </w:rPr>
      </w:r>
    </w:p>
    <w:p>
      <w:pPr>
        <w:pStyle w:val="Normal"/>
        <w:jc w:val="both"/>
        <w:rPr/>
      </w:pPr>
      <w:r>
        <w:rPr/>
        <w:t>1.2.1. Целью услуги является о</w:t>
      </w:r>
      <w:r>
        <w:rPr>
          <w:rFonts w:eastAsia="Calibri"/>
          <w:lang w:eastAsia="en-US"/>
        </w:rPr>
        <w:t xml:space="preserve">беспечение безопасности и антитеррористической защищенности </w:t>
      </w:r>
      <w:r>
        <w:rPr>
          <w:rFonts w:eastAsia="Calibri"/>
          <w:color w:val="000000"/>
          <w:lang w:eastAsia="en-US"/>
        </w:rPr>
        <w:t xml:space="preserve">Гизельдонской </w:t>
      </w:r>
      <w:r>
        <w:rPr>
          <w:rFonts w:eastAsia="Calibri"/>
          <w:lang w:eastAsia="en-US"/>
        </w:rPr>
        <w:t>ГЭС, подрядных организаций, граждан, посещающих охраняемый объект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spacing w:before="120" w:after="0"/>
        <w:jc w:val="both"/>
        <w:rPr/>
      </w:pPr>
      <w:r>
        <w:rPr>
          <w:rFonts w:eastAsia="Calibri"/>
          <w:lang w:eastAsia="en-US"/>
        </w:rPr>
        <w:t>1.2.2. Задачи оказания услуг.</w:t>
      </w:r>
    </w:p>
    <w:p>
      <w:pPr>
        <w:pStyle w:val="Normal"/>
        <w:ind w:firstLine="426"/>
        <w:jc w:val="both"/>
        <w:rPr/>
      </w:pPr>
      <w:r>
        <w:rPr>
          <w:rFonts w:eastAsia="Calibri"/>
          <w:lang w:eastAsia="en-US"/>
        </w:rPr>
        <w:t xml:space="preserve">Исключение на территории </w:t>
      </w:r>
      <w:r>
        <w:rPr>
          <w:rFonts w:eastAsia="Calibri"/>
          <w:color w:val="000000"/>
          <w:lang w:eastAsia="en-US"/>
        </w:rPr>
        <w:t xml:space="preserve">Гизельдонской </w:t>
      </w:r>
      <w:r>
        <w:rPr>
          <w:rFonts w:eastAsia="Calibri"/>
        </w:rPr>
        <w:t>ГЭС</w:t>
      </w:r>
      <w:r>
        <w:rPr>
          <w:rFonts w:eastAsia="Calibri"/>
          <w:lang w:eastAsia="en-US"/>
        </w:rPr>
        <w:t xml:space="preserve"> противоправных посягательств, преступлений и административных правонарушений, хищений материальных ценностей, обеспечение физической защиты работников Филиала, подрядных организаций, посетителей охраняемого объекта, сохранности материальных ценностей, защиты вверенного под охрану объектов, а также совместное взаимодействие с правоохранительными и государственными структурами по защите объекта.</w:t>
      </w:r>
    </w:p>
    <w:p>
      <w:pPr>
        <w:pStyle w:val="Normal"/>
        <w:ind w:firstLine="426"/>
        <w:jc w:val="both"/>
        <w:rPr>
          <w:rFonts w:eastAsia="Calibri"/>
          <w:lang w:eastAsia="en-US"/>
        </w:rPr>
      </w:pPr>
      <w:r>
        <w:rPr>
          <w:rFonts w:eastAsia="Calibri"/>
          <w:lang w:eastAsia="en-US"/>
        </w:rPr>
        <w:t>Исключение проникновения посторонних лиц на вверенные под охрану объекта Филиала.</w:t>
      </w:r>
    </w:p>
    <w:p>
      <w:pPr>
        <w:pStyle w:val="Normal"/>
        <w:ind w:firstLine="426"/>
        <w:jc w:val="both"/>
        <w:rPr>
          <w:rFonts w:eastAsia="Calibri"/>
          <w:lang w:eastAsia="en-US"/>
        </w:rPr>
      </w:pPr>
      <w:r>
        <w:rPr>
          <w:rFonts w:eastAsia="Calibri"/>
          <w:lang w:eastAsia="en-US"/>
        </w:rPr>
        <w:t>Контроль за соблюдением противопожарного режима на вверенном под охрану объекте.</w:t>
      </w:r>
    </w:p>
    <w:p>
      <w:pPr>
        <w:pStyle w:val="Normal"/>
        <w:ind w:firstLine="426"/>
        <w:jc w:val="both"/>
        <w:rPr>
          <w:rFonts w:eastAsia="Calibri"/>
          <w:lang w:eastAsia="en-US"/>
        </w:rPr>
      </w:pPr>
      <w:r>
        <w:rPr>
          <w:rFonts w:eastAsia="Calibri"/>
          <w:lang w:eastAsia="en-US"/>
        </w:rPr>
        <w:t>Участие в ликвидации последствий аварий, катастроф, стихийных бедствий и других чрезвычайных ситуациях на охраняемом объекте.</w:t>
      </w:r>
    </w:p>
    <w:p>
      <w:pPr>
        <w:pStyle w:val="Normal"/>
        <w:ind w:firstLine="426"/>
        <w:jc w:val="both"/>
        <w:rPr>
          <w:rFonts w:eastAsia="Calibri"/>
          <w:lang w:eastAsia="en-US"/>
        </w:rPr>
      </w:pPr>
      <w:r>
        <w:rPr>
          <w:rFonts w:eastAsia="Calibri"/>
          <w:lang w:eastAsia="en-US"/>
        </w:rPr>
        <w:t xml:space="preserve">Обеспечение безопасности </w:t>
      </w:r>
      <w:r>
        <w:rPr>
          <w:rFonts w:eastAsia="Calibri"/>
          <w:color w:val="000000"/>
          <w:lang w:eastAsia="en-US"/>
        </w:rPr>
        <w:t xml:space="preserve">Гизельдонской </w:t>
      </w:r>
      <w:r>
        <w:rPr>
          <w:rFonts w:eastAsia="Calibri"/>
          <w:lang w:eastAsia="en-US"/>
        </w:rPr>
        <w:t>ГЭС, подрядных организаций, граждан, посещающих охраняемые объекты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ind w:firstLine="709"/>
        <w:jc w:val="both"/>
        <w:rPr>
          <w:b/>
        </w:rPr>
      </w:pPr>
      <w:r>
        <w:rPr>
          <w:b/>
        </w:rPr>
      </w:r>
    </w:p>
    <w:p>
      <w:pPr>
        <w:pStyle w:val="Normal"/>
        <w:ind w:firstLine="142"/>
        <w:jc w:val="both"/>
        <w:rPr>
          <w:b/>
        </w:rPr>
      </w:pPr>
      <w:r>
        <w:rPr>
          <w:b/>
        </w:rPr>
        <w:t xml:space="preserve">1.3. Существующее положение. </w:t>
      </w:r>
    </w:p>
    <w:p>
      <w:pPr>
        <w:pStyle w:val="Normal"/>
        <w:jc w:val="both"/>
        <w:rPr>
          <w:sz w:val="6"/>
          <w:szCs w:val="6"/>
        </w:rPr>
      </w:pPr>
      <w:r>
        <w:rPr>
          <w:sz w:val="6"/>
          <w:szCs w:val="6"/>
        </w:rPr>
      </w:r>
    </w:p>
    <w:p>
      <w:pPr>
        <w:pStyle w:val="Normal"/>
        <w:tabs>
          <w:tab w:val="clear" w:pos="709"/>
          <w:tab w:val="left" w:pos="142" w:leader="none"/>
          <w:tab w:val="left" w:pos="6998" w:leader="none"/>
          <w:tab w:val="left" w:pos="8904" w:leader="none"/>
          <w:tab w:val="left" w:pos="10925" w:leader="dot"/>
        </w:tabs>
        <w:jc w:val="both"/>
        <w:rPr/>
      </w:pPr>
      <w:r>
        <w:rPr>
          <w:rFonts w:eastAsia="Calibri"/>
          <w:bCs/>
          <w:lang w:eastAsia="en-US"/>
        </w:rPr>
        <w:t xml:space="preserve">1.3.1. </w:t>
      </w:r>
      <w:r>
        <w:rPr>
          <w:rFonts w:eastAsia="Calibri"/>
          <w:bCs/>
          <w:color w:val="000000"/>
          <w:lang w:eastAsia="en-US"/>
        </w:rPr>
        <w:t xml:space="preserve">Гизельдонская </w:t>
      </w:r>
      <w:r>
        <w:rPr>
          <w:rFonts w:eastAsia="Calibri"/>
          <w:bCs/>
          <w:lang w:eastAsia="en-US"/>
        </w:rPr>
        <w:t xml:space="preserve">ГЭС, подлежащая охране, расположена по адресу: РСО-Алания, Пригородный район, на реке Гизельдон в районе Даргавского (также называемого Гизельдонским или Кобанским) ущелья, в 1,8 км южнее села Кобан. Территория объекта оборудована системой контроля и управления доступом, системой видеонаблюдения с выводом изображения в помещения охраны, системой охранной сигнализации и системой охранного освещения. </w:t>
      </w:r>
      <w:r>
        <w:rPr>
          <w:rFonts w:eastAsia="Calibri"/>
          <w:bCs/>
          <w:color w:val="000000"/>
          <w:lang w:eastAsia="en-US"/>
        </w:rPr>
        <w:t xml:space="preserve">Гизельдонская </w:t>
      </w:r>
      <w:r>
        <w:rPr>
          <w:rFonts w:eastAsia="Calibri"/>
          <w:bCs/>
          <w:lang w:eastAsia="en-US"/>
        </w:rPr>
        <w:t xml:space="preserve">ГЭС не имеет категории опасности. </w:t>
      </w:r>
    </w:p>
    <w:p>
      <w:pPr>
        <w:pStyle w:val="Normal"/>
        <w:tabs>
          <w:tab w:val="clear" w:pos="709"/>
          <w:tab w:val="left" w:pos="142" w:leader="none"/>
          <w:tab w:val="left" w:pos="6998" w:leader="none"/>
          <w:tab w:val="left" w:pos="8904" w:leader="none"/>
          <w:tab w:val="left" w:pos="10925" w:leader="dot"/>
        </w:tabs>
        <w:jc w:val="both"/>
        <w:rPr/>
      </w:pPr>
      <w:r>
        <w:rPr/>
      </w:r>
    </w:p>
    <w:p>
      <w:pPr>
        <w:pStyle w:val="Normal"/>
        <w:tabs>
          <w:tab w:val="clear" w:pos="709"/>
          <w:tab w:val="left" w:pos="142" w:leader="none"/>
          <w:tab w:val="left" w:pos="6998" w:leader="none"/>
          <w:tab w:val="left" w:pos="8904" w:leader="none"/>
          <w:tab w:val="left" w:pos="10925" w:leader="dot"/>
        </w:tabs>
        <w:jc w:val="both"/>
        <w:rPr>
          <w:rFonts w:eastAsia="Calibri"/>
          <w:b/>
          <w:bCs/>
        </w:rPr>
      </w:pPr>
      <w:r>
        <w:rPr>
          <w:rFonts w:eastAsia="Calibri"/>
          <w:b/>
          <w:bCs/>
        </w:rPr>
        <w:t>Таблица 1. Перечень объектов заказчика.</w:t>
      </w:r>
    </w:p>
    <w:tbl>
      <w:tblPr>
        <w:tblW w:w="935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0"/>
        <w:gridCol w:w="2214"/>
        <w:gridCol w:w="6577"/>
      </w:tblGrid>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w:t>
            </w:r>
          </w:p>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п/п</w:t>
            </w:r>
          </w:p>
        </w:tc>
        <w:tc>
          <w:tcPr>
            <w:tcW w:w="22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Наименование объекта</w:t>
            </w:r>
          </w:p>
        </w:tc>
        <w:tc>
          <w:tcPr>
            <w:tcW w:w="65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Расположение объекта</w:t>
            </w:r>
          </w:p>
        </w:tc>
      </w:tr>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pPr>
            <w:r>
              <w:rPr>
                <w:rFonts w:eastAsia="Calibri"/>
                <w:bCs/>
              </w:rPr>
              <w:t>1.</w:t>
            </w:r>
          </w:p>
        </w:tc>
        <w:tc>
          <w:tcPr>
            <w:tcW w:w="22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iCs/>
              </w:rPr>
            </w:pPr>
            <w:r>
              <w:rPr>
                <w:rFonts w:eastAsia="Calibri"/>
                <w:bCs/>
                <w:color w:val="000000"/>
                <w:lang w:val="en-US" w:eastAsia="en-US"/>
              </w:rPr>
              <w:t>Гизельдонская</w:t>
            </w:r>
            <w:r>
              <w:rPr>
                <w:rFonts w:eastAsia="Calibri"/>
                <w:color w:val="000000"/>
                <w:lang w:eastAsia="en-US"/>
              </w:rPr>
              <w:t xml:space="preserve"> </w:t>
            </w:r>
            <w:r>
              <w:rPr>
                <w:iCs/>
              </w:rPr>
              <w:t>ГЭС</w:t>
            </w:r>
          </w:p>
        </w:tc>
        <w:tc>
          <w:tcPr>
            <w:tcW w:w="657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42" w:leader="none"/>
                <w:tab w:val="left" w:pos="6998" w:leader="none"/>
                <w:tab w:val="left" w:pos="8904" w:leader="none"/>
                <w:tab w:val="left" w:pos="10925" w:leader="dot"/>
              </w:tabs>
              <w:jc w:val="center"/>
              <w:rPr>
                <w:iCs/>
              </w:rPr>
            </w:pPr>
            <w:r>
              <w:rPr>
                <w:rFonts w:eastAsia="Calibri"/>
                <w:iCs/>
                <w:lang w:eastAsia="en-US"/>
              </w:rPr>
              <w:t>РСО-Алания, Пригородный район, на реке Гизельдон в районе Даргавского (также называемого Гизельдонским или Кобанским) ущелья, в 1,8 км южнее села Кобан.</w:t>
            </w:r>
          </w:p>
        </w:tc>
      </w:tr>
    </w:tbl>
    <w:p>
      <w:pPr>
        <w:pStyle w:val="Normal"/>
        <w:tabs>
          <w:tab w:val="clear" w:pos="709"/>
          <w:tab w:val="left" w:pos="360" w:leader="none"/>
        </w:tabs>
        <w:jc w:val="both"/>
        <w:rPr/>
      </w:pPr>
      <w:r>
        <w:rPr/>
      </w:r>
    </w:p>
    <w:p>
      <w:pPr>
        <w:pStyle w:val="Normal"/>
        <w:ind w:firstLine="142"/>
        <w:jc w:val="both"/>
        <w:rPr>
          <w:b/>
        </w:rPr>
      </w:pPr>
      <w:r>
        <w:rPr>
          <w:b/>
        </w:rPr>
        <w:t>1.4. Иные требования и сведения общего характера</w:t>
      </w:r>
    </w:p>
    <w:p>
      <w:pPr>
        <w:pStyle w:val="Normal"/>
        <w:jc w:val="both"/>
        <w:rPr>
          <w:b/>
          <w:sz w:val="12"/>
          <w:szCs w:val="12"/>
        </w:rPr>
      </w:pPr>
      <w:r>
        <w:rPr>
          <w:b/>
          <w:sz w:val="12"/>
          <w:szCs w:val="12"/>
        </w:rPr>
      </w:r>
    </w:p>
    <w:p>
      <w:pPr>
        <w:pStyle w:val="Normal"/>
        <w:jc w:val="both"/>
        <w:rPr/>
      </w:pPr>
      <w:r>
        <w:rPr>
          <w:rFonts w:eastAsia="Calibri"/>
        </w:rPr>
        <w:t>1.4.1. Любая информация, полученная в ходе ознакомления с объектом и документацией, а также в ходе выполнения работ, к которой относятся все сведения о производственных активах Заказчика, содержании его Производственных программ, производственных и бизнес-процессов, является собственностью Заказчика и не может передаваться третьим лицам, использоваться в своих целях, распространяться или тиражироваться любыми способами без письменного разрешения Заказчика.</w:t>
      </w:r>
    </w:p>
    <w:p>
      <w:pPr>
        <w:pStyle w:val="Normal"/>
        <w:jc w:val="both"/>
        <w:rPr>
          <w:sz w:val="16"/>
          <w:szCs w:val="16"/>
        </w:rPr>
      </w:pPr>
      <w:r>
        <w:rPr>
          <w:sz w:val="16"/>
          <w:szCs w:val="16"/>
        </w:rPr>
      </w:r>
    </w:p>
    <w:p>
      <w:pPr>
        <w:pStyle w:val="ListParagraph"/>
        <w:numPr>
          <w:ilvl w:val="0"/>
          <w:numId w:val="6"/>
        </w:numPr>
        <w:spacing w:lineRule="auto" w:line="240" w:before="0" w:after="0"/>
        <w:contextualSpacing/>
        <w:jc w:val="center"/>
        <w:rPr>
          <w:rFonts w:ascii="Times New Roman" w:hAnsi="Times New Roman"/>
          <w:b/>
          <w:sz w:val="24"/>
          <w:szCs w:val="24"/>
        </w:rPr>
      </w:pPr>
      <w:r>
        <w:rPr>
          <w:rFonts w:ascii="Times New Roman" w:hAnsi="Times New Roman"/>
          <w:b/>
          <w:sz w:val="24"/>
          <w:szCs w:val="24"/>
        </w:rPr>
        <w:t>Требования к продукции</w:t>
      </w:r>
    </w:p>
    <w:p>
      <w:pPr>
        <w:pStyle w:val="Normal"/>
        <w:ind w:firstLine="142"/>
        <w:rPr>
          <w:b/>
        </w:rPr>
      </w:pPr>
      <w:r>
        <w:rPr>
          <w:b/>
        </w:rPr>
        <w:t>2.1. Требования к объемам и срокам оказания услуг</w:t>
      </w:r>
    </w:p>
    <w:p>
      <w:pPr>
        <w:pStyle w:val="Normal"/>
        <w:rPr>
          <w:b/>
        </w:rPr>
      </w:pPr>
      <w:r>
        <w:rPr>
          <w:b/>
        </w:rPr>
        <w:t xml:space="preserve">        </w:t>
      </w:r>
      <w:r>
        <w:rPr>
          <w:b/>
        </w:rPr>
        <w:t>2.1.1. Требования к перечню и объему услуг</w:t>
      </w:r>
    </w:p>
    <w:p>
      <w:pPr>
        <w:pStyle w:val="Normal"/>
        <w:rPr>
          <w:b/>
          <w:sz w:val="16"/>
          <w:szCs w:val="16"/>
        </w:rPr>
      </w:pPr>
      <w:r>
        <w:rPr>
          <w:b/>
          <w:sz w:val="16"/>
          <w:szCs w:val="16"/>
        </w:rPr>
      </w:r>
    </w:p>
    <w:p>
      <w:pPr>
        <w:pStyle w:val="Normal"/>
        <w:rPr>
          <w:b/>
        </w:rPr>
      </w:pPr>
      <w:r>
        <w:rPr>
          <w:b/>
        </w:rPr>
        <w:t>Таблица 2. Перечень и объем оказываемых услуг</w:t>
      </w:r>
    </w:p>
    <w:tbl>
      <w:tblPr>
        <w:tblW w:w="962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67"/>
        <w:gridCol w:w="5717"/>
        <w:gridCol w:w="1671"/>
        <w:gridCol w:w="1569"/>
      </w:tblGrid>
      <w:tr>
        <w:trPr/>
        <w:tc>
          <w:tcPr>
            <w:tcW w:w="6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w:t>
            </w:r>
          </w:p>
          <w:p>
            <w:pPr>
              <w:pStyle w:val="Normal"/>
              <w:widowControl w:val="false"/>
              <w:jc w:val="center"/>
              <w:rPr>
                <w:b/>
              </w:rPr>
            </w:pPr>
            <w:r>
              <w:rPr>
                <w:b/>
              </w:rPr>
              <w:t>п/п</w:t>
            </w:r>
          </w:p>
        </w:tc>
        <w:tc>
          <w:tcPr>
            <w:tcW w:w="5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16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Единица измерения</w:t>
            </w:r>
          </w:p>
        </w:tc>
        <w:tc>
          <w:tcPr>
            <w:tcW w:w="15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Количество</w:t>
            </w:r>
          </w:p>
        </w:tc>
      </w:tr>
      <w:tr>
        <w:trPr/>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5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0" w:leader="none"/>
              </w:tabs>
              <w:rPr>
                <w:rFonts w:eastAsia="Calibri"/>
                <w:bCs/>
                <w:lang w:eastAsia="en-US"/>
              </w:rPr>
            </w:pPr>
            <w:r>
              <w:rPr>
                <w:lang w:eastAsia="en-US"/>
              </w:rPr>
              <w:t>Услуги по охране и антитеррористической защищенности Гизельдонской ГЭС филиала ПАО «РусГидро»-«Северо-Осетинский филиал»</w:t>
            </w:r>
          </w:p>
        </w:tc>
        <w:tc>
          <w:tcPr>
            <w:tcW w:w="1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eastAsia="en-US"/>
              </w:rPr>
            </w:pPr>
            <w:r>
              <w:rPr>
                <w:rFonts w:eastAsia="Calibri"/>
                <w:bCs/>
                <w:color w:val="000000"/>
                <w:spacing w:val="2"/>
                <w:lang w:eastAsia="en-US"/>
              </w:rPr>
              <w:t>м</w:t>
            </w:r>
            <w:r>
              <w:rPr>
                <w:rFonts w:eastAsia="Calibri"/>
                <w:bCs/>
                <w:color w:val="000000"/>
                <w:spacing w:val="2"/>
                <w:vertAlign w:val="superscript"/>
                <w:lang w:eastAsia="en-US"/>
              </w:rPr>
              <w:t>2</w:t>
            </w:r>
          </w:p>
        </w:tc>
        <w:tc>
          <w:tcPr>
            <w:tcW w:w="1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eastAsia="en-US"/>
              </w:rPr>
            </w:pPr>
            <w:r>
              <w:rPr>
                <w:rFonts w:eastAsia="Calibri"/>
                <w:bCs/>
                <w:color w:val="000000"/>
                <w:spacing w:val="2"/>
                <w:lang w:val="en-US" w:eastAsia="en-US"/>
              </w:rPr>
              <w:t>16 812</w:t>
            </w:r>
          </w:p>
        </w:tc>
      </w:tr>
    </w:tbl>
    <w:p>
      <w:pPr>
        <w:pStyle w:val="Normal"/>
        <w:tabs>
          <w:tab w:val="clear" w:pos="709"/>
          <w:tab w:val="left" w:pos="142" w:leader="none"/>
          <w:tab w:val="left" w:pos="6998" w:leader="none"/>
          <w:tab w:val="left" w:pos="8904" w:leader="none"/>
          <w:tab w:val="left" w:pos="10925" w:leader="dot"/>
        </w:tabs>
        <w:jc w:val="both"/>
        <w:rPr>
          <w:rFonts w:eastAsia="Calibri"/>
          <w:bCs/>
          <w:sz w:val="22"/>
          <w:szCs w:val="22"/>
        </w:rPr>
      </w:pPr>
      <w:r>
        <w:rPr>
          <w:rFonts w:eastAsia="Calibri"/>
          <w:bCs/>
          <w:sz w:val="22"/>
          <w:szCs w:val="22"/>
        </w:rPr>
      </w:r>
    </w:p>
    <w:p>
      <w:pPr>
        <w:pStyle w:val="ListParagraph"/>
        <w:shd w:val="clear" w:color="auto" w:fill="FFFFFF"/>
        <w:spacing w:lineRule="auto" w:line="240" w:before="0" w:after="0"/>
        <w:ind w:hanging="0" w:left="1222"/>
        <w:contextualSpacing/>
        <w:jc w:val="both"/>
        <w:rPr>
          <w:rFonts w:ascii="Times New Roman" w:hAnsi="Times New Roman"/>
          <w:b/>
          <w:sz w:val="24"/>
          <w:szCs w:val="24"/>
        </w:rPr>
      </w:pPr>
      <w:r>
        <w:rPr>
          <w:rFonts w:ascii="Times New Roman" w:hAnsi="Times New Roman"/>
          <w:b/>
          <w:sz w:val="24"/>
          <w:szCs w:val="24"/>
        </w:rPr>
      </w:r>
    </w:p>
    <w:p>
      <w:pPr>
        <w:pStyle w:val="ListParagraph"/>
        <w:numPr>
          <w:ilvl w:val="2"/>
          <w:numId w:val="5"/>
        </w:numPr>
        <w:shd w:val="clear" w:color="auto" w:fill="FFFFFF"/>
        <w:spacing w:lineRule="auto" w:line="240" w:before="0" w:after="0"/>
        <w:contextualSpacing/>
        <w:jc w:val="both"/>
        <w:rPr>
          <w:rFonts w:ascii="Times New Roman" w:hAnsi="Times New Roman"/>
          <w:b/>
          <w:sz w:val="24"/>
          <w:szCs w:val="24"/>
        </w:rPr>
      </w:pPr>
      <w:r>
        <w:rPr>
          <w:rFonts w:ascii="Times New Roman" w:hAnsi="Times New Roman"/>
          <w:b/>
          <w:sz w:val="24"/>
          <w:szCs w:val="24"/>
        </w:rPr>
        <w:t>Требования к срокам оказания услуг</w:t>
      </w:r>
    </w:p>
    <w:p>
      <w:pPr>
        <w:pStyle w:val="ListParagraph"/>
        <w:shd w:val="clear" w:color="auto" w:fill="FFFFFF"/>
        <w:spacing w:lineRule="auto" w:line="240" w:before="0" w:after="0"/>
        <w:ind w:hanging="0" w:left="1222"/>
        <w:contextualSpacing/>
        <w:jc w:val="both"/>
        <w:rPr>
          <w:rFonts w:ascii="Times New Roman" w:hAnsi="Times New Roman"/>
          <w:b/>
          <w:sz w:val="24"/>
          <w:szCs w:val="24"/>
        </w:rPr>
      </w:pPr>
      <w:r>
        <w:rPr>
          <w:rFonts w:ascii="Times New Roman" w:hAnsi="Times New Roman"/>
          <w:b/>
          <w:sz w:val="24"/>
          <w:szCs w:val="24"/>
        </w:rPr>
      </w:r>
    </w:p>
    <w:p>
      <w:pPr>
        <w:pStyle w:val="ListParagraph"/>
        <w:shd w:val="clear" w:color="auto" w:fill="FFFFFF"/>
        <w:spacing w:lineRule="auto" w:line="240" w:before="0" w:after="0"/>
        <w:ind w:hanging="1222" w:left="1222"/>
        <w:contextualSpacing/>
        <w:jc w:val="both"/>
        <w:rPr>
          <w:rFonts w:ascii="Times New Roman" w:hAnsi="Times New Roman"/>
          <w:b/>
          <w:sz w:val="24"/>
          <w:szCs w:val="24"/>
        </w:rPr>
      </w:pPr>
      <w:r>
        <w:rPr>
          <w:rFonts w:ascii="Times New Roman" w:hAnsi="Times New Roman"/>
          <w:b/>
          <w:sz w:val="24"/>
          <w:szCs w:val="24"/>
        </w:rPr>
        <w:t>Таблица 3. Требования к срокам оказания услуг</w:t>
      </w:r>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1"/>
        <w:gridCol w:w="2695"/>
        <w:gridCol w:w="2409"/>
        <w:gridCol w:w="2552"/>
        <w:gridCol w:w="1701"/>
      </w:tblGrid>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w:t>
            </w:r>
          </w:p>
          <w:p>
            <w:pPr>
              <w:pStyle w:val="Normal"/>
              <w:widowControl w:val="false"/>
              <w:jc w:val="center"/>
              <w:rPr>
                <w:b/>
              </w:rPr>
            </w:pPr>
            <w:r>
              <w:rPr>
                <w:b/>
              </w:rPr>
              <w:t>п/п</w:t>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началу срока оказания услуг/ этапа услуг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окончанию срока оказания услуг / этапа услуг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Примечание</w:t>
            </w:r>
          </w:p>
        </w:tc>
      </w:tr>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0" w:leader="none"/>
              </w:tabs>
              <w:rPr>
                <w:rFonts w:eastAsia="Calibri"/>
                <w:bCs/>
                <w:lang w:eastAsia="en-US"/>
              </w:rPr>
            </w:pPr>
            <w:r>
              <w:rPr>
                <w:lang w:eastAsia="en-US"/>
              </w:rPr>
              <w:t>Услуги по охране и антитеррористической защищенности Гизельдонской ГЭС филиала ПАО «РусГидро»-«Северо-Осетинский филиал»</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01.01.2027 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hanging="0" w:left="502"/>
              <w:contextualSpacing/>
              <w:jc w:val="center"/>
              <w:rPr>
                <w:rFonts w:ascii="Times New Roman" w:hAnsi="Times New Roman"/>
                <w:sz w:val="24"/>
                <w:szCs w:val="24"/>
              </w:rPr>
            </w:pPr>
            <w:r>
              <w:rPr>
                <w:rFonts w:ascii="Times New Roman" w:hAnsi="Times New Roman"/>
                <w:sz w:val="24"/>
                <w:szCs w:val="24"/>
              </w:rPr>
              <w:t>31.12.2027 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hanging="0" w:left="0"/>
              <w:contextualSpacing/>
              <w:jc w:val="center"/>
              <w:rPr>
                <w:rFonts w:ascii="Times New Roman" w:hAnsi="Times New Roman"/>
                <w:sz w:val="24"/>
                <w:szCs w:val="24"/>
              </w:rPr>
            </w:pPr>
            <w:r>
              <w:rPr>
                <w:rFonts w:ascii="Times New Roman" w:hAnsi="Times New Roman"/>
                <w:sz w:val="24"/>
                <w:szCs w:val="24"/>
              </w:rPr>
              <w:t>нет</w:t>
            </w:r>
          </w:p>
        </w:tc>
      </w:tr>
    </w:tbl>
    <w:p>
      <w:pPr>
        <w:pStyle w:val="Normal"/>
        <w:shd w:val="clear" w:color="auto" w:fill="FFFFFF"/>
        <w:jc w:val="both"/>
        <w:rPr>
          <w:b/>
        </w:rPr>
      </w:pPr>
      <w:r>
        <w:rPr>
          <w:b/>
        </w:rPr>
      </w:r>
    </w:p>
    <w:p>
      <w:pPr>
        <w:pStyle w:val="Normal"/>
        <w:shd w:val="clear" w:color="auto" w:fill="FFFFFF"/>
        <w:jc w:val="both"/>
        <w:rPr>
          <w:b/>
          <w:sz w:val="16"/>
          <w:szCs w:val="16"/>
        </w:rPr>
      </w:pPr>
      <w:r>
        <w:rPr>
          <w:b/>
          <w:sz w:val="16"/>
          <w:szCs w:val="16"/>
        </w:rPr>
      </w:r>
    </w:p>
    <w:p>
      <w:pPr>
        <w:pStyle w:val="ListParagraph"/>
        <w:numPr>
          <w:ilvl w:val="1"/>
          <w:numId w:val="5"/>
        </w:numPr>
        <w:shd w:val="clear" w:color="auto" w:fill="FFFFFF"/>
        <w:spacing w:lineRule="auto" w:line="240" w:before="0" w:after="0"/>
        <w:ind w:hanging="425" w:left="567"/>
        <w:contextualSpacing/>
        <w:jc w:val="both"/>
        <w:rPr>
          <w:rFonts w:ascii="Times New Roman" w:hAnsi="Times New Roman"/>
          <w:b/>
          <w:sz w:val="24"/>
          <w:szCs w:val="24"/>
        </w:rPr>
      </w:pPr>
      <w:r>
        <w:rPr>
          <w:rFonts w:ascii="Times New Roman" w:hAnsi="Times New Roman"/>
          <w:b/>
          <w:sz w:val="24"/>
          <w:szCs w:val="24"/>
        </w:rPr>
        <w:t>Требования к качеству услуг</w:t>
      </w:r>
    </w:p>
    <w:p>
      <w:pPr>
        <w:pStyle w:val="ListParagraph"/>
        <w:shd w:val="clear" w:color="auto" w:fill="FFFFFF"/>
        <w:spacing w:lineRule="auto" w:line="240" w:before="0" w:after="0"/>
        <w:ind w:hanging="82" w:left="791"/>
        <w:contextualSpacing/>
        <w:jc w:val="both"/>
        <w:rPr>
          <w:rFonts w:ascii="Times New Roman" w:hAnsi="Times New Roman"/>
          <w:b/>
          <w:sz w:val="6"/>
          <w:szCs w:val="6"/>
        </w:rPr>
      </w:pPr>
      <w:r>
        <w:rPr>
          <w:rFonts w:ascii="Times New Roman" w:hAnsi="Times New Roman"/>
          <w:b/>
          <w:sz w:val="6"/>
          <w:szCs w:val="6"/>
        </w:rPr>
      </w:r>
    </w:p>
    <w:p>
      <w:pPr>
        <w:sectPr>
          <w:type w:val="nextPage"/>
          <w:pgSz w:w="11906" w:h="16838"/>
          <w:pgMar w:left="1418" w:right="851" w:gutter="0" w:header="0" w:top="993" w:footer="0" w:bottom="2268"/>
          <w:pgNumType w:fmt="decimal"/>
          <w:formProt w:val="false"/>
          <w:textDirection w:val="lrTb"/>
          <w:docGrid w:type="default" w:linePitch="360" w:charSpace="0"/>
        </w:sectPr>
        <w:pStyle w:val="Normal"/>
        <w:shd w:val="clear" w:color="auto" w:fill="FFFFFF"/>
        <w:rPr>
          <w:u w:val="single"/>
        </w:rPr>
      </w:pPr>
      <w:r>
        <w:rPr>
          <w:b/>
        </w:rPr>
        <w:t xml:space="preserve">Наименование услуг/этапа услуг (позиция №1 таблицы 1):                                                                           </w:t>
      </w:r>
      <w:r>
        <w:rPr>
          <w:rFonts w:eastAsia="Calibri"/>
          <w:u w:val="single"/>
          <w:lang w:eastAsia="en-US"/>
        </w:rPr>
        <w:t>Услуги по охране и антитеррористической защищенности Гизельдонской</w:t>
      </w:r>
      <w:r>
        <w:rPr>
          <w:u w:val="single"/>
          <w:lang w:eastAsia="en-US"/>
        </w:rPr>
        <w:t xml:space="preserve"> </w:t>
      </w:r>
      <w:r>
        <w:rPr>
          <w:rFonts w:eastAsia="Calibri"/>
          <w:u w:val="single"/>
          <w:lang w:eastAsia="en-US"/>
        </w:rPr>
        <w:t>ГЭС филиала ПАО «РусГидро»-«Северо-Осетинский филиал»</w:t>
      </w:r>
    </w:p>
    <w:p>
      <w:pPr>
        <w:pStyle w:val="Normal"/>
        <w:shd w:val="clear" w:color="auto" w:fill="FFFFFF"/>
        <w:jc w:val="both"/>
        <w:rPr>
          <w:b/>
        </w:rPr>
      </w:pPr>
      <w:r>
        <w:rPr>
          <w:b/>
        </w:rPr>
        <w:t>Таблица 4. Требования к качеству услуг</w:t>
      </w:r>
    </w:p>
    <w:p>
      <w:pPr>
        <w:pStyle w:val="Normal"/>
        <w:shd w:val="clear" w:color="auto" w:fill="FFFFFF"/>
        <w:jc w:val="both"/>
        <w:rPr>
          <w:b/>
          <w:sz w:val="4"/>
          <w:szCs w:val="4"/>
        </w:rPr>
      </w:pPr>
      <w:r>
        <w:rPr>
          <w:b/>
          <w:sz w:val="4"/>
          <w:szCs w:val="4"/>
        </w:rPr>
      </w:r>
    </w:p>
    <w:p>
      <w:pPr>
        <w:pStyle w:val="Normal"/>
        <w:shd w:val="clear" w:color="auto" w:fill="FFFFFF"/>
        <w:jc w:val="both"/>
        <w:rPr>
          <w:b/>
        </w:rPr>
      </w:pPr>
      <w:r>
        <w:rPr>
          <w:b/>
        </w:rPr>
      </w:r>
    </w:p>
    <w:tbl>
      <w:tblPr>
        <w:tblW w:w="16208" w:type="dxa"/>
        <w:jc w:val="left"/>
        <w:tblInd w:w="15" w:type="dxa"/>
        <w:tblLayout w:type="fixed"/>
        <w:tblCellMar>
          <w:top w:w="0" w:type="dxa"/>
          <w:left w:w="108" w:type="dxa"/>
          <w:bottom w:w="0" w:type="dxa"/>
          <w:right w:w="108" w:type="dxa"/>
        </w:tblCellMar>
        <w:tblLook w:val="04a0" w:noHBand="0" w:noVBand="1" w:firstColumn="1" w:lastRow="0" w:lastColumn="0" w:firstRow="1"/>
      </w:tblPr>
      <w:tblGrid>
        <w:gridCol w:w="737"/>
        <w:gridCol w:w="1653"/>
        <w:gridCol w:w="6221"/>
        <w:gridCol w:w="2851"/>
        <w:gridCol w:w="3259"/>
        <w:gridCol w:w="1486"/>
      </w:tblGrid>
      <w:tr>
        <w:trPr>
          <w:trHeight w:val="970" w:hRule="atLeast"/>
        </w:trPr>
        <w:tc>
          <w:tcPr>
            <w:tcW w:w="73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3"/>
                <w:szCs w:val="23"/>
              </w:rPr>
            </w:pPr>
            <w:r>
              <w:rPr>
                <w:b/>
                <w:sz w:val="23"/>
                <w:szCs w:val="23"/>
              </w:rPr>
              <w:t>№</w:t>
            </w:r>
          </w:p>
          <w:p>
            <w:pPr>
              <w:pStyle w:val="Normal"/>
              <w:widowControl w:val="false"/>
              <w:jc w:val="center"/>
              <w:rPr>
                <w:b/>
                <w:sz w:val="23"/>
                <w:szCs w:val="23"/>
              </w:rPr>
            </w:pPr>
            <w:r>
              <w:rPr>
                <w:b/>
                <w:sz w:val="23"/>
                <w:szCs w:val="23"/>
              </w:rPr>
              <w:t>п/п</w:t>
            </w:r>
          </w:p>
        </w:tc>
        <w:tc>
          <w:tcPr>
            <w:tcW w:w="165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3"/>
                <w:szCs w:val="23"/>
              </w:rPr>
            </w:pPr>
            <w:r>
              <w:rPr>
                <w:b/>
                <w:bCs/>
                <w:sz w:val="23"/>
                <w:szCs w:val="23"/>
              </w:rPr>
              <w:t>Наименование параметра</w:t>
            </w:r>
          </w:p>
        </w:tc>
        <w:tc>
          <w:tcPr>
            <w:tcW w:w="622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314" w:left="314"/>
              <w:jc w:val="center"/>
              <w:rPr>
                <w:b/>
                <w:bCs/>
                <w:sz w:val="23"/>
                <w:szCs w:val="23"/>
              </w:rPr>
            </w:pPr>
            <w:r>
              <w:rPr>
                <w:b/>
                <w:bCs/>
                <w:sz w:val="23"/>
                <w:szCs w:val="23"/>
              </w:rPr>
              <w:t>Требование заказчика</w:t>
            </w:r>
          </w:p>
        </w:tc>
        <w:tc>
          <w:tcPr>
            <w:tcW w:w="611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sz w:val="23"/>
                <w:szCs w:val="23"/>
              </w:rPr>
            </w:pPr>
            <w:r>
              <w:rPr>
                <w:b/>
                <w:bCs/>
                <w:sz w:val="23"/>
                <w:szCs w:val="23"/>
              </w:rPr>
              <w:t>Способ подтверждения Исполнителем соответствия требованиям</w:t>
            </w:r>
          </w:p>
        </w:tc>
        <w:tc>
          <w:tcPr>
            <w:tcW w:w="148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hanging="0" w:left="-101" w:right="-185"/>
              <w:rPr>
                <w:b/>
                <w:bCs/>
                <w:sz w:val="23"/>
                <w:szCs w:val="23"/>
              </w:rPr>
            </w:pPr>
            <w:r>
              <w:rPr>
                <w:b/>
                <w:bCs/>
                <w:sz w:val="23"/>
                <w:szCs w:val="23"/>
              </w:rPr>
              <w:t>Предложение участника    по характеристикам и параметрам</w:t>
            </w:r>
          </w:p>
        </w:tc>
      </w:tr>
      <w:tr>
        <w:trPr>
          <w:trHeight w:val="1133" w:hRule="atLeast"/>
        </w:trPr>
        <w:tc>
          <w:tcPr>
            <w:tcW w:w="737"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r>
          </w:p>
        </w:tc>
        <w:tc>
          <w:tcPr>
            <w:tcW w:w="1653"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6221"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Согласие с требованием/ указание характеристик</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Предоставление подтверждающего документа или иной способ подтверждения</w:t>
            </w:r>
          </w:p>
        </w:tc>
        <w:tc>
          <w:tcPr>
            <w:tcW w:w="1486"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rHeight w:val="269"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2</w:t>
            </w:r>
          </w:p>
        </w:tc>
        <w:tc>
          <w:tcPr>
            <w:tcW w:w="62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3</w:t>
            </w:r>
          </w:p>
        </w:tc>
        <w:tc>
          <w:tcPr>
            <w:tcW w:w="2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4</w:t>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5</w:t>
            </w:r>
          </w:p>
        </w:tc>
        <w:tc>
          <w:tcPr>
            <w:tcW w:w="1486" w:type="dxa"/>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t>6</w:t>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оказанию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t xml:space="preserve">Общие требования к оказанию услуг </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 xml:space="preserve">Услуги по охране объекта </w:t>
            </w:r>
            <w:r>
              <w:rPr>
                <w:lang w:eastAsia="en-US"/>
              </w:rPr>
              <w:t xml:space="preserve">Гизельдонская </w:t>
            </w:r>
            <w:r>
              <w:rPr>
                <w:bCs/>
              </w:rPr>
              <w:t>ГЭС:</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75" w:leader="none"/>
                <w:tab w:val="left" w:pos="458" w:leader="none"/>
              </w:tabs>
              <w:rPr>
                <w:b/>
              </w:rPr>
            </w:pPr>
            <w:r>
              <w:rPr/>
              <w:t>- Обеспечение безопасности и антитеррористической защищенности охраняемого объекта;</w:t>
            </w:r>
          </w:p>
          <w:p>
            <w:pPr>
              <w:pStyle w:val="Normal"/>
              <w:widowControl w:val="false"/>
              <w:tabs>
                <w:tab w:val="clear" w:pos="709"/>
                <w:tab w:val="left" w:pos="175" w:leader="none"/>
                <w:tab w:val="left" w:pos="458" w:leader="none"/>
              </w:tabs>
              <w:rPr>
                <w:b/>
              </w:rPr>
            </w:pPr>
            <w:r>
              <w:rPr/>
              <w:t>- Защиту охраняемого объекта от актов незаконного вмешательства;</w:t>
            </w:r>
          </w:p>
          <w:p>
            <w:pPr>
              <w:pStyle w:val="Normal"/>
              <w:widowControl w:val="false"/>
              <w:tabs>
                <w:tab w:val="clear" w:pos="709"/>
                <w:tab w:val="left" w:pos="173" w:leader="none"/>
                <w:tab w:val="left" w:pos="740" w:leader="none"/>
                <w:tab w:val="left" w:pos="1418" w:leader="none"/>
              </w:tabs>
              <w:rPr>
                <w:b/>
              </w:rPr>
            </w:pPr>
            <w:r>
              <w:rPr/>
              <w:t>- Предотвращение несанкционированного проникновения на охраняемый объект;</w:t>
            </w:r>
          </w:p>
          <w:p>
            <w:pPr>
              <w:pStyle w:val="Normal"/>
              <w:widowControl w:val="false"/>
              <w:tabs>
                <w:tab w:val="clear" w:pos="709"/>
                <w:tab w:val="left" w:pos="175" w:leader="none"/>
                <w:tab w:val="left" w:pos="458" w:leader="none"/>
              </w:tabs>
              <w:rPr>
                <w:b/>
              </w:rPr>
            </w:pPr>
            <w:r>
              <w:rPr/>
              <w:t>- Своевременное обнаружение и пресечение посягательств на целостность и безопасность охраняемого объекта, обеспечение сохранности имущества;</w:t>
            </w:r>
          </w:p>
          <w:p>
            <w:pPr>
              <w:pStyle w:val="Normal"/>
              <w:widowControl w:val="false"/>
              <w:tabs>
                <w:tab w:val="clear" w:pos="709"/>
                <w:tab w:val="left" w:pos="175" w:leader="none"/>
                <w:tab w:val="left" w:pos="458" w:leader="none"/>
              </w:tabs>
              <w:rPr>
                <w:b/>
              </w:rPr>
            </w:pPr>
            <w:r>
              <w:rPr/>
              <w:t>- Поиск и задержание лиц, незаконно проникших на охраняемый объект;</w:t>
            </w:r>
          </w:p>
          <w:p>
            <w:pPr>
              <w:pStyle w:val="Normal"/>
              <w:widowControl w:val="false"/>
              <w:tabs>
                <w:tab w:val="clear" w:pos="709"/>
                <w:tab w:val="left" w:pos="175" w:leader="none"/>
                <w:tab w:val="left" w:pos="458" w:leader="none"/>
              </w:tabs>
              <w:rPr>
                <w:b/>
              </w:rPr>
            </w:pPr>
            <w:r>
              <w:rPr/>
              <w:t>- Контроль за соблюдением противопожарного режима, а также участие в ликвидации последствий аварий, катастроф, стихийных бедствий и других чрезвычайных ситуациях на охраняемом объекте;</w:t>
            </w:r>
          </w:p>
          <w:p>
            <w:pPr>
              <w:pStyle w:val="Normal"/>
              <w:widowControl w:val="false"/>
              <w:tabs>
                <w:tab w:val="clear" w:pos="709"/>
                <w:tab w:val="left" w:pos="175" w:leader="none"/>
                <w:tab w:val="left" w:pos="458" w:leader="none"/>
              </w:tabs>
              <w:rPr>
                <w:b/>
              </w:rPr>
            </w:pPr>
            <w:r>
              <w:rPr/>
              <w:t>- Обеспечение пропускного и внутриобъектового режимов на охраняемом объекте.</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1.2.</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t>Требования к способам оказания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1.2.1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применяемым подходам при оказании услуг</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both"/>
              <w:rPr>
                <w:b/>
              </w:rPr>
            </w:pPr>
            <w:r>
              <w:rPr/>
              <w:t>Услуги по охране объектов оказываются в следующем порядке:</w:t>
            </w:r>
          </w:p>
          <w:p>
            <w:pPr>
              <w:pStyle w:val="Normal"/>
              <w:widowControl w:val="false"/>
              <w:jc w:val="both"/>
              <w:rPr/>
            </w:pPr>
            <w:r>
              <w:rPr/>
              <w:t xml:space="preserve">- Охрану </w:t>
            </w:r>
            <w:r>
              <w:rPr>
                <w:lang w:eastAsia="en-US"/>
              </w:rPr>
              <w:t xml:space="preserve">Гизельдонской </w:t>
            </w:r>
            <w:r>
              <w:rPr/>
              <w:t xml:space="preserve">ГЭС осуществлять по 24-х часовому графику с режимом работы сутки через трое, с ежесуточной нормой выставления личного состава - </w:t>
            </w:r>
            <w:r>
              <w:rPr/>
              <w:t>7</w:t>
            </w:r>
            <w:r>
              <w:rPr/>
              <w:t xml:space="preserve"> вооруженных человек. Вооруженные охранники должны иметь 6-й разряд;</w:t>
            </w:r>
          </w:p>
          <w:p>
            <w:pPr>
              <w:pStyle w:val="Normal"/>
              <w:widowControl w:val="false"/>
              <w:jc w:val="both"/>
              <w:rPr>
                <w:color w:val="000000"/>
              </w:rPr>
            </w:pPr>
            <w:r>
              <w:rPr>
                <w:color w:val="000000"/>
              </w:rPr>
              <w:t>Услуги по охране объекта оказываются в соответствии с Дислокацией постов (Приложение №4 к настоящим техническим требованиям).</w:t>
            </w:r>
          </w:p>
          <w:p>
            <w:pPr>
              <w:pStyle w:val="Normal"/>
              <w:widowControl w:val="false"/>
              <w:jc w:val="both"/>
              <w:rPr>
                <w:color w:val="000000"/>
              </w:rPr>
            </w:pPr>
            <w:r>
              <w:rPr>
                <w:color w:val="000000"/>
              </w:rPr>
              <w:t>- По согласованию с Заказчиком, назначить посты наблюдения за воздушным пространством в целях защиты объектов от неправомерного воздействия БПЛА;</w:t>
            </w:r>
          </w:p>
          <w:p>
            <w:pPr>
              <w:pStyle w:val="Normal"/>
              <w:widowControl w:val="false"/>
              <w:tabs>
                <w:tab w:val="clear" w:pos="709"/>
                <w:tab w:val="left" w:pos="1276" w:leader="none"/>
              </w:tabs>
              <w:jc w:val="both"/>
              <w:rPr>
                <w:rFonts w:eastAsia="Calibri"/>
                <w:lang w:eastAsia="en-US"/>
              </w:rPr>
            </w:pPr>
            <w:r>
              <w:rPr>
                <w:rFonts w:eastAsia="Calibri"/>
                <w:lang w:eastAsia="en-US"/>
              </w:rPr>
              <w:t>- Обеспечить взаимодействие с СБ Филиала по сохранности вверенного имущества и поддержанию в работоспособном состоянии переданного в пользование оборудования;</w:t>
            </w:r>
          </w:p>
          <w:p>
            <w:pPr>
              <w:pStyle w:val="Normal"/>
              <w:widowControl w:val="false"/>
              <w:tabs>
                <w:tab w:val="left" w:pos="709" w:leader="none"/>
                <w:tab w:val="left" w:pos="1276" w:leader="none"/>
              </w:tabs>
              <w:jc w:val="both"/>
              <w:rPr>
                <w:rFonts w:eastAsia="Calibri"/>
                <w:lang w:eastAsia="en-US"/>
              </w:rPr>
            </w:pPr>
            <w:r>
              <w:rPr>
                <w:rFonts w:eastAsia="Calibri"/>
                <w:lang w:eastAsia="en-US"/>
              </w:rPr>
              <w:t>- Предоставить Заказчику инструкции охранников;</w:t>
            </w:r>
          </w:p>
          <w:p>
            <w:pPr>
              <w:pStyle w:val="Normal"/>
              <w:widowControl w:val="false"/>
              <w:tabs>
                <w:tab w:val="left" w:pos="709" w:leader="none"/>
                <w:tab w:val="left" w:pos="1276" w:leader="none"/>
              </w:tabs>
              <w:jc w:val="both"/>
              <w:rPr>
                <w:b/>
              </w:rPr>
            </w:pPr>
            <w:r>
              <w:rPr>
                <w:rFonts w:eastAsia="Calibri"/>
                <w:lang w:eastAsia="en-US"/>
              </w:rPr>
              <w:t>- Согласовывать с СБ Заказчика прием на работу личного состава для охраны объекта Заказчика, предоставляя в СБ справки об отсутствии судимости, заполненные работниками Анкеты по форме Приложение №2 к настоящим техническим требованиям, заполненные работниками согласия на обработку персональных данных по форме Приложение №3 к настоящим техническим требованиям;</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Ежедневно предоставлять информацию о состоянии охраны, целостности ограждений, запоров и исправности охранно-пожарной сигнализации по установленной СБ форме и другие необходимые данные по требованию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Ежеквартально по запросу представлять в СБ анализ несения службы на постах охраны объекте Филиала;</w:t>
            </w:r>
          </w:p>
          <w:p>
            <w:pPr>
              <w:pStyle w:val="Normal"/>
              <w:widowControl w:val="false"/>
              <w:tabs>
                <w:tab w:val="left" w:pos="709" w:leader="none"/>
                <w:tab w:val="left" w:pos="1276" w:leader="none"/>
              </w:tabs>
              <w:jc w:val="both"/>
              <w:rPr>
                <w:rFonts w:eastAsia="Calibri"/>
                <w:lang w:eastAsia="en-US"/>
              </w:rPr>
            </w:pPr>
            <w:r>
              <w:rPr>
                <w:rFonts w:eastAsia="Calibri"/>
                <w:lang w:eastAsia="en-US"/>
              </w:rPr>
              <w:t>- Обеспечивать сохранность конфиденциальной информации по организации охраны и конфиденциальность мероприятий, проводимых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В случае каких-либо противоправных действий в отношении охраняемого объекта немедленно докладывать по телефону о произошедшем начальнику СБ или инженеру по режиму и охране СБ.</w:t>
            </w:r>
          </w:p>
          <w:p>
            <w:pPr>
              <w:pStyle w:val="Normal"/>
              <w:widowControl w:val="false"/>
              <w:jc w:val="both"/>
              <w:rPr>
                <w:b/>
              </w:rPr>
            </w:pPr>
            <w:r>
              <w:rPr>
                <w:rFonts w:eastAsia="Calibri"/>
                <w:lang w:eastAsia="en-US"/>
              </w:rPr>
              <w:t>- Иметь в штате (или привлеченных по договору) не менее 2-х (двух) мобильных групп (группы быстр</w:t>
            </w:r>
            <w:r>
              <w:rPr/>
              <w:t xml:space="preserve">ого реагирования – ГБР) в смену, в составе каждой из которых не менее 2-х (двух) охранников, на специальном автомобиле повышенной проходимости, оснащенном средствами наблюдения (бинокль), связи (радио и/или мобильной), знаками принадлежности. Группа быстрого реагирования должна быть обеспечена служебным короткоствольным огнестрельным оружием не менее 1 (одной) единицы на экипаж группы быстрого реагирования, итого 2 (две) единицы служебного короткоствольного огнестрельного оружия. Режим работы: ежедневно, круглосуточно, включая праздничные и выходные дни. </w:t>
            </w:r>
          </w:p>
          <w:p>
            <w:pPr>
              <w:pStyle w:val="Normal"/>
              <w:widowControl w:val="false"/>
              <w:jc w:val="both"/>
              <w:rPr>
                <w:b/>
              </w:rPr>
            </w:pPr>
            <w:r>
              <w:rPr/>
              <w:t>- Осуществлять п</w:t>
            </w:r>
            <w:r>
              <w:rPr>
                <w:bCs/>
              </w:rPr>
              <w:t>еревозку персонала, а также ГБР силами и за счет Исполнителя. Эксплуатационные затраты на ремонт автомобиля, а также затраты на ГСМ несет Исполнитель собственными силами за свой счет.</w:t>
            </w:r>
          </w:p>
          <w:p>
            <w:pPr>
              <w:pStyle w:val="Normal"/>
              <w:widowControl w:val="false"/>
              <w:jc w:val="both"/>
              <w:rPr>
                <w:b/>
              </w:rPr>
            </w:pPr>
            <w:r>
              <w:rPr>
                <w:bCs/>
                <w:color w:val="000000"/>
              </w:rPr>
              <w:t xml:space="preserve">- </w:t>
            </w:r>
            <w:r>
              <w:rPr>
                <w:color w:val="000000"/>
              </w:rPr>
              <w:t>Жизнь и здоровье работников Исполнителя должны быть застрахованы.</w:t>
            </w:r>
          </w:p>
          <w:p>
            <w:pPr>
              <w:pStyle w:val="Normal"/>
              <w:widowControl w:val="false"/>
              <w:jc w:val="both"/>
              <w:rPr>
                <w:b/>
              </w:rPr>
            </w:pPr>
            <w:r>
              <w:rPr>
                <w:b/>
              </w:rPr>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применяемым при оказании услуг оборудованию и материалам</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самостоятельному приобретению исполнителем используемого при оказании услуг оборудования и материалов</w:t>
            </w:r>
          </w:p>
          <w:p>
            <w:pPr>
              <w:pStyle w:val="Normal"/>
              <w:widowControl w:val="false"/>
              <w:rPr>
                <w:b/>
              </w:rPr>
            </w:pPr>
            <w:r>
              <w:rPr>
                <w:b/>
              </w:rPr>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iCs/>
                <w:color w:val="000000"/>
              </w:rPr>
              <w:t>Исполнитель приобретает за свои средства все необходимые материально-технические ресурсы, а именно:</w:t>
            </w:r>
            <w:r>
              <w:rPr/>
              <w:t xml:space="preserve"> </w:t>
            </w:r>
          </w:p>
          <w:p>
            <w:pPr>
              <w:pStyle w:val="Normal"/>
              <w:widowControl w:val="false"/>
              <w:jc w:val="both"/>
              <w:rPr/>
            </w:pPr>
            <w:r>
              <w:rPr/>
              <w:t>- специальную форменную одежду не менее 28 комплектов.</w:t>
            </w:r>
          </w:p>
          <w:p>
            <w:pPr>
              <w:pStyle w:val="Normal"/>
              <w:widowControl w:val="false"/>
              <w:jc w:val="both"/>
              <w:rPr/>
            </w:pPr>
            <w:r>
              <w:rPr/>
              <w:t>- палки резиновые – не менее 7 шт.;</w:t>
            </w:r>
          </w:p>
          <w:p>
            <w:pPr>
              <w:pStyle w:val="Normal"/>
              <w:widowControl w:val="false"/>
              <w:jc w:val="both"/>
              <w:rPr/>
            </w:pPr>
            <w:r>
              <w:rPr/>
              <w:t>- электрошокеры – не менее 7 шт.;</w:t>
            </w:r>
          </w:p>
          <w:p>
            <w:pPr>
              <w:pStyle w:val="Normal"/>
              <w:widowControl w:val="false"/>
              <w:jc w:val="both"/>
              <w:rPr/>
            </w:pPr>
            <w:r>
              <w:rPr/>
              <w:t>- наручники – не менее 7 шт.;</w:t>
            </w:r>
          </w:p>
          <w:p>
            <w:pPr>
              <w:pStyle w:val="Normal"/>
              <w:widowControl w:val="false"/>
              <w:jc w:val="both"/>
              <w:rPr/>
            </w:pPr>
            <w:r>
              <w:rPr/>
              <w:t>- мобильные телефоны – не менее 7 шт.;</w:t>
            </w:r>
          </w:p>
          <w:p>
            <w:pPr>
              <w:pStyle w:val="Normal"/>
              <w:widowControl w:val="false"/>
              <w:jc w:val="both"/>
              <w:rPr/>
            </w:pPr>
            <w:r>
              <w:rPr/>
              <w:t xml:space="preserve">- связь с дежурным </w:t>
            </w:r>
            <w:r>
              <w:rPr>
                <w:rFonts w:eastAsia="Calibri"/>
                <w:lang w:eastAsia="en-US"/>
              </w:rPr>
              <w:t>подразделением охранной организации и соответствующей дежурной частью органов внутренних дел;</w:t>
            </w:r>
          </w:p>
          <w:p>
            <w:pPr>
              <w:pStyle w:val="Normal"/>
              <w:widowControl w:val="false"/>
              <w:jc w:val="both"/>
              <w:rPr/>
            </w:pPr>
            <w:r>
              <w:rPr/>
              <w:t>- специальные автомобили повышенной проходимости, оснащенных средствами наблюдения (бинокль), связи (радио и/или мобильной), знаками принадлежности для перевозки групп быстрого реагирования. Автотранспорт не должен быть старше 5-ти (пяти) лет - не менее 2 ед. Группа быстрого реагирования должна быть обеспечена служебным короткоствольным огнестрельным оружием не менее 1 (одной) единицы на экипаж группы быстрого реагирования, итого 2 (две) единицы служебного короткоствольного огнестрельного оружия;</w:t>
            </w:r>
          </w:p>
          <w:p>
            <w:pPr>
              <w:pStyle w:val="Normal"/>
              <w:widowControl w:val="false"/>
              <w:jc w:val="both"/>
              <w:rPr/>
            </w:pPr>
            <w:r>
              <w:rPr/>
              <w:t xml:space="preserve">- служебное огнестрельное нарезное короткоствольное оружие или </w:t>
            </w:r>
            <w:r>
              <w:rPr>
                <w:color w:val="000000"/>
              </w:rPr>
              <w:t xml:space="preserve">огнестрельное гладкоствольное длинноствольное оружие (по согласованию с заказчиком) в количестве </w:t>
            </w:r>
            <w:r>
              <w:rPr/>
              <w:t xml:space="preserve">не менее </w:t>
            </w:r>
            <w:r>
              <w:rPr>
                <w:shd w:fill="auto" w:val="clear"/>
              </w:rPr>
              <w:t>3 ед.;</w:t>
            </w:r>
          </w:p>
          <w:p>
            <w:pPr>
              <w:pStyle w:val="Normal"/>
              <w:widowControl w:val="false"/>
              <w:jc w:val="both"/>
              <w:rPr>
                <w:b/>
              </w:rPr>
            </w:pPr>
            <w:r>
              <w:rPr/>
              <w:t>- комната хранения оружия и специальных средств должна находиться на территории Республики Северная Осетия - Алания, для оперативного реагирования на возникновение чрезвычайных происшествий на охраняемом объекте и усиления дежурной смены в составе авто-экипажей, время прибытия на охраняемый объект не должно превышать 10 (десять) минут – в ночное время, 15 (пятнадцать) минут – в дневное время.</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персоналу исполнителя</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Квалификация персонала исполнителя, привлекаемого к оказанию услуг</w:t>
            </w:r>
          </w:p>
        </w:tc>
        <w:tc>
          <w:tcPr>
            <w:tcW w:w="62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eastAsia="Calibri"/>
                <w:lang w:eastAsia="en-US"/>
              </w:rPr>
            </w:pPr>
            <w:r>
              <w:rPr>
                <w:rFonts w:eastAsia="Calibri"/>
                <w:lang w:eastAsia="en-US"/>
              </w:rPr>
              <w:t xml:space="preserve">В соответствии с Законом РФ от 11.03.1992 N 2487-1 "О частной детективной и охранной деятельности в Российской Федерации" исполнитель должен обеспечить Страхование жизни и здоровья работников Исполнителя, осуществляющих охрану объекта Заказчика. </w:t>
            </w:r>
          </w:p>
          <w:p>
            <w:pPr>
              <w:pStyle w:val="Normal"/>
              <w:widowControl w:val="false"/>
              <w:jc w:val="both"/>
              <w:rPr>
                <w:rFonts w:eastAsia="Calibri"/>
                <w:lang w:eastAsia="en-US"/>
              </w:rPr>
            </w:pPr>
            <w:r>
              <w:rPr>
                <w:rFonts w:eastAsia="Calibri"/>
                <w:lang w:eastAsia="en-US"/>
              </w:rPr>
              <w:t>Исполнитель должен иметь в управленческом аппарате не менее двух специально выделенных работников, проводящих проверки несения службы на объекте охраны.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w:t>
            </w:r>
          </w:p>
          <w:p>
            <w:pPr>
              <w:pStyle w:val="Normal"/>
              <w:widowControl w:val="false"/>
              <w:jc w:val="both"/>
              <w:rPr>
                <w:rFonts w:eastAsia="Calibri"/>
                <w:lang w:eastAsia="en-US"/>
              </w:rPr>
            </w:pPr>
            <w:r>
              <w:rPr/>
              <w:t>Исполнитель должен иметь в штате, и/или привлеченный по договорам гражданско-правового характера, квалифицированный персонал (охранник) не менее 64 человек для качественного оказания услуг.  При этом выставляемые на объект Заказчика вооруженные охранники должны иметь 6-й разряд, удостоверение охранника нового образца, с наличием свидетельства о прохождении ежегодного квалификационного экзамена, личную карточку охранника, выданную Федеральной службой войск национальной гвардии.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 с приложением копий удостоверений, дипломов о повышении квалификации, личных карточек.</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w:t>
            </w:r>
          </w:p>
        </w:tc>
        <w:tc>
          <w:tcPr>
            <w:tcW w:w="787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b/>
              </w:rPr>
              <w:t>Требования к процедурам оказания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t>Организационно-технические мероприятия по допуску персонала исполнителя</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Совместно с договором оказания услуг охраны заключить соглашение о конфиденциальности полученной от Заказчика информации по форме Приложения №1 к настоящим техническим требованиям;</w:t>
            </w:r>
          </w:p>
          <w:p>
            <w:pPr>
              <w:pStyle w:val="Normal"/>
              <w:widowControl w:val="false"/>
              <w:jc w:val="both"/>
              <w:rPr/>
            </w:pPr>
            <w:r>
              <w:rPr/>
              <w:t>Допуск персонала исполнителя для оказания услуг должен осуществляться в соответствии с «Положением о пропускном и внутриобъектовом режимах филиала ПАО «РусГидро» - «Северо-Осетинский филиал»» (Приложение №8 к Договору)».</w:t>
            </w:r>
          </w:p>
          <w:p>
            <w:pPr>
              <w:pStyle w:val="Normal"/>
              <w:widowControl w:val="false"/>
              <w:jc w:val="both"/>
              <w:rPr>
                <w:b/>
              </w:rPr>
            </w:pPr>
            <w:r>
              <w:rPr/>
              <w:t>Подготовку рабочих мест и допуск к оказанию услуг выполняет персонал заказчика.</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результатам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документации, описывающей результат оказания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Результат оказания услуг</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t xml:space="preserve">Обеспечение требований Правил по обеспечению безопасности и антитеррористической защищенности объекта </w:t>
            </w:r>
            <w:r>
              <w:rPr>
                <w:lang w:eastAsia="en-US"/>
              </w:rPr>
              <w:t xml:space="preserve">Гизельдонская </w:t>
            </w:r>
            <w:r>
              <w:rPr/>
              <w:t>ГЭС.</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w:t>
            </w:r>
          </w:p>
        </w:tc>
        <w:tc>
          <w:tcPr>
            <w:tcW w:w="78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соблюдению положений нормативной и иной обязательной для исполнителя документации, определяемой видами услуг</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Соблюдение при выполнении работ норм и правил нормативно-технических документов</w:t>
            </w:r>
          </w:p>
        </w:tc>
        <w:tc>
          <w:tcPr>
            <w:tcW w:w="622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Услуги должны осуществляться в соответствии с национальными, отраслевыми и корпоративными (ПАО «РусГидро») нормативно-техническими документами (НТД) и нормативно-правовыми актами (НПА):</w:t>
            </w:r>
          </w:p>
          <w:p>
            <w:pPr>
              <w:pStyle w:val="Normal"/>
              <w:widowControl w:val="false"/>
              <w:tabs>
                <w:tab w:val="clear" w:pos="709"/>
                <w:tab w:val="left" w:pos="426" w:leader="none"/>
              </w:tabs>
              <w:spacing w:before="60" w:after="60"/>
              <w:jc w:val="both"/>
              <w:rPr/>
            </w:pPr>
            <w:r>
              <w:rPr/>
              <w:t>-Федеральный закон «О безопасности объектов топливно-энергетического комплекса» от 21.07.2011 года № 256-ФЗ;</w:t>
            </w:r>
          </w:p>
          <w:p>
            <w:pPr>
              <w:pStyle w:val="Normal"/>
              <w:widowControl w:val="false"/>
              <w:tabs>
                <w:tab w:val="clear" w:pos="709"/>
                <w:tab w:val="left" w:pos="426" w:leader="none"/>
              </w:tabs>
              <w:spacing w:before="60" w:after="60"/>
              <w:jc w:val="both"/>
              <w:rPr/>
            </w:pPr>
            <w:r>
              <w:rPr/>
              <w:t>-Постановление Правительства РФ от 08.12.2022 г. №2258 «Об утверждении специальных требований к частным охранным организациям, которые вправе осуществлять физическую защиту объектов топливно-энергетического комплекса в соответствии с пунктами 2 и 3 части 4 статьи 9 Федерального закона «О безопасности  объектов топливно-энергетического комплекса»;</w:t>
            </w:r>
          </w:p>
          <w:p>
            <w:pPr>
              <w:pStyle w:val="Normal"/>
              <w:widowControl w:val="false"/>
              <w:jc w:val="both"/>
              <w:rPr/>
            </w:pPr>
            <w:r>
              <w:rPr/>
              <w:t>- При оказании услуг должны выполняться все требования ПТБ, ППБ, ПТЭ и требования внутренних документов и правил, действующих на предприятии. Все проводимые работы должны быть согласованы с полномочными представителями Заказчика, список которых Заказчик предоставляет Исполнителю перед началом проводимых работ.</w:t>
            </w:r>
          </w:p>
        </w:tc>
        <w:tc>
          <w:tcPr>
            <w:tcW w:w="28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bl>
    <w:p>
      <w:pPr>
        <w:sectPr>
          <w:headerReference w:type="default" r:id="rId2"/>
          <w:type w:val="nextPage"/>
          <w:pgSz w:orient="landscape" w:w="16838" w:h="11906"/>
          <w:pgMar w:left="278" w:right="992" w:gutter="0" w:header="284" w:top="1418" w:footer="0" w:bottom="851"/>
          <w:pgNumType w:fmt="decimal"/>
          <w:formProt w:val="false"/>
          <w:textDirection w:val="lrTb"/>
          <w:docGrid w:type="default" w:linePitch="360" w:charSpace="0"/>
        </w:sectPr>
      </w:pPr>
    </w:p>
    <w:p>
      <w:pPr>
        <w:pStyle w:val="Normal"/>
        <w:keepNext w:val="true"/>
        <w:numPr>
          <w:ilvl w:val="0"/>
          <w:numId w:val="0"/>
        </w:numPr>
        <w:spacing w:before="120" w:after="0"/>
        <w:ind w:hanging="0" w:left="0"/>
        <w:jc w:val="center"/>
        <w:outlineLvl w:val="0"/>
        <w:rPr>
          <w:rFonts w:eastAsia="Calibri"/>
          <w:b/>
          <w:lang w:val="x-none" w:eastAsia="x-none"/>
        </w:rPr>
      </w:pPr>
      <w:r>
        <w:rPr>
          <w:rFonts w:eastAsia="Calibri"/>
          <w:b/>
          <w:lang w:eastAsia="x-none"/>
        </w:rPr>
        <w:t xml:space="preserve">3. </w:t>
      </w:r>
      <w:r>
        <w:rPr>
          <w:rFonts w:eastAsia="Calibri"/>
          <w:b/>
          <w:lang w:val="x-none" w:eastAsia="x-none"/>
        </w:rPr>
        <w:tab/>
        <w:t>Требования к документации по ценообразованию на этапе закупки</w:t>
      </w:r>
    </w:p>
    <w:p>
      <w:pPr>
        <w:pStyle w:val="Normal"/>
        <w:keepNext w:val="true"/>
        <w:numPr>
          <w:ilvl w:val="0"/>
          <w:numId w:val="0"/>
        </w:numPr>
        <w:spacing w:before="120" w:after="0"/>
        <w:ind w:hanging="0" w:left="0"/>
        <w:jc w:val="center"/>
        <w:outlineLvl w:val="0"/>
        <w:rPr>
          <w:rFonts w:eastAsia="Calibri"/>
          <w:b/>
          <w:sz w:val="16"/>
          <w:szCs w:val="16"/>
          <w:lang w:val="x-none" w:eastAsia="x-none"/>
        </w:rPr>
      </w:pPr>
      <w:r>
        <w:rPr>
          <w:rFonts w:eastAsia="Calibri"/>
          <w:b/>
          <w:sz w:val="16"/>
          <w:szCs w:val="16"/>
          <w:lang w:val="x-none" w:eastAsia="x-none"/>
        </w:rPr>
      </w:r>
    </w:p>
    <w:p>
      <w:pPr>
        <w:pStyle w:val="Normal"/>
        <w:tabs>
          <w:tab w:val="clear" w:pos="709"/>
          <w:tab w:val="left" w:pos="567" w:leader="none"/>
        </w:tabs>
        <w:jc w:val="both"/>
        <w:rPr>
          <w:rFonts w:eastAsia="Calibri"/>
          <w:b/>
          <w:lang w:eastAsia="x-none"/>
        </w:rPr>
      </w:pPr>
      <w:r>
        <w:rPr>
          <w:rFonts w:eastAsia="Calibri"/>
          <w:color w:val="000000"/>
          <w:lang w:eastAsia="en-US"/>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(с указанием понижающего коэффициента).</w:t>
      </w:r>
    </w:p>
    <w:p>
      <w:pPr>
        <w:pStyle w:val="Normal"/>
        <w:jc w:val="both"/>
        <w:rPr>
          <w:rFonts w:eastAsia="Calibri"/>
          <w:lang w:eastAsia="en-US"/>
        </w:rPr>
      </w:pPr>
      <w:r>
        <w:rPr>
          <w:rFonts w:eastAsia="Calibri"/>
          <w:color w:val="000000"/>
          <w:lang w:eastAsia="en-US"/>
        </w:rPr>
        <w:t>3.2. П</w:t>
      </w:r>
      <w:r>
        <w:rPr/>
        <w:t>редставить р</w:t>
      </w:r>
      <w:r>
        <w:rPr>
          <w:rFonts w:eastAsia="Calibri"/>
          <w:lang w:eastAsia="en-US"/>
        </w:rPr>
        <w:t>асчет стоимости услуг охраны объекта Заказчика</w:t>
      </w:r>
      <w:r>
        <w:rPr/>
        <w:t xml:space="preserve"> </w:t>
      </w:r>
      <w:r>
        <w:rPr>
          <w:rFonts w:eastAsia="Calibri"/>
          <w:lang w:eastAsia="en-US"/>
        </w:rPr>
        <w:t>по форме таблицы №5</w:t>
      </w:r>
      <w:r>
        <w:rPr>
          <w:rFonts w:eastAsia="Calibri"/>
          <w:bCs/>
          <w:lang w:eastAsia="en-US"/>
        </w:rPr>
        <w:t>,</w:t>
      </w:r>
      <w:r>
        <w:rPr>
          <w:rFonts w:eastAsia="Calibri"/>
          <w:lang w:eastAsia="en-US"/>
        </w:rPr>
        <w:t xml:space="preserve"> либо распорядительный документ организации, утверждающий стоимость расценки (прейскурант) услуг физической охраны. </w:t>
      </w:r>
    </w:p>
    <w:p>
      <w:pPr>
        <w:pStyle w:val="Normal"/>
        <w:tabs>
          <w:tab w:val="clear" w:pos="709"/>
          <w:tab w:val="left" w:pos="426" w:leader="none"/>
        </w:tabs>
        <w:jc w:val="both"/>
        <w:rPr>
          <w:rFonts w:eastAsia="Calibri"/>
          <w:b/>
          <w:lang w:eastAsia="x-none"/>
        </w:rPr>
      </w:pPr>
      <w:r>
        <w:rPr>
          <w:rFonts w:eastAsia="Calibri"/>
          <w:lang w:eastAsia="en-US"/>
        </w:rPr>
        <w:t>3.3.</w:t>
        <w:tab/>
        <w:t xml:space="preserve">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 (Приложение №2 к Документации о закупке)». </w:t>
      </w:r>
    </w:p>
    <w:p>
      <w:pPr>
        <w:pStyle w:val="Normal"/>
        <w:jc w:val="both"/>
        <w:rPr>
          <w:rFonts w:eastAsia="Calibri"/>
          <w:lang w:eastAsia="en-US"/>
        </w:rPr>
      </w:pPr>
      <w:r>
        <w:rPr>
          <w:rFonts w:eastAsia="Calibri"/>
          <w:lang w:eastAsia="en-US"/>
        </w:rPr>
      </w:r>
    </w:p>
    <w:p>
      <w:pPr>
        <w:pStyle w:val="Normal"/>
        <w:shd w:val="clear" w:color="auto" w:fill="FFFFFF"/>
        <w:ind w:hanging="0" w:right="14"/>
        <w:jc w:val="right"/>
        <w:rPr>
          <w:rFonts w:eastAsia="Calibri"/>
          <w:lang w:eastAsia="en-US"/>
        </w:rPr>
      </w:pPr>
      <w:r>
        <w:rPr>
          <w:rFonts w:eastAsia="Calibri"/>
          <w:lang w:eastAsia="en-US"/>
        </w:rPr>
        <w:t xml:space="preserve">                                                                                                                         </w:t>
      </w:r>
      <w:r>
        <w:rPr>
          <w:rFonts w:eastAsia="Calibri"/>
          <w:lang w:eastAsia="en-US"/>
        </w:rPr>
        <w:t>Таблица №5.</w:t>
      </w:r>
    </w:p>
    <w:tbl>
      <w:tblPr>
        <w:tblW w:w="9531"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125"/>
        <w:gridCol w:w="1695"/>
        <w:gridCol w:w="2028"/>
        <w:gridCol w:w="1663"/>
        <w:gridCol w:w="2020"/>
      </w:tblGrid>
      <w:tr>
        <w:trPr>
          <w:trHeight w:val="300" w:hRule="atLeast"/>
        </w:trPr>
        <w:tc>
          <w:tcPr>
            <w:tcW w:w="9531" w:type="dxa"/>
            <w:gridSpan w:val="5"/>
            <w:tcBorders>
              <w:bottom w:val="single" w:sz="4" w:space="0" w:color="000000"/>
            </w:tcBorders>
            <w:vAlign w:val="center"/>
          </w:tcPr>
          <w:p>
            <w:pPr>
              <w:pStyle w:val="Normal"/>
              <w:widowControl w:val="false"/>
              <w:jc w:val="center"/>
              <w:rPr>
                <w:bCs/>
                <w:color w:val="000000"/>
              </w:rPr>
            </w:pPr>
            <w:r>
              <w:rPr>
                <w:bCs/>
                <w:color w:val="000000"/>
              </w:rPr>
              <w:t xml:space="preserve">Расчет стоимости услуг </w:t>
            </w:r>
          </w:p>
        </w:tc>
      </w:tr>
      <w:tr>
        <w:trPr>
          <w:trHeight w:val="1425" w:hRule="atLeast"/>
        </w:trPr>
        <w:tc>
          <w:tcPr>
            <w:tcW w:w="21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Наименование месяца</w:t>
            </w:r>
          </w:p>
        </w:tc>
        <w:tc>
          <w:tcPr>
            <w:tcW w:w="1695"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в сутки (час)</w:t>
            </w:r>
          </w:p>
        </w:tc>
        <w:tc>
          <w:tcPr>
            <w:tcW w:w="2028"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с 01.01.2026 г. по 31.12.2026 г. (час.)</w:t>
            </w:r>
          </w:p>
        </w:tc>
        <w:tc>
          <w:tcPr>
            <w:tcW w:w="1663"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Стоимость 1 часа охраны (руб. без НДС)</w:t>
            </w:r>
          </w:p>
        </w:tc>
        <w:tc>
          <w:tcPr>
            <w:tcW w:w="2020"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 xml:space="preserve">Всего стоимость </w:t>
            </w:r>
          </w:p>
          <w:p>
            <w:pPr>
              <w:pStyle w:val="Normal"/>
              <w:widowControl w:val="false"/>
              <w:jc w:val="center"/>
              <w:rPr>
                <w:bCs/>
                <w:color w:val="000000"/>
              </w:rPr>
            </w:pPr>
            <w:r>
              <w:rPr>
                <w:bCs/>
                <w:color w:val="000000"/>
              </w:rPr>
              <w:t>(руб. без НДС)</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1</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2</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3</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4</w:t>
            </w:r>
          </w:p>
        </w:tc>
        <w:tc>
          <w:tcPr>
            <w:tcW w:w="2020" w:type="dxa"/>
            <w:tcBorders>
              <w:bottom w:val="single" w:sz="4" w:space="0" w:color="000000"/>
              <w:right w:val="single" w:sz="4" w:space="0" w:color="000000"/>
            </w:tcBorders>
            <w:vAlign w:val="bottom"/>
          </w:tcPr>
          <w:p>
            <w:pPr>
              <w:pStyle w:val="Normal"/>
              <w:widowControl w:val="false"/>
              <w:jc w:val="center"/>
              <w:rPr>
                <w:bCs/>
                <w:color w:val="000000"/>
              </w:rPr>
            </w:pPr>
            <w:r>
              <w:rPr>
                <w:bCs/>
                <w:color w:val="000000"/>
              </w:rPr>
              <w:t>5</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Январь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Февраль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Март</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Апрель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Май</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Июнь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Июль</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Август</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Сентябрь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Октябрь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Ноябрь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Декабрь</w:t>
            </w:r>
          </w:p>
        </w:tc>
        <w:tc>
          <w:tcPr>
            <w:tcW w:w="1695"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3"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0"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5" w:type="dxa"/>
            <w:tcBorders>
              <w:left w:val="single" w:sz="4" w:space="0" w:color="000000"/>
              <w:bottom w:val="single" w:sz="4" w:space="0" w:color="000000"/>
              <w:right w:val="single" w:sz="4" w:space="0" w:color="000000"/>
            </w:tcBorders>
            <w:vAlign w:val="center"/>
          </w:tcPr>
          <w:p>
            <w:pPr>
              <w:pStyle w:val="Normal"/>
              <w:widowControl w:val="false"/>
              <w:rPr>
                <w:b/>
                <w:bCs/>
                <w:color w:val="000000"/>
              </w:rPr>
            </w:pPr>
            <w:r>
              <w:rPr>
                <w:b/>
                <w:bCs/>
                <w:color w:val="000000"/>
              </w:rPr>
              <w:t>Итого:</w:t>
            </w:r>
          </w:p>
        </w:tc>
        <w:tc>
          <w:tcPr>
            <w:tcW w:w="1695"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3"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0" w:type="dxa"/>
            <w:tcBorders>
              <w:bottom w:val="single" w:sz="4" w:space="0" w:color="000000"/>
              <w:right w:val="single" w:sz="4" w:space="0" w:color="000000"/>
            </w:tcBorders>
            <w:vAlign w:val="center"/>
          </w:tcPr>
          <w:p>
            <w:pPr>
              <w:pStyle w:val="Normal"/>
              <w:widowControl w:val="false"/>
              <w:jc w:val="center"/>
              <w:rPr>
                <w:b/>
                <w:bCs/>
                <w:color w:val="000000"/>
              </w:rPr>
            </w:pPr>
            <w:r>
              <w:rPr>
                <w:b/>
                <w:bCs/>
                <w:color w:val="000000"/>
              </w:rPr>
              <w:t> </w:t>
            </w:r>
          </w:p>
        </w:tc>
      </w:tr>
    </w:tbl>
    <w:p>
      <w:pPr>
        <w:pStyle w:val="Normal"/>
        <w:suppressAutoHyphens w:val="false"/>
        <w:spacing w:before="60" w:after="0"/>
        <w:jc w:val="both"/>
        <w:rPr>
          <w:iCs/>
          <w:lang w:eastAsia="x-none"/>
        </w:rPr>
      </w:pPr>
      <w:r>
        <w:rPr>
          <w:iCs/>
          <w:lang w:eastAsia="x-none"/>
        </w:rPr>
      </w:r>
    </w:p>
    <w:p>
      <w:pPr>
        <w:pStyle w:val="Normal"/>
        <w:jc w:val="both"/>
        <w:rPr>
          <w:rFonts w:eastAsia="Calibri"/>
          <w:b/>
          <w:bCs/>
          <w:iCs/>
          <w:lang w:eastAsia="x-none"/>
        </w:rPr>
      </w:pPr>
      <w:r>
        <w:rPr>
          <w:rFonts w:eastAsia="Calibri"/>
          <w:b/>
          <w:bCs/>
          <w:iCs/>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ind w:hanging="0" w:left="0"/>
        <w:jc w:val="center"/>
        <w:outlineLvl w:val="0"/>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r>
        <w:br w:type="page"/>
      </w:r>
    </w:p>
    <w:p>
      <w:pPr>
        <w:pStyle w:val="Normal"/>
        <w:keepNext w:val="true"/>
        <w:numPr>
          <w:ilvl w:val="0"/>
          <w:numId w:val="0"/>
        </w:numPr>
        <w:spacing w:before="120" w:after="0"/>
        <w:ind w:hanging="0" w:left="0"/>
        <w:jc w:val="center"/>
        <w:outlineLvl w:val="0"/>
        <w:rPr>
          <w:rFonts w:eastAsia="Calibri"/>
          <w:b/>
          <w:lang w:val="x-none" w:eastAsia="x-none"/>
        </w:rPr>
      </w:pPr>
      <w:r>
        <w:rPr>
          <w:rFonts w:eastAsia="Calibri"/>
          <w:b/>
          <w:lang w:eastAsia="x-none"/>
        </w:rPr>
        <w:t xml:space="preserve">4. </w:t>
      </w:r>
      <w:bookmarkStart w:id="0" w:name="_Toc54647836"/>
      <w:bookmarkStart w:id="1" w:name="_Toc54643138"/>
      <w:bookmarkStart w:id="2" w:name="_Toc54618152"/>
      <w:bookmarkStart w:id="3" w:name="_Toc54279845"/>
      <w:r>
        <w:rPr>
          <w:rFonts w:eastAsia="Calibri"/>
          <w:b/>
          <w:lang w:val="x-none" w:eastAsia="x-none"/>
        </w:rPr>
        <w:t>Требования к документации по ценообразованию на этапе заключения</w:t>
      </w:r>
      <w:r>
        <w:rPr>
          <w:rFonts w:eastAsia="Calibri"/>
          <w:b/>
          <w:lang w:eastAsia="x-none"/>
        </w:rPr>
        <w:t xml:space="preserve"> (исполнения)</w:t>
      </w:r>
      <w:r>
        <w:rPr>
          <w:rFonts w:eastAsia="Calibri"/>
          <w:b/>
          <w:lang w:val="x-none" w:eastAsia="x-none"/>
        </w:rPr>
        <w:t xml:space="preserve"> договора</w:t>
      </w:r>
      <w:bookmarkEnd w:id="0"/>
      <w:bookmarkEnd w:id="1"/>
      <w:bookmarkEnd w:id="2"/>
      <w:bookmarkEnd w:id="3"/>
    </w:p>
    <w:p>
      <w:pPr>
        <w:pStyle w:val="Normal"/>
        <w:keepNext w:val="true"/>
        <w:numPr>
          <w:ilvl w:val="0"/>
          <w:numId w:val="0"/>
        </w:numPr>
        <w:spacing w:before="120" w:after="0"/>
        <w:ind w:hanging="0" w:left="0"/>
        <w:jc w:val="center"/>
        <w:outlineLvl w:val="0"/>
        <w:rPr>
          <w:rFonts w:eastAsia="Calibri"/>
          <w:b/>
          <w:sz w:val="4"/>
          <w:szCs w:val="4"/>
          <w:lang w:val="x-none" w:eastAsia="x-none"/>
        </w:rPr>
      </w:pPr>
      <w:r>
        <w:rPr>
          <w:rFonts w:eastAsia="Calibri"/>
          <w:b/>
          <w:sz w:val="4"/>
          <w:szCs w:val="4"/>
          <w:lang w:val="x-none" w:eastAsia="x-none"/>
        </w:rPr>
      </w:r>
    </w:p>
    <w:p>
      <w:pPr>
        <w:pStyle w:val="Normal"/>
        <w:numPr>
          <w:ilvl w:val="1"/>
          <w:numId w:val="7"/>
        </w:numPr>
        <w:suppressAutoHyphens w:val="false"/>
        <w:spacing w:before="0" w:after="120"/>
        <w:ind w:hanging="0" w:left="0"/>
        <w:jc w:val="both"/>
        <w:rPr>
          <w:iCs/>
          <w:lang w:eastAsia="x-none"/>
        </w:rPr>
      </w:pPr>
      <w:r>
        <w:rPr>
          <w:iCs/>
          <w:lang w:eastAsia="x-none"/>
        </w:rPr>
        <w:t>По результатам настоящей закупки заключается договор с ценой, равной начальной (максимальной) цене договора, установленной в Документации о закупке (с указанием понижающего коэффициента), предложенными в заявке Победителем.</w:t>
      </w:r>
    </w:p>
    <w:p>
      <w:pPr>
        <w:pStyle w:val="Normal"/>
        <w:suppressAutoHyphens w:val="false"/>
        <w:jc w:val="both"/>
        <w:rPr>
          <w:iCs/>
          <w:lang w:eastAsia="x-none"/>
        </w:rPr>
      </w:pPr>
      <w:r>
        <w:rPr>
          <w:iCs/>
          <w:lang w:eastAsia="x-none"/>
        </w:rPr>
        <w:t xml:space="preserve">4.2. </w:t>
      </w:r>
      <w:r>
        <w:rPr>
          <w:iCs/>
          <w:lang w:val="x-none" w:eastAsia="x-none"/>
        </w:rPr>
        <w:t>Порядок формировани</w:t>
      </w:r>
      <w:r>
        <w:rPr>
          <w:iCs/>
        </w:rPr>
        <w:t>я</w:t>
      </w:r>
      <w:r>
        <w:rPr>
          <w:iCs/>
          <w:lang w:val="x-none" w:eastAsia="x-none"/>
        </w:rPr>
        <w:t xml:space="preserve"> </w:t>
      </w:r>
      <w:r>
        <w:rPr>
          <w:iCs/>
          <w:lang w:eastAsia="x-none"/>
        </w:rPr>
        <w:t xml:space="preserve">на этапе исполнения договора </w:t>
      </w:r>
      <w:r>
        <w:rPr>
          <w:iCs/>
          <w:lang w:val="x-none" w:eastAsia="x-none"/>
        </w:rPr>
        <w:t>стоимост</w:t>
      </w:r>
      <w:r>
        <w:rPr>
          <w:iCs/>
        </w:rPr>
        <w:t>и</w:t>
      </w:r>
      <w:r>
        <w:rPr>
          <w:iCs/>
          <w:lang w:val="x-none" w:eastAsia="x-none"/>
        </w:rPr>
        <w:t xml:space="preserve"> </w:t>
      </w:r>
      <w:r>
        <w:rPr>
          <w:iCs/>
          <w:lang w:eastAsia="x-none"/>
        </w:rPr>
        <w:t>выполняемых услуг</w:t>
      </w:r>
      <w:r>
        <w:rPr>
          <w:iCs/>
          <w:lang w:val="x-none" w:eastAsia="x-none"/>
        </w:rPr>
        <w:t xml:space="preserve"> </w:t>
      </w:r>
      <w:r>
        <w:rPr>
          <w:iCs/>
          <w:lang w:eastAsia="x-none"/>
        </w:rPr>
        <w:t xml:space="preserve">по заявке заказчика </w:t>
      </w:r>
      <w:r>
        <w:rPr>
          <w:iCs/>
        </w:rPr>
        <w:t>установлен в Проекте договора (Приложение № 2 к Документации о закупке)».</w:t>
      </w:r>
    </w:p>
    <w:p>
      <w:pPr>
        <w:pStyle w:val="Normal"/>
        <w:ind w:firstLine="284"/>
        <w:jc w:val="both"/>
        <w:rPr>
          <w:rFonts w:eastAsia="Calibri"/>
          <w:b/>
          <w:bCs/>
          <w:iCs/>
          <w:sz w:val="16"/>
          <w:szCs w:val="16"/>
          <w:lang w:val="x-none" w:eastAsia="x-none"/>
        </w:rPr>
      </w:pPr>
      <w:r>
        <w:rPr>
          <w:rFonts w:eastAsia="Calibri"/>
          <w:b/>
          <w:bCs/>
          <w:iCs/>
          <w:sz w:val="16"/>
          <w:szCs w:val="16"/>
          <w:lang w:val="x-none" w:eastAsia="x-none"/>
        </w:rPr>
      </w:r>
    </w:p>
    <w:p>
      <w:pPr>
        <w:pStyle w:val="Normal"/>
        <w:spacing w:before="0" w:after="0"/>
        <w:ind w:firstLine="426"/>
        <w:contextualSpacing/>
        <w:jc w:val="center"/>
        <w:rPr>
          <w:rFonts w:eastAsia="Calibri"/>
          <w:b/>
          <w:lang w:eastAsia="x-none"/>
        </w:rPr>
      </w:pPr>
      <w:r>
        <w:rPr>
          <w:rFonts w:eastAsia="Calibri"/>
          <w:b/>
        </w:rPr>
        <w:t xml:space="preserve">4. </w:t>
      </w:r>
      <w:r>
        <w:rPr>
          <w:b/>
        </w:rPr>
        <w:t>Приложения</w:t>
      </w:r>
    </w:p>
    <w:p>
      <w:pPr>
        <w:pStyle w:val="Normal"/>
        <w:spacing w:before="0" w:after="0"/>
        <w:ind w:firstLine="426"/>
        <w:contextualSpacing/>
        <w:jc w:val="center"/>
        <w:rPr>
          <w:b/>
          <w:sz w:val="12"/>
          <w:szCs w:val="12"/>
        </w:rPr>
      </w:pPr>
      <w:r>
        <w:rPr>
          <w:b/>
          <w:sz w:val="12"/>
          <w:szCs w:val="12"/>
        </w:rPr>
      </w:r>
    </w:p>
    <w:p>
      <w:pPr>
        <w:pStyle w:val="Normal"/>
        <w:jc w:val="both"/>
        <w:rPr>
          <w:rFonts w:eastAsia="Calibri"/>
          <w:b/>
          <w:lang w:eastAsia="x-none"/>
        </w:rPr>
      </w:pPr>
      <w:r>
        <w:rPr/>
        <w:t>Приложение № 1. Соглашение о конфиденциальности</w:t>
      </w:r>
      <w:r>
        <w:rPr>
          <w:bCs/>
        </w:rPr>
        <w:t>.</w:t>
      </w:r>
    </w:p>
    <w:p>
      <w:pPr>
        <w:pStyle w:val="Normal"/>
        <w:jc w:val="both"/>
        <w:rPr>
          <w:rFonts w:eastAsia="Calibri"/>
          <w:b/>
          <w:lang w:eastAsia="x-none"/>
        </w:rPr>
      </w:pPr>
      <w:r>
        <w:rPr/>
        <w:t xml:space="preserve">Приложение №2. Анкета. </w:t>
      </w:r>
    </w:p>
    <w:p>
      <w:pPr>
        <w:pStyle w:val="Normal"/>
        <w:jc w:val="both"/>
        <w:rPr>
          <w:rFonts w:eastAsia="Calibri"/>
          <w:b/>
          <w:lang w:eastAsia="x-none"/>
        </w:rPr>
      </w:pPr>
      <w:r>
        <w:rPr/>
        <w:t>Приложение №3. Согласие на обработку персональных данных.</w:t>
      </w:r>
    </w:p>
    <w:p>
      <w:pPr>
        <w:pStyle w:val="Normal"/>
        <w:jc w:val="both"/>
        <w:rPr>
          <w:rFonts w:eastAsia="Calibri"/>
          <w:b/>
          <w:lang w:eastAsia="x-none"/>
        </w:rPr>
      </w:pPr>
      <w:r>
        <w:rPr>
          <w:bCs/>
        </w:rPr>
        <w:t>Приложение №4. Дислокация постов охраны.</w:t>
      </w:r>
    </w:p>
    <w:p>
      <w:pPr>
        <w:pStyle w:val="Normal"/>
        <w:jc w:val="both"/>
        <w:rPr>
          <w:bCs/>
        </w:rPr>
      </w:pPr>
      <w:r>
        <w:rPr>
          <w:bCs/>
        </w:rPr>
      </w:r>
    </w:p>
    <w:p>
      <w:pPr>
        <w:pStyle w:val="Normal"/>
        <w:jc w:val="both"/>
        <w:rPr>
          <w:lang w:eastAsia="en-US"/>
        </w:rPr>
      </w:pPr>
      <w:r>
        <w:rPr>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lang w:eastAsia="en-US"/>
        </w:rPr>
      </w:pPr>
      <w:r>
        <w:rPr>
          <w:rFonts w:eastAsia="Calibri"/>
          <w:bCs/>
          <w:lang w:eastAsia="en-US"/>
        </w:rPr>
      </w:r>
    </w:p>
    <w:p>
      <w:pPr>
        <w:pStyle w:val="Normal"/>
        <w:shd w:val="clear" w:color="auto" w:fill="FFFFFF"/>
        <w:ind w:firstLine="567" w:right="14"/>
        <w:jc w:val="right"/>
        <w:rPr>
          <w:rFonts w:eastAsia="Calibri"/>
          <w:bCs/>
          <w:sz w:val="22"/>
          <w:szCs w:val="22"/>
          <w:lang w:eastAsia="en-US"/>
        </w:rPr>
      </w:pPr>
      <w:r>
        <w:rPr>
          <w:rFonts w:eastAsia="Calibri"/>
          <w:bCs/>
          <w:sz w:val="22"/>
          <w:szCs w:val="22"/>
          <w:lang w:eastAsia="en-US"/>
        </w:rPr>
        <w:t>Приложение №1</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lang w:eastAsia="en-US"/>
        </w:rPr>
      </w:pPr>
      <w:r>
        <w:rPr>
          <w:rFonts w:eastAsia="Calibri"/>
          <w:lang w:eastAsia="en-US"/>
        </w:rPr>
      </w:r>
    </w:p>
    <w:p>
      <w:pPr>
        <w:pStyle w:val="Normal"/>
        <w:jc w:val="center"/>
        <w:rPr>
          <w:rFonts w:eastAsia="Calibri"/>
          <w:b/>
          <w:lang w:eastAsia="en-US"/>
        </w:rPr>
      </w:pPr>
      <w:r>
        <w:rPr>
          <w:rFonts w:eastAsia="Calibri"/>
          <w:b/>
          <w:lang w:eastAsia="en-US"/>
        </w:rPr>
        <w:t>СОГЛАШЕНИЕ</w:t>
      </w:r>
    </w:p>
    <w:p>
      <w:pPr>
        <w:pStyle w:val="Normal"/>
        <w:jc w:val="center"/>
        <w:rPr>
          <w:rFonts w:eastAsia="Calibri"/>
          <w:b/>
          <w:lang w:eastAsia="en-US"/>
        </w:rPr>
      </w:pPr>
      <w:r>
        <w:rPr>
          <w:rFonts w:eastAsia="Calibri"/>
          <w:b/>
          <w:lang w:eastAsia="en-US"/>
        </w:rPr>
        <w:t>О КОНФИДЕНЦИАЛЬНОСТИ</w:t>
      </w:r>
    </w:p>
    <w:p>
      <w:pPr>
        <w:pStyle w:val="Normal"/>
        <w:ind w:hanging="0" w:right="-2"/>
        <w:jc w:val="center"/>
        <w:rPr>
          <w:rFonts w:eastAsia="Calibri"/>
          <w:lang w:eastAsia="en-US"/>
        </w:rPr>
      </w:pPr>
      <w:r>
        <w:rPr>
          <w:rFonts w:eastAsia="Calibri"/>
          <w:lang w:eastAsia="en-US"/>
        </w:rPr>
        <w:t>г. Владикавказ________                                             «___» ___________ 20___г.</w:t>
      </w:r>
    </w:p>
    <w:p>
      <w:pPr>
        <w:pStyle w:val="Normal"/>
        <w:ind w:firstLine="709" w:right="68"/>
        <w:jc w:val="center"/>
        <w:rPr>
          <w:rFonts w:eastAsia="Calibri"/>
          <w:lang w:eastAsia="en-US"/>
        </w:rPr>
      </w:pPr>
      <w:r>
        <w:rPr>
          <w:rFonts w:eastAsia="Calibri"/>
          <w:lang w:eastAsia="en-US"/>
        </w:rPr>
      </w:r>
    </w:p>
    <w:p>
      <w:pPr>
        <w:pStyle w:val="Normal"/>
        <w:ind w:firstLine="708"/>
        <w:jc w:val="both"/>
        <w:rPr>
          <w:rFonts w:eastAsia="Calibri"/>
          <w:b/>
          <w:lang w:eastAsia="x-none"/>
        </w:rPr>
      </w:pPr>
      <w:r>
        <w:rPr>
          <w:b/>
          <w:lang w:eastAsia="en-US"/>
        </w:rPr>
        <w:t>Публичное акционерное общество «Федеральная гидрогенерирующая компания - РусГидро» (ПАО «РусГидро»)</w:t>
      </w:r>
      <w:r>
        <w:rPr>
          <w:lang w:eastAsia="en-US"/>
        </w:rPr>
        <w:t xml:space="preserve"> (далее – «Передающая сторона»), в лице ______________________________, с одной стороны, и _________________________________________________________ (далее – «Принимающая сторона»), в лице _______________________, действующего на основании _____________________________________, с другой стороны,</w:t>
      </w:r>
    </w:p>
    <w:p>
      <w:pPr>
        <w:pStyle w:val="Normal"/>
        <w:ind w:firstLine="709"/>
        <w:jc w:val="both"/>
        <w:rPr>
          <w:lang w:eastAsia="en-US"/>
        </w:rPr>
      </w:pPr>
      <w:r>
        <w:rPr>
          <w:lang w:eastAsia="en-US"/>
        </w:rPr>
        <w:t>совместно в дальнейшем именуемые «Стороны», а по отдельности – «Сторона», заключили настоящее Соглашение о нижеследующем:</w:t>
      </w:r>
    </w:p>
    <w:p>
      <w:pPr>
        <w:pStyle w:val="Normal"/>
        <w:ind w:firstLine="709" w:right="68"/>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hanging="0" w:left="0"/>
        <w:jc w:val="center"/>
        <w:rPr>
          <w:b/>
          <w:lang w:eastAsia="en-US"/>
        </w:rPr>
      </w:pPr>
      <w:r>
        <w:rPr>
          <w:b/>
          <w:lang w:eastAsia="en-US"/>
        </w:rPr>
        <w:t>ПРЕДМЕТ СОГЛАШЕНИЯ</w:t>
      </w:r>
    </w:p>
    <w:p>
      <w:pPr>
        <w:pStyle w:val="Normal"/>
        <w:numPr>
          <w:ilvl w:val="1"/>
          <w:numId w:val="2"/>
        </w:numPr>
        <w:tabs>
          <w:tab w:val="clear" w:pos="709"/>
          <w:tab w:val="left" w:pos="1276" w:leader="none"/>
        </w:tabs>
        <w:ind w:firstLine="567" w:left="0"/>
        <w:jc w:val="both"/>
        <w:rPr>
          <w:lang w:eastAsia="en-US"/>
        </w:rPr>
      </w:pPr>
      <w:r>
        <w:rPr>
          <w:lang w:eastAsia="en-US"/>
        </w:rPr>
        <w:t>Предметом настоящего Соглашения является порядок и условия использования и защиты конфиденциальности информации, указанной в пунктах 1.3. и 1.6. Соглашения, передаваемой Передающей стороной Принимающей стороне после заключения настоящего Соглашения (далее – «Информация»).</w:t>
      </w:r>
    </w:p>
    <w:p>
      <w:pPr>
        <w:pStyle w:val="Normal"/>
        <w:numPr>
          <w:ilvl w:val="1"/>
          <w:numId w:val="2"/>
        </w:numPr>
        <w:tabs>
          <w:tab w:val="clear" w:pos="709"/>
          <w:tab w:val="left" w:pos="1276" w:leader="none"/>
        </w:tabs>
        <w:ind w:firstLine="567" w:left="0"/>
        <w:jc w:val="both"/>
        <w:rPr>
          <w:lang w:eastAsia="en-US"/>
        </w:rPr>
      </w:pPr>
      <w:r>
        <w:rPr>
          <w:lang w:eastAsia="en-US"/>
        </w:rPr>
        <w:t>К информации, документам и сведениям, составляющим государственную тайну, настоящее Соглашение не применяется.</w:t>
      </w:r>
    </w:p>
    <w:p>
      <w:pPr>
        <w:pStyle w:val="Normal"/>
        <w:numPr>
          <w:ilvl w:val="1"/>
          <w:numId w:val="2"/>
        </w:numPr>
        <w:tabs>
          <w:tab w:val="clear" w:pos="709"/>
          <w:tab w:val="left" w:pos="1276" w:leader="none"/>
        </w:tabs>
        <w:ind w:firstLine="567" w:left="0"/>
        <w:jc w:val="both"/>
        <w:rPr>
          <w:lang w:eastAsia="en-US"/>
        </w:rPr>
      </w:pPr>
      <w:r>
        <w:rPr>
          <w:lang w:eastAsia="en-US"/>
        </w:rPr>
        <w:t>Под Информацией для целей настоящего Соглашения понимается любая информация, передаваемая Передающей стороной Принимающей стороне в устной либо документарной форме, в виде электронного файла, а также в любом другом виде в процессе проведения переговоров, заключения каких-либо договоров и соглашений или исполнения таких договоров и соглашений между Сторонами, и подлежащая защите по настоящему Соглашению, в отношении которой соблюдаются следующие условия:</w:t>
      </w:r>
    </w:p>
    <w:p>
      <w:pPr>
        <w:pStyle w:val="Normal"/>
        <w:numPr>
          <w:ilvl w:val="0"/>
          <w:numId w:val="3"/>
        </w:numPr>
        <w:tabs>
          <w:tab w:val="clear" w:pos="709"/>
          <w:tab w:val="left" w:pos="851" w:leader="none"/>
          <w:tab w:val="left" w:pos="1276" w:leader="none"/>
        </w:tabs>
        <w:ind w:firstLine="709" w:left="0"/>
        <w:jc w:val="both"/>
        <w:rPr>
          <w:rFonts w:eastAsia="Calibri"/>
          <w:b/>
          <w:lang w:eastAsia="x-none"/>
        </w:rPr>
      </w:pPr>
      <w:r>
        <w:rPr/>
        <w:t>данная Информация имеет действительную или потенциальную коммерческую ценность для Передающей стороны в силу неизвестности ее третьим лицам;</w:t>
      </w:r>
    </w:p>
    <w:p>
      <w:pPr>
        <w:pStyle w:val="Normal"/>
        <w:numPr>
          <w:ilvl w:val="0"/>
          <w:numId w:val="3"/>
        </w:numPr>
        <w:tabs>
          <w:tab w:val="clear" w:pos="709"/>
          <w:tab w:val="left" w:pos="851" w:leader="none"/>
          <w:tab w:val="left" w:pos="1276" w:leader="none"/>
        </w:tabs>
        <w:ind w:firstLine="709" w:left="0"/>
        <w:jc w:val="both"/>
        <w:rPr>
          <w:rFonts w:eastAsia="Calibri"/>
          <w:b/>
          <w:lang w:eastAsia="x-none"/>
        </w:rPr>
      </w:pPr>
      <w:r>
        <w:rPr/>
        <w:t xml:space="preserve">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numPr>
          <w:ilvl w:val="1"/>
          <w:numId w:val="2"/>
        </w:numPr>
        <w:tabs>
          <w:tab w:val="clear" w:pos="709"/>
          <w:tab w:val="left" w:pos="1276" w:leader="none"/>
        </w:tabs>
        <w:ind w:firstLine="567" w:left="0"/>
        <w:jc w:val="both"/>
        <w:rPr>
          <w:lang w:eastAsia="en-US"/>
        </w:rPr>
      </w:pPr>
      <w:r>
        <w:rPr>
          <w:lang w:eastAsia="en-US"/>
        </w:rPr>
        <w:t>На документ, содержащий Информацию, Передающей стороной может быть нанесен гриф «Коммерческая тайна» с указанием обладателя этой информации.</w:t>
      </w:r>
    </w:p>
    <w:p>
      <w:pPr>
        <w:pStyle w:val="Normal"/>
        <w:numPr>
          <w:ilvl w:val="1"/>
          <w:numId w:val="2"/>
        </w:numPr>
        <w:tabs>
          <w:tab w:val="clear" w:pos="709"/>
          <w:tab w:val="left" w:pos="1276" w:leader="none"/>
        </w:tabs>
        <w:ind w:firstLine="567" w:left="0"/>
        <w:jc w:val="both"/>
        <w:rPr>
          <w:lang w:eastAsia="en-US"/>
        </w:rPr>
      </w:pPr>
      <w:r>
        <w:rPr>
          <w:lang w:eastAsia="en-U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а также может быть передана устно.</w:t>
      </w:r>
    </w:p>
    <w:p>
      <w:pPr>
        <w:pStyle w:val="Normal"/>
        <w:numPr>
          <w:ilvl w:val="1"/>
          <w:numId w:val="2"/>
        </w:numPr>
        <w:tabs>
          <w:tab w:val="clear" w:pos="709"/>
          <w:tab w:val="left" w:pos="1276" w:leader="none"/>
        </w:tabs>
        <w:ind w:firstLine="567" w:left="0"/>
        <w:jc w:val="both"/>
        <w:rPr>
          <w:lang w:eastAsia="en-US"/>
        </w:rPr>
      </w:pPr>
      <w:r>
        <w:rPr>
          <w:lang w:eastAsia="en-US"/>
        </w:rPr>
        <w:t>Информация, подлежащая сохранению в тайне и неразглашению в соответствии с настоящим Соглашением, включает в себя, без ограничения приведенным перечнем:</w:t>
      </w:r>
    </w:p>
    <w:p>
      <w:pPr>
        <w:pStyle w:val="Normal"/>
        <w:numPr>
          <w:ilvl w:val="2"/>
          <w:numId w:val="2"/>
        </w:numPr>
        <w:tabs>
          <w:tab w:val="clear" w:pos="709"/>
          <w:tab w:val="left" w:pos="1276" w:leader="none"/>
        </w:tabs>
        <w:ind w:firstLine="1141" w:left="0"/>
        <w:jc w:val="both"/>
        <w:rPr>
          <w:lang w:eastAsia="en-US"/>
        </w:rPr>
      </w:pPr>
      <w:r>
        <w:rPr>
          <w:lang w:eastAsia="en-US"/>
        </w:rPr>
        <w:t>финансовую отчетность;</w:t>
      </w:r>
    </w:p>
    <w:p>
      <w:pPr>
        <w:pStyle w:val="Normal"/>
        <w:numPr>
          <w:ilvl w:val="2"/>
          <w:numId w:val="2"/>
        </w:numPr>
        <w:tabs>
          <w:tab w:val="clear" w:pos="709"/>
          <w:tab w:val="left" w:pos="1276" w:leader="none"/>
        </w:tabs>
        <w:ind w:firstLine="1141" w:left="0"/>
        <w:jc w:val="both"/>
        <w:rPr>
          <w:lang w:eastAsia="en-US"/>
        </w:rPr>
      </w:pPr>
      <w:r>
        <w:rPr>
          <w:lang w:eastAsia="en-US"/>
        </w:rPr>
        <w:t>учетные регистры бухгалтерского учета;</w:t>
      </w:r>
    </w:p>
    <w:p>
      <w:pPr>
        <w:pStyle w:val="Normal"/>
        <w:numPr>
          <w:ilvl w:val="2"/>
          <w:numId w:val="2"/>
        </w:numPr>
        <w:tabs>
          <w:tab w:val="clear" w:pos="709"/>
          <w:tab w:val="left" w:pos="1276" w:leader="none"/>
        </w:tabs>
        <w:ind w:firstLine="1141" w:left="0"/>
        <w:jc w:val="both"/>
        <w:rPr>
          <w:lang w:eastAsia="en-US"/>
        </w:rPr>
      </w:pPr>
      <w:r>
        <w:rPr>
          <w:lang w:eastAsia="en-US"/>
        </w:rPr>
        <w:t>бизнес-планы;</w:t>
      </w:r>
    </w:p>
    <w:p>
      <w:pPr>
        <w:pStyle w:val="Normal"/>
        <w:numPr>
          <w:ilvl w:val="2"/>
          <w:numId w:val="2"/>
        </w:numPr>
        <w:tabs>
          <w:tab w:val="clear" w:pos="709"/>
          <w:tab w:val="left" w:pos="1276" w:leader="none"/>
        </w:tabs>
        <w:ind w:firstLine="1141" w:left="0"/>
        <w:jc w:val="both"/>
        <w:rPr>
          <w:lang w:eastAsia="en-US"/>
        </w:rPr>
      </w:pPr>
      <w:r>
        <w:rPr>
          <w:lang w:eastAsia="en-US"/>
        </w:rPr>
        <w:t>договоры и соглашения, заключаемые или заключенные непосредственно Передающей стороной либо в её пользу, а также информацию и сведения, содержащиеся в данных договорах и соглашениях;</w:t>
      </w:r>
    </w:p>
    <w:p>
      <w:pPr>
        <w:pStyle w:val="Normal"/>
        <w:numPr>
          <w:ilvl w:val="2"/>
          <w:numId w:val="2"/>
        </w:numPr>
        <w:tabs>
          <w:tab w:val="clear" w:pos="709"/>
          <w:tab w:val="left" w:pos="1276" w:leader="none"/>
        </w:tabs>
        <w:ind w:firstLine="1141" w:left="0"/>
        <w:jc w:val="both"/>
        <w:rPr>
          <w:lang w:eastAsia="en-US"/>
        </w:rPr>
      </w:pPr>
      <w:r>
        <w:rPr>
          <w:lang w:eastAsia="en-US"/>
        </w:rPr>
        <w:t>сведения о финансовых, правовых, организационных и других взаимоотношениях между Передающей стороной и ее аффилированными лицами или контрагентами;</w:t>
      </w:r>
    </w:p>
    <w:p>
      <w:pPr>
        <w:pStyle w:val="Normal"/>
        <w:numPr>
          <w:ilvl w:val="2"/>
          <w:numId w:val="2"/>
        </w:numPr>
        <w:tabs>
          <w:tab w:val="clear" w:pos="709"/>
          <w:tab w:val="left" w:pos="1276" w:leader="none"/>
        </w:tabs>
        <w:ind w:firstLine="1141" w:left="0"/>
        <w:jc w:val="both"/>
        <w:rPr>
          <w:lang w:eastAsia="en-US"/>
        </w:rPr>
      </w:pPr>
      <w:r>
        <w:rPr>
          <w:lang w:eastAsia="en-US"/>
        </w:rPr>
        <w:t>сведения о находящихся на регистрации товарных знаках Передающей стороны, а также об объектах интеллектуальной собственности Передающей стороны, сведения о которых не являются опубликованными;</w:t>
      </w:r>
    </w:p>
    <w:p>
      <w:pPr>
        <w:pStyle w:val="Normal"/>
        <w:numPr>
          <w:ilvl w:val="2"/>
          <w:numId w:val="2"/>
        </w:numPr>
        <w:tabs>
          <w:tab w:val="clear" w:pos="709"/>
          <w:tab w:val="left" w:pos="1276" w:leader="none"/>
        </w:tabs>
        <w:ind w:firstLine="1141" w:left="0"/>
        <w:jc w:val="both"/>
        <w:rPr>
          <w:lang w:eastAsia="en-US"/>
        </w:rPr>
      </w:pPr>
      <w:r>
        <w:rPr>
          <w:lang w:eastAsia="en-US"/>
        </w:rPr>
        <w:t>паспортные и анкетные данные физических лиц, являющихся акционерами Передающей стороны, ее аффилированных лиц и контрагентов и/или работающих в органах управления или иных органах Передающей стороны и ее аффилированных лиц;</w:t>
      </w:r>
    </w:p>
    <w:p>
      <w:pPr>
        <w:pStyle w:val="Normal"/>
        <w:numPr>
          <w:ilvl w:val="2"/>
          <w:numId w:val="2"/>
        </w:numPr>
        <w:tabs>
          <w:tab w:val="clear" w:pos="709"/>
          <w:tab w:val="left" w:pos="1276" w:leader="none"/>
        </w:tabs>
        <w:ind w:firstLine="1141" w:left="0"/>
        <w:jc w:val="both"/>
        <w:rPr>
          <w:lang w:eastAsia="en-US"/>
        </w:rPr>
      </w:pPr>
      <w:r>
        <w:rPr>
          <w:lang w:eastAsia="en-US"/>
        </w:rPr>
        <w:t>сведения о поставщиках оборудования, сырья и материалов, а также сведения о покупателях продукции и их аффилированных лицах;</w:t>
      </w:r>
    </w:p>
    <w:p>
      <w:pPr>
        <w:pStyle w:val="Normal"/>
        <w:numPr>
          <w:ilvl w:val="2"/>
          <w:numId w:val="2"/>
        </w:numPr>
        <w:tabs>
          <w:tab w:val="clear" w:pos="709"/>
          <w:tab w:val="left" w:pos="1276" w:leader="none"/>
        </w:tabs>
        <w:ind w:firstLine="1141" w:left="0"/>
        <w:jc w:val="both"/>
        <w:rPr>
          <w:lang w:eastAsia="en-US"/>
        </w:rPr>
      </w:pPr>
      <w:r>
        <w:rPr>
          <w:lang w:eastAsia="en-US"/>
        </w:rPr>
        <w:t>сведения об объемах производства и/или реализации продукции и услуг Передающей стороны или ее аффилированных лиц;</w:t>
      </w:r>
    </w:p>
    <w:p>
      <w:pPr>
        <w:pStyle w:val="Normal"/>
        <w:numPr>
          <w:ilvl w:val="2"/>
          <w:numId w:val="2"/>
        </w:numPr>
        <w:tabs>
          <w:tab w:val="clear" w:pos="709"/>
          <w:tab w:val="left" w:pos="1276" w:leader="none"/>
        </w:tabs>
        <w:ind w:firstLine="1141" w:left="0"/>
        <w:jc w:val="both"/>
        <w:rPr>
          <w:lang w:eastAsia="en-US"/>
        </w:rPr>
      </w:pPr>
      <w:r>
        <w:rPr>
          <w:lang w:eastAsia="en-US"/>
        </w:rPr>
        <w:t>результаты анализа, оценки, оказания иных услуг, подготовленные Принимающей стороной согласно договорам и соглашениям, заключенным с Передающей стороной, а также наличие таких договоров (соглашений) и их условия.</w:t>
      </w:r>
    </w:p>
    <w:p>
      <w:pPr>
        <w:pStyle w:val="Normal"/>
        <w:numPr>
          <w:ilvl w:val="1"/>
          <w:numId w:val="2"/>
        </w:numPr>
        <w:tabs>
          <w:tab w:val="clear" w:pos="709"/>
          <w:tab w:val="left" w:pos="1276" w:leader="none"/>
        </w:tabs>
        <w:ind w:firstLine="567" w:left="0"/>
        <w:jc w:val="both"/>
        <w:rPr>
          <w:lang w:eastAsia="en-US"/>
        </w:rPr>
      </w:pPr>
      <w:r>
        <w:rPr>
          <w:lang w:eastAsia="en-US"/>
        </w:rPr>
        <w:t>К Информации, подлежащей защите и неразглашению в соответствии с настоящим Соглашением, не относится следующая информация:</w:t>
      </w:r>
    </w:p>
    <w:p>
      <w:pPr>
        <w:pStyle w:val="Normal"/>
        <w:numPr>
          <w:ilvl w:val="2"/>
          <w:numId w:val="2"/>
        </w:numPr>
        <w:tabs>
          <w:tab w:val="clear" w:pos="709"/>
          <w:tab w:val="left" w:pos="1276" w:leader="none"/>
        </w:tabs>
        <w:ind w:firstLine="1141" w:left="0"/>
        <w:jc w:val="both"/>
        <w:rPr>
          <w:lang w:eastAsia="en-US"/>
        </w:rPr>
      </w:pPr>
      <w:r>
        <w:rPr>
          <w:lang w:eastAsia="en-US"/>
        </w:rPr>
        <w:t>сведения, содержащиеся в сообщениях и отчетах, официально опубликованных Передающей стороной или ее аффилированными лицами в соответствии с требованиями о раскрытии информации, установленными законодательством Российской Федерации;</w:t>
      </w:r>
    </w:p>
    <w:p>
      <w:pPr>
        <w:pStyle w:val="Normal"/>
        <w:numPr>
          <w:ilvl w:val="2"/>
          <w:numId w:val="2"/>
        </w:numPr>
        <w:tabs>
          <w:tab w:val="clear" w:pos="709"/>
          <w:tab w:val="left" w:pos="1276" w:leader="none"/>
        </w:tabs>
        <w:ind w:firstLine="1141" w:left="0"/>
        <w:jc w:val="both"/>
        <w:rPr>
          <w:lang w:eastAsia="en-US"/>
        </w:rPr>
      </w:pPr>
      <w:r>
        <w:rPr>
          <w:lang w:eastAsia="en-US"/>
        </w:rPr>
        <w:t>сведения, содержащиеся в официальных отчетах, сообщениях, пресс-релизах, а также рекламных сообщениях Передающей стороны или ее аффилированных лиц;</w:t>
      </w:r>
    </w:p>
    <w:p>
      <w:pPr>
        <w:pStyle w:val="Normal"/>
        <w:numPr>
          <w:ilvl w:val="2"/>
          <w:numId w:val="2"/>
        </w:numPr>
        <w:tabs>
          <w:tab w:val="clear" w:pos="709"/>
          <w:tab w:val="left" w:pos="1276" w:leader="none"/>
        </w:tabs>
        <w:ind w:firstLine="1141" w:left="0"/>
        <w:jc w:val="both"/>
        <w:rPr>
          <w:lang w:eastAsia="en-US"/>
        </w:rPr>
      </w:pPr>
      <w:r>
        <w:rPr>
          <w:lang w:eastAsia="en-US"/>
        </w:rPr>
        <w:t>сведения, опубликованные в средствах массовой информации по инициативе третьих лиц в соответствии с законодательством Российской Федерации;</w:t>
      </w:r>
    </w:p>
    <w:p>
      <w:pPr>
        <w:pStyle w:val="Normal"/>
        <w:numPr>
          <w:ilvl w:val="2"/>
          <w:numId w:val="2"/>
        </w:numPr>
        <w:tabs>
          <w:tab w:val="clear" w:pos="709"/>
          <w:tab w:val="left" w:pos="1276" w:leader="none"/>
        </w:tabs>
        <w:ind w:firstLine="1141" w:left="0"/>
        <w:jc w:val="both"/>
        <w:rPr>
          <w:lang w:eastAsia="en-US"/>
        </w:rPr>
      </w:pPr>
      <w:r>
        <w:rPr>
          <w:lang w:eastAsia="en-US"/>
        </w:rPr>
        <w:t>сведения, в отношении которых Передающая сторона дала предварительное письменное согласие на передачу Информации третьим лицам;</w:t>
      </w:r>
    </w:p>
    <w:p>
      <w:pPr>
        <w:pStyle w:val="Normal"/>
        <w:numPr>
          <w:ilvl w:val="2"/>
          <w:numId w:val="2"/>
        </w:numPr>
        <w:tabs>
          <w:tab w:val="clear" w:pos="709"/>
          <w:tab w:val="left" w:pos="1276" w:leader="none"/>
        </w:tabs>
        <w:ind w:firstLine="1141" w:left="0"/>
        <w:jc w:val="both"/>
        <w:rPr>
          <w:lang w:eastAsia="en-US"/>
        </w:rPr>
      </w:pPr>
      <w:r>
        <w:rPr>
          <w:lang w:eastAsia="en-US"/>
        </w:rPr>
        <w:t>сведения, которые должны быть раскрыты в соответствии с законодательством Российской Федерации по предъявлению законного требования правоохранительным, судебным, надзорным или иным компетентным органом, с уведомлением Передающей стороны о наличии такого требования;</w:t>
      </w:r>
    </w:p>
    <w:p>
      <w:pPr>
        <w:pStyle w:val="Normal"/>
        <w:numPr>
          <w:ilvl w:val="2"/>
          <w:numId w:val="2"/>
        </w:numPr>
        <w:tabs>
          <w:tab w:val="clear" w:pos="709"/>
          <w:tab w:val="left" w:pos="1276" w:leader="none"/>
        </w:tabs>
        <w:ind w:firstLine="1141" w:left="0"/>
        <w:jc w:val="both"/>
        <w:rPr>
          <w:lang w:eastAsia="en-US"/>
        </w:rPr>
      </w:pPr>
      <w:r>
        <w:rPr>
          <w:lang w:eastAsia="en-US"/>
        </w:rPr>
        <w:t>сведения, которые не могут являться конфиденциальной информацией в соответствии с действующим законодательством Российской Федерации.</w:t>
      </w:r>
    </w:p>
    <w:p>
      <w:pPr>
        <w:pStyle w:val="Normal"/>
        <w:numPr>
          <w:ilvl w:val="0"/>
          <w:numId w:val="2"/>
        </w:numPr>
        <w:tabs>
          <w:tab w:val="clear" w:pos="709"/>
          <w:tab w:val="left" w:pos="284" w:leader="none"/>
        </w:tabs>
        <w:ind w:hanging="0" w:left="0"/>
        <w:jc w:val="both"/>
        <w:rPr>
          <w:b/>
          <w:lang w:eastAsia="en-US"/>
        </w:rPr>
      </w:pPr>
      <w:r>
        <w:rPr>
          <w:b/>
          <w:lang w:eastAsia="en-US"/>
        </w:rPr>
        <w:t>ОБЯЗАТЕЛЬСТВА СТОРОН</w:t>
      </w:r>
    </w:p>
    <w:p>
      <w:pPr>
        <w:pStyle w:val="Normal"/>
        <w:numPr>
          <w:ilvl w:val="1"/>
          <w:numId w:val="2"/>
        </w:numPr>
        <w:tabs>
          <w:tab w:val="clear" w:pos="709"/>
          <w:tab w:val="left" w:pos="1276" w:leader="none"/>
        </w:tabs>
        <w:ind w:firstLine="567" w:left="0"/>
        <w:jc w:val="both"/>
        <w:rPr>
          <w:lang w:eastAsia="en-US"/>
        </w:rPr>
      </w:pPr>
      <w:r>
        <w:rPr>
          <w:lang w:eastAsia="en-US"/>
        </w:rPr>
        <w:t>Принимающая сторона обязуется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Передающей стороны, если иное не предусмотрено законодательством Российской Федерации.</w:t>
      </w:r>
    </w:p>
    <w:p>
      <w:pPr>
        <w:pStyle w:val="Normal"/>
        <w:numPr>
          <w:ilvl w:val="1"/>
          <w:numId w:val="2"/>
        </w:numPr>
        <w:tabs>
          <w:tab w:val="clear" w:pos="709"/>
          <w:tab w:val="left" w:pos="1276" w:leader="none"/>
        </w:tabs>
        <w:ind w:firstLine="567" w:left="0"/>
        <w:jc w:val="both"/>
        <w:rPr>
          <w:lang w:eastAsia="en-US"/>
        </w:rPr>
      </w:pPr>
      <w:r>
        <w:rPr>
          <w:lang w:eastAsia="en-US"/>
        </w:rPr>
        <w:t>Для защиты Информации Принимающая сторона обязуется принимать меры предосторожности, обычно используемые для защиты такого рода информации в деловом обороте, однако, если в организации Принимающей стороны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Принимающая сторона обязана использовать в отношении защиты Информации, обычно используемые ею меры защиты. Принимающая сторона обязана безусловно обеспечить защиту Информации в течение срока действия настоящего Соглашения и в течение 5 (пяти) лет после прекращения его действия.</w:t>
      </w:r>
    </w:p>
    <w:p>
      <w:pPr>
        <w:pStyle w:val="Normal"/>
        <w:numPr>
          <w:ilvl w:val="1"/>
          <w:numId w:val="2"/>
        </w:numPr>
        <w:tabs>
          <w:tab w:val="clear" w:pos="709"/>
          <w:tab w:val="left" w:pos="1276" w:leader="none"/>
        </w:tabs>
        <w:ind w:firstLine="567" w:left="0"/>
        <w:jc w:val="both"/>
        <w:rPr>
          <w:lang w:eastAsia="en-US"/>
        </w:rPr>
      </w:pPr>
      <w:r>
        <w:rPr>
          <w:lang w:eastAsia="en-US"/>
        </w:rPr>
        <w:t>Принимающая сторона обязуется:</w:t>
      </w:r>
    </w:p>
    <w:p>
      <w:pPr>
        <w:pStyle w:val="Normal"/>
        <w:numPr>
          <w:ilvl w:val="2"/>
          <w:numId w:val="2"/>
        </w:numPr>
        <w:tabs>
          <w:tab w:val="clear" w:pos="709"/>
          <w:tab w:val="left" w:pos="1276" w:leader="none"/>
        </w:tabs>
        <w:ind w:firstLine="1141" w:left="0"/>
        <w:jc w:val="both"/>
        <w:rPr>
          <w:lang w:eastAsia="en-US"/>
        </w:rPr>
      </w:pPr>
      <w:r>
        <w:rPr>
          <w:lang w:eastAsia="en-US"/>
        </w:rPr>
        <w:t>использовать Информацию исключительно для целей, для которых она был предоставлена;</w:t>
      </w:r>
    </w:p>
    <w:p>
      <w:pPr>
        <w:pStyle w:val="Normal"/>
        <w:numPr>
          <w:ilvl w:val="2"/>
          <w:numId w:val="2"/>
        </w:numPr>
        <w:tabs>
          <w:tab w:val="clear" w:pos="709"/>
          <w:tab w:val="left" w:pos="1276" w:leader="none"/>
        </w:tabs>
        <w:ind w:firstLine="1141" w:left="0"/>
        <w:jc w:val="both"/>
        <w:rPr>
          <w:lang w:eastAsia="en-US"/>
        </w:rPr>
      </w:pPr>
      <w:r>
        <w:rPr>
          <w:lang w:eastAsia="en-US"/>
        </w:rPr>
        <w:t>не осуществлять действий (бездействия), результатом которых может быть несанкционированное раскрытие Информации третьим лицам;</w:t>
      </w:r>
    </w:p>
    <w:p>
      <w:pPr>
        <w:pStyle w:val="Normal"/>
        <w:numPr>
          <w:ilvl w:val="2"/>
          <w:numId w:val="2"/>
        </w:numPr>
        <w:tabs>
          <w:tab w:val="clear" w:pos="709"/>
          <w:tab w:val="left" w:pos="1276" w:leader="none"/>
        </w:tabs>
        <w:ind w:firstLine="1141" w:left="0"/>
        <w:jc w:val="both"/>
        <w:rPr>
          <w:lang w:eastAsia="en-US"/>
        </w:rPr>
      </w:pPr>
      <w:r>
        <w:rPr>
          <w:lang w:eastAsia="en-U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Передающую сторону, а также обеспечить ей содействие, которое потребует Передающая сторона для предотвращения несанкционированного раскрытия;</w:t>
      </w:r>
    </w:p>
    <w:p>
      <w:pPr>
        <w:pStyle w:val="Normal"/>
        <w:numPr>
          <w:ilvl w:val="2"/>
          <w:numId w:val="2"/>
        </w:numPr>
        <w:tabs>
          <w:tab w:val="clear" w:pos="709"/>
          <w:tab w:val="left" w:pos="1276" w:leader="none"/>
        </w:tabs>
        <w:ind w:firstLine="1141" w:left="0"/>
        <w:jc w:val="both"/>
        <w:rPr>
          <w:rFonts w:eastAsia="Calibri"/>
          <w:b/>
          <w:lang w:eastAsia="x-none"/>
        </w:rPr>
      </w:pPr>
      <w:r>
        <w:rPr>
          <w:lang w:eastAsia="en-US"/>
        </w:rPr>
        <w:t>по требованию Передающей стороны уничтожить всю Информацию, которую будет невозможно передать Передающей стороне по ее запросу или которая будет находиться на технических средствах Принимающей стороны. При этом Передающая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numPr>
          <w:ilvl w:val="2"/>
          <w:numId w:val="2"/>
        </w:numPr>
        <w:tabs>
          <w:tab w:val="clear" w:pos="709"/>
          <w:tab w:val="left" w:pos="1276" w:leader="none"/>
        </w:tabs>
        <w:ind w:firstLine="1141" w:left="0"/>
        <w:jc w:val="both"/>
        <w:rPr>
          <w:lang w:eastAsia="en-US"/>
        </w:rPr>
      </w:pPr>
      <w:r>
        <w:rPr>
          <w:lang w:eastAsia="en-US"/>
        </w:rPr>
        <w:t>раскрывать Информацию только своим сотрудникам и акционерам, членам Совета Директоров и аудиторам только в случае служебной необходимости в объеме, требуемом для исполнения Сторонами своих обязательств по отношению друг к другу или требуемом для исполнения такими лицами своих обязанностей, оставаясь ответственной за действия таких лиц, как за свои собственные;</w:t>
      </w:r>
    </w:p>
    <w:p>
      <w:pPr>
        <w:pStyle w:val="Normal"/>
        <w:numPr>
          <w:ilvl w:val="2"/>
          <w:numId w:val="2"/>
        </w:numPr>
        <w:tabs>
          <w:tab w:val="clear" w:pos="709"/>
          <w:tab w:val="left" w:pos="1276" w:leader="none"/>
        </w:tabs>
        <w:ind w:firstLine="1141" w:left="0"/>
        <w:jc w:val="both"/>
        <w:rPr>
          <w:lang w:eastAsia="en-US"/>
        </w:rPr>
      </w:pPr>
      <w:r>
        <w:rPr>
          <w:lang w:eastAsia="en-US"/>
        </w:rPr>
        <w:t>не разглашать третьим лицам факта передачи или получения Информации.</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 xml:space="preserve">ОТВЕТСТВЕННОСТЬ СТОРОН </w:t>
      </w:r>
    </w:p>
    <w:p>
      <w:pPr>
        <w:pStyle w:val="Normal"/>
        <w:numPr>
          <w:ilvl w:val="1"/>
          <w:numId w:val="2"/>
        </w:numPr>
        <w:tabs>
          <w:tab w:val="clear" w:pos="709"/>
          <w:tab w:val="left" w:pos="1276" w:leader="none"/>
        </w:tabs>
        <w:ind w:firstLine="567" w:left="0"/>
        <w:jc w:val="both"/>
        <w:rPr>
          <w:lang w:eastAsia="en-US"/>
        </w:rPr>
      </w:pPr>
      <w:r>
        <w:rPr>
          <w:lang w:eastAsia="en-US"/>
        </w:rPr>
        <w:t>Сторона, нарушившая условия настоящего Соглашения, возмещает другой Стороне все понесенные расходы и убытки, вызванные таким нарушением, в течение 10 (десяти) календарных дней с даты получения соответствующего требования.</w:t>
      </w:r>
    </w:p>
    <w:p>
      <w:pPr>
        <w:pStyle w:val="Normal"/>
        <w:ind w:firstLine="567" w:right="68"/>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firstLine="567" w:left="0"/>
        <w:jc w:val="both"/>
        <w:rPr>
          <w:b/>
          <w:lang w:eastAsia="en-US"/>
        </w:rPr>
      </w:pPr>
      <w:r>
        <w:rPr>
          <w:b/>
          <w:lang w:eastAsia="en-US"/>
        </w:rPr>
        <w:t>СРОК ДЕЙСТВИЯ СОГЛАШЕНИЯ</w:t>
      </w:r>
    </w:p>
    <w:p>
      <w:pPr>
        <w:pStyle w:val="Normal"/>
        <w:numPr>
          <w:ilvl w:val="1"/>
          <w:numId w:val="2"/>
        </w:numPr>
        <w:tabs>
          <w:tab w:val="clear" w:pos="709"/>
          <w:tab w:val="left" w:pos="1276" w:leader="none"/>
        </w:tabs>
        <w:ind w:firstLine="567" w:left="0"/>
        <w:jc w:val="both"/>
        <w:rPr>
          <w:lang w:eastAsia="en-US"/>
        </w:rPr>
      </w:pPr>
      <w:r>
        <w:rPr>
          <w:lang w:eastAsia="en-US"/>
        </w:rPr>
        <w:t>Настоящее Соглашение вступает в силу с даты подписания и действует в течение 3 (трех) лет.</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bCs/>
          <w:lang w:eastAsia="en-US"/>
        </w:rPr>
      </w:pPr>
      <w:r>
        <w:rPr>
          <w:b/>
          <w:bCs/>
          <w:lang w:eastAsia="en-US"/>
        </w:rPr>
        <w:t>ИНСАЙДЕРСКАЯ ОГОВОРКА</w:t>
      </w:r>
    </w:p>
    <w:p>
      <w:pPr>
        <w:pStyle w:val="Normal"/>
        <w:tabs>
          <w:tab w:val="clear" w:pos="709"/>
          <w:tab w:val="left" w:pos="0" w:leader="none"/>
        </w:tabs>
        <w:ind w:firstLine="567"/>
        <w:jc w:val="both"/>
        <w:rPr>
          <w:lang w:eastAsia="en-US"/>
        </w:rPr>
      </w:pPr>
      <w:r>
        <w:rPr>
          <w:lang w:eastAsia="en-US"/>
        </w:rPr>
        <w:t>5.1. Под инсайдерской информацией (далее – «Инсайдерская информация») для целей Договора понимается любая информация, передаваемая Передающей стороной  в устной либо документарной форме Принимающей стороне, в виде электронного файла, в любом другом виде, а также полученная Принимающей стороной самостоятельно в ходе визитов на место оказания услуг/выполнения работ, иную территорию Предающей стороны в процессе проведения переговоров, заключения и исполнения Договора, в отношении которой соблюдаются следующие условия:</w:t>
      </w:r>
    </w:p>
    <w:p>
      <w:pPr>
        <w:pStyle w:val="Normal"/>
        <w:ind w:firstLine="567"/>
        <w:jc w:val="both"/>
        <w:rPr>
          <w:bCs/>
          <w:lang w:eastAsia="en-US"/>
        </w:rPr>
      </w:pPr>
      <w:r>
        <w:rPr>
          <w:bCs/>
          <w:lang w:eastAsia="en-US"/>
        </w:rPr>
        <w:t xml:space="preserve">- данная Инсайдерская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ind w:firstLine="567"/>
        <w:jc w:val="both"/>
        <w:rPr>
          <w:bCs/>
          <w:lang w:eastAsia="en-US"/>
        </w:rPr>
      </w:pPr>
      <w:r>
        <w:rPr>
          <w:bCs/>
          <w:lang w:eastAsia="en-US"/>
        </w:rPr>
        <w:t xml:space="preserve">- распространение или раскрытие данной Инсайдерской информации может оказать существенное влияние на цены эмиссионных ценных бумаг Передающей стороны; </w:t>
      </w:r>
    </w:p>
    <w:p>
      <w:pPr>
        <w:pStyle w:val="Normal"/>
        <w:ind w:firstLine="567"/>
        <w:jc w:val="both"/>
        <w:rPr>
          <w:bCs/>
          <w:lang w:eastAsia="en-US"/>
        </w:rPr>
      </w:pPr>
      <w:r>
        <w:rPr>
          <w:bCs/>
          <w:lang w:eastAsia="en-US"/>
        </w:rPr>
        <w:t>- данная Инсайдерская информация относится к информации, включенной в перечень инсайдерской информации, указанный в статье 3 Федерального закона Российской Федерации от 27.07.2010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pPr>
        <w:pStyle w:val="Normal"/>
        <w:tabs>
          <w:tab w:val="clear" w:pos="709"/>
          <w:tab w:val="left" w:pos="0" w:leader="none"/>
        </w:tabs>
        <w:ind w:firstLine="567"/>
        <w:jc w:val="both"/>
        <w:rPr>
          <w:lang w:eastAsia="en-US"/>
        </w:rPr>
      </w:pPr>
      <w:r>
        <w:rPr>
          <w:lang w:eastAsia="en-US"/>
        </w:rPr>
        <w:t xml:space="preserve">5.2. В отношении Инсайдерской информации Принимающая сторона обязуется незамедлительно, но в любом случае не позднее следующего рабочего дня после получения Принимающей стороны доступа к любой Инсайдерской информации предоставить Передающей стороне список сотрудников Принимающей стороны, субисполнителей и иных лиц, которые получат доступ к Инсайдерской информации в целях исполнения обязательств по Договору, а также подтвердить тот факт, что указанные лица приняли на себя обязательство об исполнении законодательства Российской Федерации о противодействии неправомерному использованию инсайдерской информации Передающей стороны по форме, размещенной на официальном сайте ПАО «РусГидро» в сети Интернет. </w:t>
      </w:r>
    </w:p>
    <w:p>
      <w:pPr>
        <w:pStyle w:val="Normal"/>
        <w:tabs>
          <w:tab w:val="clear" w:pos="709"/>
          <w:tab w:val="left" w:pos="0" w:leader="none"/>
        </w:tabs>
        <w:ind w:firstLine="567"/>
        <w:jc w:val="both"/>
        <w:rPr>
          <w:lang w:eastAsia="en-US"/>
        </w:rPr>
      </w:pPr>
      <w:r>
        <w:rPr>
          <w:lang w:eastAsia="en-US"/>
        </w:rPr>
        <w:t>5.3. Принимающая сторона также обязуется уведомлять Передающую сторону о совершаемых сделках с ценными бумагами Передающей стороны в соответствии с требованиями законодательства Российской Федерации и Положения об инсайдерской информации Передающей стороны размещенного на официальном сайте ПАО «РусГидро» в сети Интернет.</w:t>
      </w:r>
    </w:p>
    <w:p>
      <w:pPr>
        <w:pStyle w:val="Normal"/>
        <w:tabs>
          <w:tab w:val="clear" w:pos="709"/>
          <w:tab w:val="left" w:pos="0" w:leader="none"/>
        </w:tabs>
        <w:ind w:firstLine="567"/>
        <w:jc w:val="both"/>
        <w:rPr>
          <w:lang w:eastAsia="en-US"/>
        </w:rPr>
      </w:pPr>
      <w:r>
        <w:rPr>
          <w:lang w:eastAsia="en-US"/>
        </w:rPr>
      </w:r>
    </w:p>
    <w:p>
      <w:pPr>
        <w:pStyle w:val="Normal"/>
        <w:tabs>
          <w:tab w:val="clear" w:pos="709"/>
          <w:tab w:val="left" w:pos="0"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РАЗРЕШЕНИЕ СПОРОВ</w:t>
      </w:r>
    </w:p>
    <w:p>
      <w:pPr>
        <w:pStyle w:val="Normal"/>
        <w:numPr>
          <w:ilvl w:val="1"/>
          <w:numId w:val="2"/>
        </w:numPr>
        <w:tabs>
          <w:tab w:val="clear" w:pos="709"/>
          <w:tab w:val="left" w:pos="1276" w:leader="none"/>
        </w:tabs>
        <w:ind w:firstLine="567" w:left="0"/>
        <w:jc w:val="both"/>
        <w:rPr>
          <w:lang w:eastAsia="en-US"/>
        </w:rPr>
      </w:pPr>
      <w:r>
        <w:rPr>
          <w:lang w:eastAsia="en-US"/>
        </w:rPr>
        <w:t>Все споры из Соглашения, в том числе связанные с его заключением, изменением, исполнением, нарушением, прекращением и действительностью, Стороны будут стремиться решать путем переговоров.</w:t>
      </w:r>
    </w:p>
    <w:p>
      <w:pPr>
        <w:pStyle w:val="Normal"/>
        <w:numPr>
          <w:ilvl w:val="1"/>
          <w:numId w:val="2"/>
        </w:numPr>
        <w:tabs>
          <w:tab w:val="clear" w:pos="709"/>
          <w:tab w:val="left" w:pos="1276" w:leader="none"/>
        </w:tabs>
        <w:ind w:firstLine="567" w:left="0"/>
        <w:jc w:val="both"/>
        <w:rPr>
          <w:lang w:eastAsia="en-US"/>
        </w:rPr>
      </w:pPr>
      <w:r>
        <w:rPr>
          <w:lang w:eastAsia="en-US"/>
        </w:rPr>
        <w:t>При невозможности разрешения спора, указанного в п. 6.1. Соглашения, путем переговоров в течение 30 (тридцати) календарных дней с даты его возникновения, спор разрешается в Арбитражном суде в соответствии с материальным правом Российской Федерации.</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ПРОЧИЕ УСЛОВИЯ</w:t>
      </w:r>
    </w:p>
    <w:p>
      <w:pPr>
        <w:pStyle w:val="Normal"/>
        <w:numPr>
          <w:ilvl w:val="1"/>
          <w:numId w:val="2"/>
        </w:numPr>
        <w:tabs>
          <w:tab w:val="clear" w:pos="709"/>
          <w:tab w:val="left" w:pos="1276" w:leader="none"/>
        </w:tabs>
        <w:ind w:firstLine="567" w:left="0"/>
        <w:jc w:val="both"/>
        <w:rPr>
          <w:lang w:eastAsia="en-US"/>
        </w:rPr>
      </w:pPr>
      <w:r>
        <w:rPr>
          <w:lang w:eastAsia="en-US"/>
        </w:rPr>
        <w:t>Все приложения, изменения и дополнения к настоящему Соглашению действительны при условии, что они совершены в письменной форме в виде единого документа и подписаны обеими Сторонами. Приложения, изменения и дополнения, оформленные надлежащим образом, являются неотъемлемой частью настоящего Соглашения.</w:t>
      </w:r>
    </w:p>
    <w:p>
      <w:pPr>
        <w:pStyle w:val="Normal"/>
        <w:numPr>
          <w:ilvl w:val="1"/>
          <w:numId w:val="2"/>
        </w:numPr>
        <w:tabs>
          <w:tab w:val="clear" w:pos="709"/>
          <w:tab w:val="left" w:pos="1276" w:leader="none"/>
        </w:tabs>
        <w:ind w:firstLine="567" w:left="0"/>
        <w:jc w:val="both"/>
        <w:rPr>
          <w:lang w:eastAsia="en-US"/>
        </w:rPr>
      </w:pPr>
      <w:r>
        <w:rPr>
          <w:lang w:eastAsia="en-US"/>
        </w:rPr>
        <w:t>Передача прав и обязанностей по настоящему Соглашению третьим лицам осуществляется путем письменной договоренности Сторон.</w:t>
      </w:r>
    </w:p>
    <w:p>
      <w:pPr>
        <w:pStyle w:val="Normal"/>
        <w:numPr>
          <w:ilvl w:val="1"/>
          <w:numId w:val="2"/>
        </w:numPr>
        <w:tabs>
          <w:tab w:val="clear" w:pos="709"/>
          <w:tab w:val="left" w:pos="1276" w:leader="none"/>
        </w:tabs>
        <w:ind w:firstLine="567" w:left="0"/>
        <w:jc w:val="both"/>
        <w:rPr>
          <w:lang w:eastAsia="en-US"/>
        </w:rPr>
      </w:pPr>
      <w:r>
        <w:rPr>
          <w:lang w:eastAsia="en-US"/>
        </w:rPr>
        <w:t>Настоящее Соглашение составлено в двух оригинальных экземплярах, имеющих равную юридическую силу, по одному экземпляру для каждой из Сторон.</w:t>
      </w:r>
    </w:p>
    <w:p>
      <w:pPr>
        <w:pStyle w:val="Normal"/>
        <w:numPr>
          <w:ilvl w:val="1"/>
          <w:numId w:val="2"/>
        </w:numPr>
        <w:tabs>
          <w:tab w:val="clear" w:pos="709"/>
          <w:tab w:val="left" w:pos="1276" w:leader="none"/>
        </w:tabs>
        <w:ind w:firstLine="567" w:left="0"/>
        <w:jc w:val="both"/>
        <w:rPr>
          <w:lang w:eastAsia="en-US"/>
        </w:rPr>
      </w:pPr>
      <w:r>
        <w:rPr>
          <w:lang w:eastAsia="en-US"/>
        </w:rPr>
        <w:t>Передача Информации, содержащей сведения ограниченного доступа осуществляется по акту приема-передачи.</w:t>
      </w:r>
    </w:p>
    <w:p>
      <w:pPr>
        <w:pStyle w:val="Normal"/>
        <w:tabs>
          <w:tab w:val="clear" w:pos="709"/>
          <w:tab w:val="left" w:pos="1276" w:leader="none"/>
        </w:tabs>
        <w:jc w:val="both"/>
        <w:rPr>
          <w:lang w:eastAsia="en-US"/>
        </w:rPr>
      </w:pPr>
      <w:r>
        <w:rPr>
          <w:lang w:eastAsia="en-US"/>
        </w:rPr>
      </w:r>
    </w:p>
    <w:p>
      <w:pPr>
        <w:pStyle w:val="Normal"/>
        <w:numPr>
          <w:ilvl w:val="0"/>
          <w:numId w:val="2"/>
        </w:numPr>
        <w:tabs>
          <w:tab w:val="clear" w:pos="709"/>
          <w:tab w:val="left" w:pos="284" w:leader="none"/>
        </w:tabs>
        <w:ind w:hanging="0" w:left="0"/>
        <w:jc w:val="both"/>
        <w:rPr>
          <w:b/>
          <w:lang w:eastAsia="en-US"/>
        </w:rPr>
      </w:pPr>
      <w:r>
        <w:rPr>
          <w:b/>
          <w:lang w:eastAsia="en-US"/>
        </w:rPr>
        <w:t>ЮРИДИЧЕСКИЕ АДРЕСА И РЕКВИЗИТЫ СТОРОН:</w:t>
      </w:r>
    </w:p>
    <w:p>
      <w:pPr>
        <w:pStyle w:val="Normal"/>
        <w:jc w:val="both"/>
        <w:rPr>
          <w:b/>
          <w:lang w:eastAsia="en-US"/>
        </w:rPr>
      </w:pPr>
      <w:r>
        <w:rPr>
          <w:b/>
          <w:lang w:eastAsia="en-US"/>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38"/>
        <w:gridCol w:w="4967"/>
      </w:tblGrid>
      <w:tr>
        <w:trPr/>
        <w:tc>
          <w:tcPr>
            <w:tcW w:w="4638" w:type="dxa"/>
            <w:tcBorders/>
          </w:tcPr>
          <w:p>
            <w:pPr>
              <w:pStyle w:val="Normal"/>
              <w:widowControl w:val="false"/>
              <w:ind w:hanging="0" w:right="68"/>
              <w:jc w:val="both"/>
              <w:rPr>
                <w:rFonts w:eastAsia="Calibri"/>
                <w:b/>
                <w:lang w:eastAsia="en-US"/>
              </w:rPr>
            </w:pPr>
            <w:r>
              <w:rPr>
                <w:rFonts w:eastAsia="Calibri"/>
                <w:b/>
                <w:lang w:eastAsia="en-US"/>
              </w:rPr>
              <w:t>Передающая сторона:</w:t>
            </w:r>
          </w:p>
          <w:p>
            <w:pPr>
              <w:pStyle w:val="Normal"/>
              <w:widowControl w:val="false"/>
              <w:ind w:hanging="0" w:right="68"/>
              <w:jc w:val="both"/>
              <w:rPr>
                <w:rFonts w:eastAsia="Calibri"/>
                <w:b/>
                <w:lang w:eastAsia="en-US"/>
              </w:rPr>
            </w:pPr>
            <w:r>
              <w:rPr>
                <w:rFonts w:eastAsia="Calibri"/>
                <w:b/>
                <w:lang w:eastAsia="en-US"/>
              </w:rPr>
            </w:r>
          </w:p>
        </w:tc>
        <w:tc>
          <w:tcPr>
            <w:tcW w:w="4967" w:type="dxa"/>
            <w:tcBorders/>
          </w:tcPr>
          <w:p>
            <w:pPr>
              <w:pStyle w:val="Normal"/>
              <w:widowControl w:val="false"/>
              <w:ind w:firstLine="709" w:right="68"/>
              <w:jc w:val="both"/>
              <w:rPr>
                <w:rFonts w:eastAsia="Calibri"/>
                <w:b/>
                <w:lang w:eastAsia="en-US"/>
              </w:rPr>
            </w:pPr>
            <w:r>
              <w:rPr>
                <w:rFonts w:eastAsia="Calibri"/>
                <w:b/>
                <w:lang w:eastAsia="en-US"/>
              </w:rPr>
              <w:t>Принимающая сторона:</w:t>
            </w:r>
          </w:p>
          <w:p>
            <w:pPr>
              <w:pStyle w:val="Normal"/>
              <w:widowControl w:val="false"/>
              <w:ind w:firstLine="709" w:right="68"/>
              <w:jc w:val="both"/>
              <w:rPr>
                <w:rFonts w:eastAsia="Calibri"/>
                <w:b/>
                <w:lang w:eastAsia="en-US"/>
              </w:rPr>
            </w:pPr>
            <w:r>
              <w:rPr>
                <w:rFonts w:eastAsia="Calibri"/>
                <w:b/>
                <w:lang w:eastAsia="en-US"/>
              </w:rPr>
            </w:r>
          </w:p>
        </w:tc>
      </w:tr>
      <w:tr>
        <w:trPr/>
        <w:tc>
          <w:tcPr>
            <w:tcW w:w="4638" w:type="dxa"/>
            <w:tcBorders/>
          </w:tcPr>
          <w:p>
            <w:pPr>
              <w:pStyle w:val="Normal"/>
              <w:widowControl w:val="false"/>
              <w:ind w:hanging="0" w:right="115"/>
              <w:jc w:val="both"/>
              <w:rPr>
                <w:rFonts w:eastAsia="Calibri"/>
                <w:lang w:eastAsia="en-US"/>
              </w:rPr>
            </w:pPr>
            <w:r>
              <w:rPr>
                <w:rFonts w:eastAsia="Calibri"/>
                <w:lang w:eastAsia="en-US"/>
              </w:rPr>
              <w:t>_____________________</w:t>
            </w:r>
          </w:p>
          <w:p>
            <w:pPr>
              <w:pStyle w:val="Normal"/>
              <w:widowControl w:val="false"/>
              <w:ind w:firstLine="709" w:right="115"/>
              <w:jc w:val="both"/>
              <w:rPr>
                <w:rFonts w:eastAsia="Calibri"/>
                <w:lang w:eastAsia="en-US"/>
              </w:rPr>
            </w:pPr>
            <w:r>
              <w:rPr>
                <w:rFonts w:eastAsia="Calibri"/>
                <w:lang w:eastAsia="en-US"/>
              </w:rPr>
            </w:r>
          </w:p>
          <w:p>
            <w:pPr>
              <w:pStyle w:val="Normal"/>
              <w:widowControl w:val="false"/>
              <w:ind w:hanging="0" w:right="115"/>
              <w:jc w:val="both"/>
              <w:rPr>
                <w:rFonts w:eastAsia="Calibri"/>
                <w:lang w:eastAsia="en-US"/>
              </w:rPr>
            </w:pPr>
            <w:r>
              <w:rPr>
                <w:rFonts w:eastAsia="Calibri"/>
                <w:lang w:eastAsia="en-US"/>
              </w:rPr>
              <w:t>_____________/________________/</w:t>
            </w:r>
          </w:p>
        </w:tc>
        <w:tc>
          <w:tcPr>
            <w:tcW w:w="4967" w:type="dxa"/>
            <w:tcBorders/>
          </w:tcPr>
          <w:p>
            <w:pPr>
              <w:pStyle w:val="Normal"/>
              <w:widowControl w:val="false"/>
              <w:ind w:hanging="0" w:right="115"/>
              <w:jc w:val="both"/>
              <w:rPr>
                <w:rFonts w:eastAsia="Calibri"/>
                <w:lang w:eastAsia="en-US"/>
              </w:rPr>
            </w:pPr>
            <w:r>
              <w:rPr>
                <w:rFonts w:eastAsia="Calibri"/>
                <w:lang w:eastAsia="en-US"/>
              </w:rPr>
              <w:t>_______________________________</w:t>
            </w:r>
          </w:p>
          <w:p>
            <w:pPr>
              <w:pStyle w:val="Normal"/>
              <w:widowControl w:val="false"/>
              <w:ind w:hanging="0" w:right="115"/>
              <w:jc w:val="both"/>
              <w:rPr>
                <w:rFonts w:eastAsia="Calibri"/>
                <w:lang w:eastAsia="en-US"/>
              </w:rPr>
            </w:pPr>
            <w:r>
              <w:rPr>
                <w:rFonts w:eastAsia="Calibri"/>
                <w:lang w:eastAsia="en-US"/>
              </w:rPr>
            </w:r>
          </w:p>
          <w:p>
            <w:pPr>
              <w:pStyle w:val="Normal"/>
              <w:widowControl w:val="false"/>
              <w:ind w:hanging="0" w:right="115"/>
              <w:jc w:val="both"/>
              <w:rPr>
                <w:rFonts w:eastAsia="Calibri"/>
                <w:lang w:eastAsia="en-US"/>
              </w:rPr>
            </w:pPr>
            <w:r>
              <w:rPr>
                <w:rFonts w:eastAsia="Calibri"/>
                <w:lang w:eastAsia="en-US"/>
              </w:rPr>
              <w:t>________________/_______________/</w:t>
            </w:r>
          </w:p>
        </w:tc>
      </w:tr>
    </w:tbl>
    <w:p>
      <w:pPr>
        <w:pStyle w:val="Normal"/>
        <w:ind w:hanging="0" w:left="4536"/>
        <w:jc w:val="right"/>
        <w:rPr>
          <w:rFonts w:eastAsia="Calibri"/>
          <w:sz w:val="22"/>
          <w:szCs w:val="22"/>
          <w:lang w:eastAsia="en-US"/>
        </w:rPr>
      </w:pPr>
      <w:r>
        <w:br w:type="page"/>
      </w:r>
      <w:r>
        <w:rPr>
          <w:rFonts w:eastAsia="Calibri"/>
          <w:sz w:val="22"/>
          <w:szCs w:val="22"/>
          <w:lang w:eastAsia="en-US"/>
        </w:rPr>
        <w:t>Приложение №2</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lang w:eastAsia="en-US"/>
        </w:rPr>
      </w:pPr>
      <w:r>
        <w:rPr>
          <w:rFonts w:eastAsia="Calibri"/>
          <w:lang w:eastAsia="en-US"/>
        </w:rPr>
      </w:r>
    </w:p>
    <w:p>
      <w:pPr>
        <w:pStyle w:val="Normal"/>
        <w:jc w:val="center"/>
        <w:rPr>
          <w:rFonts w:eastAsia="Calibri"/>
          <w:b/>
          <w:lang w:eastAsia="en-US"/>
        </w:rPr>
      </w:pPr>
      <w:r>
        <w:rPr>
          <w:rFonts w:eastAsia="Calibri"/>
          <w:b/>
          <w:lang w:eastAsia="en-US"/>
        </w:rPr>
        <w:t>АНКЕТА (форма)</w:t>
      </w:r>
    </w:p>
    <w:tbl>
      <w:tblPr>
        <w:tblW w:w="970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903"/>
        <w:gridCol w:w="1801"/>
      </w:tblGrid>
      <w:tr>
        <w:trPr/>
        <w:tc>
          <w:tcPr>
            <w:tcW w:w="7903" w:type="dxa"/>
            <w:tcBorders>
              <w:right w:val="single" w:sz="4" w:space="0" w:color="000000"/>
            </w:tcBorders>
          </w:tcPr>
          <w:p>
            <w:pPr>
              <w:pStyle w:val="Normal"/>
              <w:widowControl w:val="false"/>
              <w:rPr>
                <w:rFonts w:eastAsia="Calibri"/>
                <w:lang w:eastAsia="en-US"/>
              </w:rPr>
            </w:pPr>
            <w:r>
              <w:rPr>
                <w:rFonts w:eastAsia="Calibri"/>
                <w:lang w:eastAsia="en-US"/>
              </w:rPr>
            </w:r>
          </w:p>
          <w:p>
            <w:pPr>
              <w:pStyle w:val="Normal"/>
              <w:widowControl w:val="false"/>
              <w:numPr>
                <w:ilvl w:val="0"/>
                <w:numId w:val="4"/>
              </w:numPr>
              <w:tabs>
                <w:tab w:val="clear" w:pos="709"/>
                <w:tab w:val="left" w:pos="284" w:leader="none"/>
              </w:tabs>
              <w:ind w:hanging="720" w:left="720"/>
              <w:rPr>
                <w:rFonts w:eastAsia="Calibri"/>
                <w:lang w:eastAsia="en-US"/>
              </w:rPr>
            </w:pPr>
            <w:r>
              <w:rPr>
                <w:rFonts w:eastAsia="Calibri"/>
                <w:lang w:eastAsia="en-US"/>
              </w:rPr>
              <w:t>Фамилия      ______________________________________________</w:t>
            </w:r>
          </w:p>
          <w:p>
            <w:pPr>
              <w:pStyle w:val="Normal"/>
              <w:widowControl w:val="false"/>
              <w:rPr>
                <w:rFonts w:eastAsia="Calibri"/>
                <w:lang w:eastAsia="en-US"/>
              </w:rPr>
            </w:pPr>
            <w:r>
              <w:rPr>
                <w:rFonts w:eastAsia="Calibri"/>
                <w:lang w:eastAsia="en-US"/>
              </w:rPr>
              <w:t>Имя                   ______________________________________________</w:t>
            </w:r>
          </w:p>
          <w:p>
            <w:pPr>
              <w:pStyle w:val="Normal"/>
              <w:widowControl w:val="false"/>
              <w:rPr>
                <w:rFonts w:eastAsia="Calibri"/>
                <w:lang w:eastAsia="en-US"/>
              </w:rPr>
            </w:pPr>
            <w:r>
              <w:rPr>
                <w:rFonts w:eastAsia="Calibri"/>
                <w:lang w:eastAsia="en-US"/>
              </w:rPr>
              <w:t>Отчество           ______________________________________________</w:t>
            </w:r>
          </w:p>
          <w:p>
            <w:pPr>
              <w:pStyle w:val="Normal"/>
              <w:widowControl w:val="false"/>
              <w:rPr>
                <w:rFonts w:eastAsia="Calibri"/>
                <w:lang w:eastAsia="en-US"/>
              </w:rPr>
            </w:pPr>
            <w:r>
              <w:rPr>
                <w:rFonts w:eastAsia="Calibri"/>
                <w:lang w:eastAsia="en-US"/>
              </w:rPr>
              <w:t>Должность __________________________________________________</w:t>
            </w:r>
          </w:p>
          <w:p>
            <w:pPr>
              <w:pStyle w:val="Normal"/>
              <w:widowControl w:val="false"/>
              <w:rPr>
                <w:rFonts w:eastAsia="Calibri"/>
                <w:lang w:eastAsia="en-US"/>
              </w:rPr>
            </w:pPr>
            <w:r>
              <w:rPr>
                <w:rFonts w:eastAsia="Calibri"/>
                <w:lang w:eastAsia="en-US"/>
              </w:rPr>
              <w:t>Организация _________________________________________________</w:t>
            </w:r>
          </w:p>
          <w:p>
            <w:pPr>
              <w:pStyle w:val="Normal"/>
              <w:widowControl w:val="false"/>
              <w:rPr>
                <w:rFonts w:eastAsia="Calibri"/>
                <w:lang w:eastAsia="en-US"/>
              </w:rPr>
            </w:pPr>
            <w:r>
              <w:rPr>
                <w:rFonts w:eastAsia="Calibri"/>
                <w:lang w:eastAsia="en-US"/>
              </w:rPr>
              <w:t>_______________________________________________________________</w:t>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lang w:eastAsia="en-US"/>
              </w:rPr>
            </w:pPr>
            <w:r>
              <w:rPr>
                <w:rFonts w:eastAsia="Calibri"/>
                <w:lang w:eastAsia="en-US"/>
              </w:rPr>
              <w:t>Место</w:t>
            </w:r>
          </w:p>
          <w:p>
            <w:pPr>
              <w:pStyle w:val="Normal"/>
              <w:widowControl w:val="false"/>
              <w:jc w:val="center"/>
              <w:rPr>
                <w:rFonts w:eastAsia="Calibri"/>
                <w:lang w:eastAsia="en-US"/>
              </w:rPr>
            </w:pPr>
            <w:r>
              <w:rPr>
                <w:rFonts w:eastAsia="Calibri"/>
                <w:lang w:eastAsia="en-US"/>
              </w:rPr>
              <w:t>для</w:t>
            </w:r>
          </w:p>
          <w:p>
            <w:pPr>
              <w:pStyle w:val="Normal"/>
              <w:widowControl w:val="false"/>
              <w:jc w:val="center"/>
              <w:rPr>
                <w:rFonts w:eastAsia="Calibri"/>
                <w:lang w:eastAsia="en-US"/>
              </w:rPr>
            </w:pPr>
            <w:r>
              <w:rPr>
                <w:rFonts w:eastAsia="Calibri"/>
                <w:lang w:eastAsia="en-US"/>
              </w:rPr>
              <w:t>фотографии</w:t>
            </w:r>
          </w:p>
        </w:tc>
      </w:tr>
    </w:tbl>
    <w:p>
      <w:pPr>
        <w:pStyle w:val="Normal"/>
        <w:rPr>
          <w:rFonts w:eastAsia="Calibri"/>
          <w:lang w:eastAsia="en-US"/>
        </w:rPr>
      </w:pPr>
      <w:r>
        <w:rPr>
          <w:rFonts w:eastAsia="Calibri"/>
          <w:lang w:eastAsia="en-US"/>
        </w:rPr>
        <w:t>2. Изменялась ли фамилия, имя или отчество, если да, то указать их, а также когда, где и по какой причине ___________________________________________________________________</w:t>
      </w:r>
    </w:p>
    <w:p>
      <w:pPr>
        <w:pStyle w:val="Normal"/>
        <w:rPr>
          <w:rFonts w:eastAsia="Calibri"/>
          <w:lang w:eastAsia="en-US"/>
        </w:rPr>
      </w:pPr>
      <w:r>
        <w:rPr>
          <w:rFonts w:eastAsia="Calibri"/>
          <w:lang w:eastAsia="en-US"/>
        </w:rPr>
        <w:t>3. Число, месяц и год рождения  ____________________________________________________</w:t>
      </w:r>
    </w:p>
    <w:p>
      <w:pPr>
        <w:pStyle w:val="Normal"/>
        <w:rPr>
          <w:rFonts w:eastAsia="Calibri"/>
          <w:lang w:eastAsia="en-US"/>
        </w:rPr>
      </w:pPr>
      <w:r>
        <w:rPr>
          <w:rFonts w:eastAsia="Calibri"/>
          <w:lang w:eastAsia="en-US"/>
        </w:rPr>
        <w:t>4. Место рождения _______________________________________________________________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(населенный пункт, район, область, край, республика)</w:t>
      </w:r>
    </w:p>
    <w:p>
      <w:pPr>
        <w:pStyle w:val="Normal"/>
        <w:rPr>
          <w:rFonts w:eastAsia="Calibri"/>
          <w:lang w:eastAsia="en-US"/>
        </w:rPr>
      </w:pPr>
      <w:r>
        <w:rPr>
          <w:rFonts w:eastAsia="Calibri"/>
          <w:lang w:eastAsia="en-US"/>
        </w:rPr>
        <w:t>5. Гражданство__________________________________________________________________</w:t>
      </w:r>
    </w:p>
    <w:p>
      <w:pPr>
        <w:pStyle w:val="Normal"/>
        <w:ind w:hanging="0" w:left="1560"/>
        <w:jc w:val="center"/>
        <w:rPr>
          <w:rFonts w:eastAsia="Calibri"/>
          <w:i/>
          <w:i/>
          <w:vertAlign w:val="superscript"/>
          <w:lang w:eastAsia="en-US"/>
        </w:rPr>
      </w:pPr>
      <w:r>
        <w:rPr>
          <w:rFonts w:eastAsia="Calibri"/>
          <w:i/>
          <w:vertAlign w:val="superscript"/>
          <w:lang w:eastAsia="en-US"/>
        </w:rPr>
        <w:t>(если изменялось, то указать, когда и по какой причине)</w:t>
      </w:r>
    </w:p>
    <w:p>
      <w:pPr>
        <w:pStyle w:val="Normal"/>
        <w:rPr>
          <w:rFonts w:eastAsia="Calibri"/>
          <w:lang w:eastAsia="en-US"/>
        </w:rPr>
      </w:pPr>
      <w:r>
        <w:rPr>
          <w:rFonts w:eastAsia="Calibri"/>
          <w:lang w:eastAsia="en-US"/>
        </w:rPr>
        <w:t>6. Образование, специальность и квалификация по диплому 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(когда и какие учебные заведения окончили)</w:t>
      </w:r>
    </w:p>
    <w:p>
      <w:pPr>
        <w:pStyle w:val="Normal"/>
        <w:rPr>
          <w:rFonts w:eastAsia="Calibri"/>
          <w:lang w:eastAsia="en-US"/>
        </w:rPr>
      </w:pPr>
      <w:r>
        <w:rPr>
          <w:rFonts w:eastAsia="Calibri"/>
          <w:lang w:eastAsia="en-US"/>
        </w:rPr>
        <w:t>7. Адрес фактического места жительства: 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rPr>
          <w:rFonts w:eastAsia="Calibri"/>
          <w:lang w:eastAsia="en-US"/>
        </w:rPr>
      </w:pPr>
      <w:r>
        <w:rPr>
          <w:rFonts w:eastAsia="Calibri"/>
          <w:lang w:eastAsia="en-US"/>
        </w:rPr>
        <w:t>9. Адрес регистрации по месту жительства и/или месту пребывания: ________________________________________________________________________________</w:t>
      </w:r>
    </w:p>
    <w:p>
      <w:pPr>
        <w:pStyle w:val="Normal"/>
        <w:rPr>
          <w:rFonts w:eastAsia="Calibri"/>
          <w:lang w:eastAsia="en-US"/>
        </w:rPr>
      </w:pPr>
      <w:r>
        <w:rPr>
          <w:rFonts w:eastAsia="Calibri"/>
          <w:lang w:eastAsia="en-US"/>
        </w:rPr>
        <w:t>10. Паспорт или документ, его заменяющий 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(номер, серия, кем и когда выдан)</w:t>
      </w:r>
    </w:p>
    <w:p>
      <w:pPr>
        <w:pStyle w:val="Normal"/>
        <w:ind w:firstLine="567"/>
        <w:jc w:val="both"/>
        <w:rPr>
          <w:rFonts w:eastAsia="Calibri"/>
          <w:sz w:val="23"/>
          <w:szCs w:val="23"/>
          <w:lang w:eastAsia="en-US"/>
        </w:rPr>
      </w:pPr>
      <w:r>
        <w:rPr>
          <w:rFonts w:eastAsia="Calibri"/>
          <w:sz w:val="23"/>
          <w:szCs w:val="23"/>
          <w:lang w:eastAsia="en-US"/>
        </w:rPr>
        <w:t>Настоящим, в соответствии с Федеральным законом от 27.07.2006 №152 «О персональных данных» даю согласие филиалу ПАО «РусГидро» - «Северо-Осетинский филиал», расположенному по адресу: Российская Федерация, РСО-Алания, г. Владикавказ, ул. В.Абаева, 63, на обработку моих персональных данных, а именно: фамилия, имя, отчество, фотография, дата рождения, адрес фактического места жительства, адреса регистрации по месту жительства, сведения об образовании, профессии (должности), сведения о месте работы, паспортных данных.</w:t>
      </w:r>
    </w:p>
    <w:p>
      <w:pPr>
        <w:pStyle w:val="Normal"/>
        <w:ind w:firstLine="567"/>
        <w:jc w:val="both"/>
        <w:rPr>
          <w:rFonts w:eastAsia="Calibri"/>
          <w:sz w:val="23"/>
          <w:szCs w:val="23"/>
          <w:lang w:eastAsia="en-US"/>
        </w:rPr>
      </w:pPr>
      <w:r>
        <w:rPr>
          <w:rFonts w:eastAsia="Calibri"/>
          <w:sz w:val="23"/>
          <w:szCs w:val="23"/>
          <w:lang w:eastAsia="en-US"/>
        </w:rPr>
        <w:t>Целью обработки персональных данных работников подрядных организаций и посетителей Филиала является обеспечение пропускного режима.</w:t>
      </w:r>
    </w:p>
    <w:p>
      <w:pPr>
        <w:pStyle w:val="Normal"/>
        <w:ind w:firstLine="567"/>
        <w:jc w:val="both"/>
        <w:rPr>
          <w:rFonts w:eastAsia="Calibri"/>
          <w:sz w:val="23"/>
          <w:szCs w:val="23"/>
          <w:lang w:eastAsia="en-US"/>
        </w:rPr>
      </w:pPr>
      <w:r>
        <w:rPr>
          <w:rFonts w:eastAsia="Calibri"/>
          <w:sz w:val="23"/>
          <w:szCs w:val="23"/>
          <w:lang w:eastAsia="en-US"/>
        </w:rPr>
        <w:t>Подписывая данную анкету даю согласие на совершение следующих действий (операций) с моими персональными данными: сбор, систематизацию, накопление, хранение, уточнение (обновление, изменение), использование, передачу (в том числе предоставление определенному кругу третьих лиц для достижения вышеуказанных целей), блокирование, удаление, уничтожение, осуществляемых как с использованием средств автоматизации (автоматизированная обработка), так и без использования таких средств (неавтоматизированная обработка).</w:t>
      </w:r>
    </w:p>
    <w:p>
      <w:pPr>
        <w:pStyle w:val="Normal"/>
        <w:ind w:firstLine="567"/>
        <w:jc w:val="both"/>
        <w:rPr>
          <w:rFonts w:eastAsia="Calibri"/>
          <w:sz w:val="23"/>
          <w:szCs w:val="23"/>
          <w:lang w:eastAsia="en-US"/>
        </w:rPr>
      </w:pPr>
      <w:r>
        <w:rPr>
          <w:rFonts w:eastAsia="Calibri"/>
          <w:sz w:val="23"/>
          <w:szCs w:val="23"/>
          <w:lang w:eastAsia="en-US"/>
        </w:rPr>
        <w:t>Я подтверждаю, что ознакомлен с требованиями законодательства Российской Федерации, устанавливающими порядок обработки персональных данных, а также с моими правами и обязанностями в этой области.</w:t>
      </w:r>
    </w:p>
    <w:p>
      <w:pPr>
        <w:pStyle w:val="Normal"/>
        <w:ind w:firstLine="567"/>
        <w:jc w:val="both"/>
        <w:rPr>
          <w:rFonts w:eastAsia="Calibri"/>
          <w:sz w:val="23"/>
          <w:szCs w:val="23"/>
          <w:lang w:eastAsia="en-US"/>
        </w:rPr>
      </w:pPr>
      <w:r>
        <w:rPr>
          <w:rFonts w:eastAsia="Calibri"/>
          <w:sz w:val="23"/>
          <w:szCs w:val="23"/>
          <w:lang w:eastAsia="en-US"/>
        </w:rPr>
        <w:t>Согласие вступает в силу со дня его подписания на период не менее чем срок хранения документов, установленных архивным законодательством. Согласие (анкета) может быть отозвано мною в любое время на основании моего письменного заявления.</w:t>
      </w:r>
    </w:p>
    <w:p>
      <w:pPr>
        <w:pStyle w:val="Normal"/>
        <w:ind w:firstLine="567"/>
        <w:rPr>
          <w:rFonts w:eastAsia="Calibri"/>
          <w:b/>
          <w:i/>
          <w:i/>
          <w:sz w:val="23"/>
          <w:szCs w:val="23"/>
          <w:lang w:eastAsia="en-US"/>
        </w:rPr>
      </w:pPr>
      <w:r>
        <w:rPr>
          <w:rFonts w:eastAsia="Calibri"/>
          <w:b/>
          <w:i/>
          <w:sz w:val="23"/>
          <w:szCs w:val="23"/>
          <w:lang w:eastAsia="en-US"/>
        </w:rPr>
        <w:t>Я подтверждаю, что вся информация, указанная мною в настоящей анкете, предоставлена добровольно и является достоверной.</w:t>
      </w:r>
    </w:p>
    <w:p>
      <w:pPr>
        <w:pStyle w:val="Normal"/>
        <w:rPr>
          <w:rFonts w:eastAsia="Calibri"/>
          <w:lang w:eastAsia="en-US"/>
        </w:rPr>
      </w:pPr>
      <w:r>
        <w:rPr>
          <w:rFonts w:eastAsia="Calibri"/>
          <w:lang w:eastAsia="en-US"/>
        </w:rPr>
        <w:t>_____________________________</w:t>
        <w:tab/>
        <w:t xml:space="preserve">  </w:t>
        <w:tab/>
        <w:tab/>
        <w:tab/>
        <w:tab/>
        <w:tab/>
        <w:t>____________________</w:t>
      </w:r>
    </w:p>
    <w:p>
      <w:pPr>
        <w:pStyle w:val="Normal"/>
        <w:rPr>
          <w:rFonts w:eastAsia="Calibri"/>
          <w:lang w:eastAsia="en-US"/>
        </w:rPr>
      </w:pPr>
      <w:r>
        <w:rPr>
          <w:rFonts w:eastAsia="Calibri"/>
          <w:vertAlign w:val="superscript"/>
          <w:lang w:eastAsia="en-US"/>
        </w:rPr>
        <w:t xml:space="preserve">                                                                 </w:t>
      </w:r>
      <w:r>
        <w:rPr>
          <w:rFonts w:eastAsia="Calibri"/>
          <w:vertAlign w:val="superscript"/>
          <w:lang w:eastAsia="en-US"/>
        </w:rPr>
        <w:t>(ФИО)</w:t>
        <w:tab/>
        <w:t xml:space="preserve">                                                                                                    </w:t>
        <w:tab/>
        <w:tab/>
        <w:tab/>
      </w:r>
      <w:r>
        <w:rPr>
          <w:rFonts w:eastAsia="Calibri"/>
          <w:lang w:eastAsia="en-US"/>
        </w:rPr>
        <w:t xml:space="preserve"> «___» ___________ 20__ г.</w:t>
      </w:r>
    </w:p>
    <w:p>
      <w:pPr>
        <w:pStyle w:val="Normal"/>
        <w:rPr>
          <w:rFonts w:eastAsia="Calibri"/>
          <w:vertAlign w:val="superscript"/>
          <w:lang w:eastAsia="en-US"/>
        </w:rPr>
      </w:pPr>
      <w:r>
        <w:rPr>
          <w:rFonts w:eastAsia="Calibri"/>
          <w:vertAlign w:val="superscript"/>
          <w:lang w:eastAsia="en-US"/>
        </w:rPr>
      </w:r>
      <w:r>
        <w:br w:type="page"/>
      </w:r>
    </w:p>
    <w:p>
      <w:pPr>
        <w:pStyle w:val="Normal"/>
        <w:ind w:hanging="0" w:left="4536"/>
        <w:jc w:val="right"/>
        <w:rPr>
          <w:rFonts w:eastAsia="Calibri"/>
          <w:sz w:val="22"/>
          <w:szCs w:val="22"/>
          <w:lang w:eastAsia="en-US"/>
        </w:rPr>
      </w:pPr>
      <w:r>
        <w:rPr>
          <w:rFonts w:eastAsia="Calibri"/>
          <w:sz w:val="22"/>
          <w:szCs w:val="22"/>
          <w:lang w:eastAsia="en-US"/>
        </w:rPr>
        <w:t>Приложение №3</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b/>
          <w:lang w:eastAsia="en-US"/>
        </w:rPr>
      </w:pPr>
      <w:r>
        <w:rPr>
          <w:rFonts w:eastAsia="Calibri"/>
          <w:b/>
          <w:lang w:eastAsia="en-US"/>
        </w:rPr>
      </w:r>
    </w:p>
    <w:p>
      <w:pPr>
        <w:pStyle w:val="Normal"/>
        <w:numPr>
          <w:ilvl w:val="0"/>
          <w:numId w:val="0"/>
        </w:numPr>
        <w:ind w:hanging="0" w:left="0"/>
        <w:jc w:val="center"/>
        <w:outlineLvl w:val="0"/>
        <w:rPr>
          <w:rFonts w:eastAsia="Calibri"/>
          <w:b/>
          <w:lang w:eastAsia="en-US"/>
        </w:rPr>
      </w:pPr>
      <w:r>
        <w:rPr>
          <w:rFonts w:eastAsia="Calibri"/>
          <w:b/>
          <w:lang w:eastAsia="en-US"/>
        </w:rPr>
        <w:t>Согласие на обработку персональных данных (форма)</w:t>
      </w:r>
    </w:p>
    <w:p>
      <w:pPr>
        <w:pStyle w:val="Normal"/>
        <w:numPr>
          <w:ilvl w:val="0"/>
          <w:numId w:val="0"/>
        </w:numPr>
        <w:ind w:hanging="0" w:left="0"/>
        <w:outlineLvl w:val="0"/>
        <w:rPr>
          <w:rFonts w:eastAsia="Calibri"/>
          <w:b/>
          <w:lang w:eastAsia="en-US"/>
        </w:rPr>
      </w:pPr>
      <w:r>
        <w:rPr>
          <w:rFonts w:eastAsia="Calibri"/>
          <w:b/>
          <w:lang w:eastAsia="en-US"/>
        </w:rPr>
      </w:r>
    </w:p>
    <w:p>
      <w:pPr>
        <w:pStyle w:val="Normal"/>
        <w:rPr>
          <w:rFonts w:eastAsia="Calibri"/>
          <w:lang w:eastAsia="en-US"/>
        </w:rPr>
      </w:pPr>
      <w:r>
        <w:rPr>
          <w:rFonts w:eastAsia="Calibri"/>
          <w:lang w:eastAsia="en-US"/>
        </w:rPr>
      </w:r>
    </w:p>
    <w:p>
      <w:pPr>
        <w:pStyle w:val="Normal"/>
        <w:widowControl w:val="false"/>
        <w:textAlignment w:val="baseline"/>
        <w:rPr>
          <w:rFonts w:eastAsia="Calibri"/>
          <w:b/>
          <w:lang w:eastAsia="x-none"/>
        </w:rPr>
      </w:pPr>
      <w:bookmarkStart w:id="4" w:name="_Toc371578780"/>
      <w:bookmarkStart w:id="5" w:name="_Toc371577629"/>
      <w:r>
        <w:rPr>
          <w:rFonts w:eastAsia="Calibri"/>
          <w:lang w:eastAsia="en-US"/>
        </w:rPr>
        <w:t>Я,____________________________________________________________</w:t>
      </w:r>
      <w:bookmarkEnd w:id="4"/>
      <w:bookmarkEnd w:id="5"/>
      <w:r>
        <w:rPr>
          <w:rFonts w:eastAsia="Calibri"/>
          <w:lang w:eastAsia="en-US"/>
        </w:rPr>
        <w:t>__________________</w:t>
      </w:r>
    </w:p>
    <w:p>
      <w:pPr>
        <w:pStyle w:val="Normal"/>
        <w:widowControl w:val="false"/>
        <w:jc w:val="center"/>
        <w:textAlignment w:val="baseline"/>
        <w:rPr>
          <w:rFonts w:eastAsia="Calibri"/>
          <w:vertAlign w:val="superscript"/>
          <w:lang w:eastAsia="en-US"/>
        </w:rPr>
      </w:pPr>
      <w:bookmarkStart w:id="6" w:name="_Toc371578781"/>
      <w:bookmarkStart w:id="7" w:name="_Toc371577630"/>
      <w:r>
        <w:rPr>
          <w:rFonts w:eastAsia="Calibri"/>
          <w:vertAlign w:val="superscript"/>
          <w:lang w:eastAsia="en-US"/>
        </w:rPr>
        <w:t>(полностью фамилия, имя, отчество)</w:t>
      </w:r>
      <w:bookmarkEnd w:id="6"/>
      <w:bookmarkEnd w:id="7"/>
    </w:p>
    <w:p>
      <w:pPr>
        <w:pStyle w:val="Normal"/>
        <w:widowControl w:val="false"/>
        <w:jc w:val="center"/>
        <w:textAlignment w:val="baseline"/>
        <w:rPr>
          <w:rFonts w:eastAsia="Calibri"/>
          <w:b/>
          <w:lang w:eastAsia="x-none"/>
        </w:rPr>
      </w:pPr>
      <w:bookmarkStart w:id="8" w:name="_Toc371578782"/>
      <w:bookmarkStart w:id="9" w:name="_Toc371577631"/>
      <w:r>
        <w:rPr>
          <w:rFonts w:eastAsia="Calibri"/>
          <w:lang w:eastAsia="en-US"/>
        </w:rPr>
        <w:t>__________________________________________________________________</w:t>
      </w:r>
      <w:bookmarkEnd w:id="8"/>
      <w:bookmarkEnd w:id="9"/>
      <w:r>
        <w:rPr>
          <w:rFonts w:eastAsia="Calibri"/>
          <w:lang w:eastAsia="en-US"/>
        </w:rPr>
        <w:t>__________________</w:t>
      </w:r>
    </w:p>
    <w:p>
      <w:pPr>
        <w:pStyle w:val="Normal"/>
        <w:widowControl w:val="false"/>
        <w:jc w:val="center"/>
        <w:textAlignment w:val="baseline"/>
        <w:rPr>
          <w:rFonts w:eastAsia="Calibri"/>
          <w:vertAlign w:val="superscript"/>
          <w:lang w:eastAsia="en-US"/>
        </w:rPr>
      </w:pPr>
      <w:bookmarkStart w:id="10" w:name="_Toc371578783"/>
      <w:bookmarkStart w:id="11" w:name="_Toc371577632"/>
      <w:r>
        <w:rPr>
          <w:rFonts w:eastAsia="Calibri"/>
          <w:vertAlign w:val="superscript"/>
          <w:lang w:eastAsia="en-US"/>
        </w:rPr>
        <w:t>(дата, месяц, год и место рождения)</w:t>
      </w:r>
      <w:bookmarkEnd w:id="10"/>
      <w:bookmarkEnd w:id="11"/>
    </w:p>
    <w:p>
      <w:pPr>
        <w:pStyle w:val="Normal"/>
        <w:widowControl w:val="false"/>
        <w:jc w:val="center"/>
        <w:textAlignment w:val="baseline"/>
        <w:rPr>
          <w:rFonts w:eastAsia="Calibri"/>
          <w:lang w:eastAsia="en-US"/>
        </w:rPr>
      </w:pPr>
      <w:bookmarkStart w:id="12" w:name="_Toc371578786"/>
      <w:bookmarkStart w:id="13" w:name="_Toc371577635"/>
      <w:r>
        <w:rPr>
          <w:rFonts w:eastAsia="Calibri"/>
          <w:lang w:eastAsia="en-US"/>
        </w:rPr>
        <w:t>____________________________________________________________________________________</w:t>
      </w:r>
    </w:p>
    <w:p>
      <w:pPr>
        <w:pStyle w:val="Normal"/>
        <w:widowControl w:val="false"/>
        <w:jc w:val="center"/>
        <w:textAlignment w:val="baseline"/>
        <w:rPr>
          <w:rFonts w:eastAsia="Calibri"/>
          <w:b/>
          <w:lang w:eastAsia="x-none"/>
        </w:rPr>
      </w:pPr>
      <w:r>
        <w:rPr>
          <w:rFonts w:eastAsia="Calibri"/>
          <w:vertAlign w:val="superscript"/>
          <w:lang w:eastAsia="en-US"/>
        </w:rPr>
        <w:t xml:space="preserve">(основной документ, удостоверяющий личность, с указанием серии, номера, даты выдачи, </w:t>
      </w:r>
      <w:r>
        <w:rPr>
          <w:rFonts w:eastAsia="Calibri"/>
          <w:lang w:eastAsia="en-US"/>
        </w:rPr>
        <w:t>____________________________________________________________________________________</w:t>
      </w:r>
      <w:bookmarkEnd w:id="12"/>
      <w:bookmarkEnd w:id="13"/>
      <w:r>
        <w:rPr>
          <w:rFonts w:eastAsia="Calibri"/>
          <w:lang w:eastAsia="en-US"/>
        </w:rPr>
        <w:t>_</w:t>
      </w:r>
    </w:p>
    <w:p>
      <w:pPr>
        <w:pStyle w:val="Normal"/>
        <w:widowControl w:val="false"/>
        <w:jc w:val="center"/>
        <w:textAlignment w:val="baseline"/>
        <w:rPr>
          <w:rFonts w:eastAsia="Calibri"/>
          <w:vertAlign w:val="superscript"/>
          <w:lang w:eastAsia="en-US"/>
        </w:rPr>
      </w:pPr>
      <w:bookmarkStart w:id="14" w:name="_Toc371578787"/>
      <w:bookmarkStart w:id="15" w:name="_Toc371577636"/>
      <w:r>
        <w:rPr>
          <w:rFonts w:eastAsia="Calibri"/>
          <w:vertAlign w:val="superscript"/>
          <w:lang w:eastAsia="en-US"/>
        </w:rPr>
        <w:t>выдавшего органа, кода подразделения)</w:t>
      </w:r>
      <w:bookmarkEnd w:id="14"/>
      <w:bookmarkEnd w:id="15"/>
    </w:p>
    <w:p>
      <w:pPr>
        <w:pStyle w:val="Normal"/>
        <w:widowControl w:val="false"/>
        <w:jc w:val="center"/>
        <w:textAlignment w:val="baseline"/>
        <w:rPr>
          <w:rFonts w:eastAsia="Calibri"/>
          <w:lang w:eastAsia="en-US"/>
        </w:rPr>
      </w:pPr>
      <w:bookmarkStart w:id="16" w:name="_Toc371578788"/>
      <w:bookmarkStart w:id="17" w:name="_Toc371577637"/>
      <w:r>
        <w:rPr>
          <w:rFonts w:eastAsia="Calibri"/>
          <w:lang w:eastAsia="en-US"/>
        </w:rPr>
        <w:t>____________________________________________________________________________________,</w:t>
      </w:r>
      <w:bookmarkEnd w:id="16"/>
      <w:bookmarkEnd w:id="17"/>
    </w:p>
    <w:p>
      <w:pPr>
        <w:pStyle w:val="Normal"/>
        <w:widowControl w:val="false"/>
        <w:jc w:val="center"/>
        <w:textAlignment w:val="baseline"/>
        <w:rPr>
          <w:rFonts w:eastAsia="Calibri"/>
          <w:vertAlign w:val="superscript"/>
          <w:lang w:eastAsia="en-US"/>
        </w:rPr>
      </w:pPr>
      <w:bookmarkStart w:id="18" w:name="_Toc371578789"/>
      <w:bookmarkStart w:id="19" w:name="_Toc371577638"/>
      <w:r>
        <w:rPr>
          <w:rFonts w:eastAsia="Calibri"/>
          <w:vertAlign w:val="superscript"/>
          <w:lang w:eastAsia="en-US"/>
        </w:rPr>
        <w:t>(зарегистрированный по адресу)</w:t>
      </w:r>
      <w:bookmarkEnd w:id="18"/>
      <w:bookmarkEnd w:id="19"/>
    </w:p>
    <w:p>
      <w:pPr>
        <w:pStyle w:val="Normal"/>
        <w:widowControl w:val="false"/>
        <w:jc w:val="both"/>
        <w:textAlignment w:val="baseline"/>
        <w:rPr>
          <w:rFonts w:eastAsia="Calibri"/>
          <w:b/>
          <w:lang w:eastAsia="x-none"/>
        </w:rPr>
      </w:pPr>
      <w:bookmarkStart w:id="20" w:name="_Toc371578790"/>
      <w:bookmarkStart w:id="21" w:name="_Toc371577639"/>
      <w:r>
        <w:rPr>
          <w:rFonts w:eastAsia="Calibri"/>
          <w:lang w:eastAsia="en-US"/>
        </w:rPr>
        <w:t xml:space="preserve">в соответствии с законодательством Российской Федерации, в том числе Федеральным законом от 27.07.2006 № 152-ФЗ «О персональных данных», даю свое согласие </w:t>
      </w:r>
      <w:r>
        <w:rPr>
          <w:rFonts w:eastAsia="Calibri"/>
          <w:i/>
          <w:lang w:eastAsia="en-US"/>
        </w:rPr>
        <w:t xml:space="preserve">ПАО «__________________» (сокращенное наименование: _____________, место нахождения: </w:t>
      </w:r>
      <w:r>
        <w:rPr>
          <w:rFonts w:eastAsia="Calibri"/>
          <w:i/>
          <w:shd w:fill="BFBFBF" w:val="clear"/>
          <w:lang w:eastAsia="en-US"/>
        </w:rPr>
        <w:t>680000, г. Хабаровск ул. Фрунзе, д. 49, ИНН: 1234567899 - пример</w:t>
      </w:r>
      <w:r>
        <w:rPr>
          <w:rFonts w:eastAsia="Calibri"/>
          <w:i/>
          <w:lang w:eastAsia="en-US"/>
        </w:rPr>
        <w:t>)</w:t>
      </w:r>
      <w:r>
        <w:rPr>
          <w:rFonts w:eastAsia="Calibri"/>
          <w:lang w:eastAsia="en-US"/>
        </w:rPr>
        <w:t xml:space="preserve"> </w:t>
      </w:r>
      <w:bookmarkStart w:id="22" w:name="Par0"/>
      <w:bookmarkEnd w:id="22"/>
      <w:r>
        <w:rPr>
          <w:rFonts w:eastAsia="Calibri"/>
          <w:lang w:eastAsia="en-US"/>
        </w:rPr>
        <w:t>на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следующих категорий персональных данных в документальной и/или электронной форме: фамилия, имя, отчество, дата, месяц, год и место рождения, пол, гражданство, адрес регистрации/места жительства, основной документ, удостоверяющий личность (серия, номер, дата выдачи, выдавший орган), номер телефона, адрес электронной почты.</w:t>
      </w:r>
    </w:p>
    <w:p>
      <w:pPr>
        <w:pStyle w:val="Normal"/>
        <w:widowControl w:val="false"/>
        <w:ind w:firstLine="709"/>
        <w:textAlignment w:val="baseline"/>
        <w:rPr>
          <w:rFonts w:eastAsia="Calibri"/>
          <w:lang w:eastAsia="en-US"/>
        </w:rPr>
      </w:pPr>
      <w:r>
        <w:rPr>
          <w:rFonts w:eastAsia="Calibri"/>
          <w:lang w:eastAsia="en-US"/>
        </w:rPr>
        <w:t>Согласие дается мною для следующих целей:</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обеспечение соблюдения законов и иных нормативных правовых актов Российской Федерации по обеспечению безопасности на объектах топливно-энергетического комплекса;</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предоставление (передачи) сведений в органы ФСБ и МВД России с целью осуществления проверочных мероприятий для обеспечения безопасности на объектах топливно-энергетического комплекса, необходимых для выполнения моей трудовой функции.</w:t>
      </w:r>
      <w:bookmarkEnd w:id="20"/>
      <w:bookmarkEnd w:id="21"/>
    </w:p>
    <w:p>
      <w:pPr>
        <w:pStyle w:val="Normal"/>
        <w:widowControl w:val="false"/>
        <w:ind w:firstLine="709"/>
        <w:jc w:val="both"/>
        <w:textAlignment w:val="baseline"/>
        <w:rPr>
          <w:rFonts w:eastAsia="Calibri"/>
          <w:lang w:eastAsia="en-US"/>
        </w:rPr>
      </w:pPr>
      <w:r>
        <w:rPr>
          <w:rFonts w:eastAsia="Calibri"/>
          <w:lang w:eastAsia="en-US"/>
        </w:rPr>
        <w:t xml:space="preserve">Согласие действует на срок до «____» _________ 20___ г. и может быть отозвано в письменной форме субъектом персональных данных в указанный срок его действия. </w:t>
      </w:r>
    </w:p>
    <w:p>
      <w:pPr>
        <w:pStyle w:val="Normal"/>
        <w:widowControl w:val="false"/>
        <w:textAlignment w:val="baseline"/>
        <w:rPr>
          <w:rFonts w:eastAsia="Calibri"/>
          <w:lang w:eastAsia="en-US"/>
        </w:rPr>
      </w:pPr>
      <w:r>
        <w:rPr>
          <w:rFonts w:eastAsia="Calibri"/>
          <w:lang w:eastAsia="en-US"/>
        </w:rPr>
      </w:r>
    </w:p>
    <w:p>
      <w:pPr>
        <w:pStyle w:val="Normal"/>
        <w:spacing w:before="0" w:after="0"/>
        <w:ind w:hanging="0" w:left="720"/>
        <w:contextualSpacing/>
        <w:rPr>
          <w:rFonts w:eastAsia="Calibri"/>
          <w:lang w:eastAsia="en-US"/>
        </w:rPr>
      </w:pPr>
      <w:r>
        <w:rPr>
          <w:rFonts w:eastAsia="Calibri"/>
          <w:lang w:eastAsia="en-US"/>
        </w:rPr>
      </w:r>
    </w:p>
    <w:p>
      <w:pPr>
        <w:pStyle w:val="Normal"/>
        <w:spacing w:before="0" w:after="0"/>
        <w:ind w:hanging="0" w:left="720"/>
        <w:contextualSpacing/>
        <w:rPr>
          <w:rFonts w:eastAsia="Calibri"/>
          <w:lang w:eastAsia="en-US"/>
        </w:rPr>
      </w:pPr>
      <w:r>
        <w:rPr>
          <w:rFonts w:eastAsia="Calibri"/>
          <w:lang w:eastAsia="en-US"/>
        </w:rPr>
      </w:r>
    </w:p>
    <w:p>
      <w:pPr>
        <w:pStyle w:val="Normal"/>
        <w:spacing w:before="0" w:after="0"/>
        <w:contextualSpacing/>
        <w:rPr>
          <w:rFonts w:eastAsia="Calibri"/>
          <w:lang w:eastAsia="en-US"/>
        </w:rPr>
      </w:pPr>
      <w:bookmarkStart w:id="23" w:name="_Toc371578799"/>
      <w:bookmarkStart w:id="24" w:name="_Toc371577648"/>
      <w:r>
        <w:rPr>
          <w:rFonts w:eastAsia="Calibri"/>
          <w:lang w:eastAsia="en-US"/>
        </w:rPr>
        <w:t xml:space="preserve">______________                                                     </w:t>
        <w:tab/>
        <w:tab/>
        <w:tab/>
        <w:t>___________________________</w:t>
      </w:r>
      <w:bookmarkEnd w:id="23"/>
      <w:bookmarkEnd w:id="24"/>
    </w:p>
    <w:p>
      <w:pPr>
        <w:pStyle w:val="Normal"/>
        <w:rPr>
          <w:rFonts w:eastAsia="Calibri"/>
          <w:b/>
          <w:lang w:eastAsia="x-none"/>
        </w:rPr>
      </w:pPr>
      <w:r>
        <w:rPr>
          <w:rFonts w:eastAsia="Calibri"/>
          <w:vertAlign w:val="superscript"/>
          <w:lang w:eastAsia="en-US"/>
        </w:rPr>
        <w:t xml:space="preserve">         </w:t>
      </w:r>
      <w:r>
        <w:rPr>
          <w:rFonts w:eastAsia="Calibri"/>
          <w:vertAlign w:val="superscript"/>
          <w:lang w:eastAsia="en-US"/>
        </w:rPr>
        <w:t>(дата)</w:t>
        <w:tab/>
        <w:tab/>
        <w:tab/>
        <w:tab/>
        <w:tab/>
        <w:tab/>
        <w:t xml:space="preserve">                                             </w:t>
        <w:tab/>
        <w:tab/>
        <w:t>(подпись)</w:t>
      </w:r>
      <w:r>
        <w:rPr>
          <w:rFonts w:eastAsia="Calibri"/>
        </w:rPr>
        <w:t xml:space="preserve"> </w:t>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r>
        <w:br w:type="page"/>
      </w:r>
    </w:p>
    <w:p>
      <w:pPr>
        <w:pStyle w:val="Normal"/>
        <w:ind w:hanging="0" w:left="4536"/>
        <w:jc w:val="right"/>
        <w:rPr>
          <w:rFonts w:eastAsia="Calibri"/>
          <w:b/>
          <w:sz w:val="22"/>
          <w:szCs w:val="22"/>
          <w:lang w:eastAsia="x-none"/>
        </w:rPr>
      </w:pPr>
      <w:r>
        <w:rPr>
          <w:rFonts w:eastAsia="Calibri"/>
          <w:sz w:val="22"/>
          <w:szCs w:val="22"/>
          <w:lang w:eastAsia="en-US"/>
        </w:rPr>
        <w:t>Приложение №4</w:t>
      </w:r>
    </w:p>
    <w:p>
      <w:pPr>
        <w:pStyle w:val="Normal"/>
        <w:ind w:hanging="0" w:left="5812"/>
        <w:jc w:val="right"/>
        <w:rPr>
          <w:rFonts w:eastAsia="Calibri"/>
          <w:sz w:val="22"/>
          <w:szCs w:val="22"/>
          <w:lang w:eastAsia="en-US"/>
        </w:rPr>
      </w:pPr>
      <w:r>
        <w:rPr>
          <w:rFonts w:eastAsia="Calibri"/>
          <w:sz w:val="22"/>
          <w:szCs w:val="22"/>
          <w:lang w:eastAsia="en-US"/>
        </w:rPr>
        <w:t xml:space="preserve">к Техническим требованиям </w:t>
      </w:r>
    </w:p>
    <w:p>
      <w:pPr>
        <w:pStyle w:val="Normal"/>
        <w:ind w:hanging="0" w:left="5812"/>
        <w:jc w:val="right"/>
        <w:rPr>
          <w:rFonts w:eastAsia="Calibri"/>
          <w:b/>
          <w:sz w:val="12"/>
          <w:szCs w:val="12"/>
          <w:lang w:eastAsia="x-none"/>
        </w:rPr>
      </w:pPr>
      <w:r>
        <w:rPr>
          <w:rFonts w:eastAsia="Calibri"/>
          <w:b/>
          <w:sz w:val="12"/>
          <w:szCs w:val="12"/>
          <w:lang w:eastAsia="x-none"/>
        </w:rPr>
      </w:r>
    </w:p>
    <w:p>
      <w:pPr>
        <w:pStyle w:val="Normal"/>
        <w:rPr>
          <w:rFonts w:eastAsia="Calibri"/>
        </w:rPr>
      </w:pPr>
      <w:r>
        <w:rPr>
          <w:rFonts w:eastAsia="Calibri"/>
        </w:rPr>
      </w:r>
    </w:p>
    <w:p>
      <w:pPr>
        <w:pStyle w:val="Normal"/>
        <w:jc w:val="center"/>
        <w:rPr>
          <w:rFonts w:eastAsia="Calibri"/>
        </w:rPr>
      </w:pPr>
      <w:r>
        <w:rPr>
          <w:rFonts w:eastAsia="Calibri"/>
        </w:rPr>
        <w:t xml:space="preserve">Дислокация постов по охране объекта </w:t>
      </w:r>
    </w:p>
    <w:p>
      <w:pPr>
        <w:pStyle w:val="Normal"/>
        <w:jc w:val="center"/>
        <w:rPr>
          <w:rFonts w:eastAsia="Calibri"/>
        </w:rPr>
      </w:pPr>
      <w:r>
        <w:rPr>
          <w:rFonts w:eastAsia="Calibri"/>
        </w:rPr>
        <w:t>филиала ПАО «РусГидро» - «Северо-Осетинский филиал»</w:t>
      </w:r>
    </w:p>
    <w:p>
      <w:pPr>
        <w:pStyle w:val="Normal"/>
        <w:jc w:val="center"/>
        <w:rPr>
          <w:rFonts w:eastAsia="Calibri"/>
        </w:rPr>
      </w:pPr>
      <w:r>
        <w:rPr>
          <w:rFonts w:eastAsia="Calibri"/>
        </w:rPr>
      </w:r>
    </w:p>
    <w:p>
      <w:pPr>
        <w:pStyle w:val="Normal"/>
        <w:rPr>
          <w:rFonts w:eastAsia="Calibri"/>
          <w:b/>
        </w:rPr>
      </w:pPr>
      <w:r>
        <w:rPr>
          <w:rFonts w:eastAsia="Calibri"/>
          <w:b/>
        </w:rPr>
        <w:t xml:space="preserve">1. </w:t>
      </w:r>
      <w:r>
        <w:rPr>
          <w:rFonts w:eastAsia="Calibri"/>
          <w:b/>
          <w:lang w:val="en-US"/>
        </w:rPr>
        <w:t>Гизельдонская</w:t>
      </w:r>
      <w:r>
        <w:rPr>
          <w:rFonts w:eastAsia="Calibri"/>
          <w:b/>
        </w:rPr>
        <w:t xml:space="preserve"> ГЭС:</w:t>
      </w:r>
    </w:p>
    <w:tbl>
      <w:tblPr>
        <w:tblW w:w="979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01"/>
        <w:gridCol w:w="2863"/>
        <w:gridCol w:w="1953"/>
        <w:gridCol w:w="1268"/>
        <w:gridCol w:w="2613"/>
      </w:tblGrid>
      <w:tr>
        <w:trPr>
          <w:trHeight w:val="764"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 </w:t>
            </w:r>
            <w:r>
              <w:rPr>
                <w:sz w:val="22"/>
                <w:szCs w:val="22"/>
              </w:rPr>
              <w:t>поста</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2"/>
              </w:rPr>
            </w:pPr>
            <w:r>
              <w:rPr>
                <w:bCs/>
                <w:sz w:val="22"/>
                <w:szCs w:val="22"/>
              </w:rPr>
              <w:t>Месторасположение поста,  зона его ответственности</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Режим службы поста</w:t>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Численность постовых</w:t>
            </w:r>
          </w:p>
        </w:tc>
        <w:tc>
          <w:tcPr>
            <w:tcW w:w="26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Оснащение поста оружием, спецсредствами и средствами связи</w:t>
            </w:r>
          </w:p>
        </w:tc>
      </w:tr>
      <w:tr>
        <w:trPr>
          <w:trHeight w:val="296" w:hRule="atLeast"/>
        </w:trPr>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1</w:t>
            </w:r>
          </w:p>
        </w:tc>
        <w:tc>
          <w:tcPr>
            <w:tcW w:w="2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2</w:t>
            </w:r>
          </w:p>
        </w:tc>
        <w:tc>
          <w:tcPr>
            <w:tcW w:w="1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3</w:t>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4</w:t>
            </w:r>
          </w:p>
        </w:tc>
        <w:tc>
          <w:tcPr>
            <w:tcW w:w="26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5</w:t>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№1. Суточный</w:t>
            </w:r>
          </w:p>
        </w:tc>
        <w:tc>
          <w:tcPr>
            <w:tcW w:w="2863"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Станционный узел ГЭС (Центральные ворота)</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парный</w:t>
            </w:r>
          </w:p>
          <w:p>
            <w:pPr>
              <w:pStyle w:val="Normal"/>
              <w:widowControl w:val="false"/>
              <w:jc w:val="center"/>
              <w:rPr>
                <w:sz w:val="22"/>
                <w:szCs w:val="22"/>
              </w:rPr>
            </w:pPr>
            <w:r>
              <w:rPr>
                <w:sz w:val="22"/>
                <w:szCs w:val="22"/>
              </w:rPr>
              <w:t>(2 человека)</w:t>
            </w:r>
          </w:p>
        </w:tc>
        <w:tc>
          <w:tcPr>
            <w:tcW w:w="26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не менее 1 ед.;</w:t>
            </w:r>
          </w:p>
          <w:p>
            <w:pPr>
              <w:pStyle w:val="Normal"/>
              <w:widowControl w:val="false"/>
              <w:rPr>
                <w:sz w:val="22"/>
                <w:szCs w:val="22"/>
              </w:rPr>
            </w:pPr>
            <w:r>
              <w:rPr>
                <w:sz w:val="22"/>
                <w:szCs w:val="22"/>
              </w:rPr>
              <w:t>палка резиновая - 2 шт.;</w:t>
            </w:r>
          </w:p>
          <w:p>
            <w:pPr>
              <w:pStyle w:val="Normal"/>
              <w:widowControl w:val="false"/>
              <w:rPr>
                <w:sz w:val="22"/>
                <w:szCs w:val="22"/>
              </w:rPr>
            </w:pPr>
            <w:r>
              <w:rPr>
                <w:sz w:val="22"/>
                <w:szCs w:val="22"/>
              </w:rPr>
              <w:t>наручники -2 шт.;</w:t>
            </w:r>
          </w:p>
          <w:p>
            <w:pPr>
              <w:pStyle w:val="Normal"/>
              <w:widowControl w:val="false"/>
              <w:rPr>
                <w:sz w:val="22"/>
                <w:szCs w:val="22"/>
              </w:rPr>
            </w:pPr>
            <w:r>
              <w:rPr>
                <w:sz w:val="22"/>
                <w:szCs w:val="22"/>
              </w:rPr>
              <w:t>электрический фонарь - 2 шт.;</w:t>
            </w:r>
          </w:p>
          <w:p>
            <w:pPr>
              <w:pStyle w:val="Normal"/>
              <w:widowControl w:val="false"/>
              <w:rPr>
                <w:sz w:val="22"/>
                <w:szCs w:val="22"/>
              </w:rPr>
            </w:pPr>
            <w:r>
              <w:rPr>
                <w:sz w:val="22"/>
                <w:szCs w:val="22"/>
              </w:rPr>
              <w:t>радиостанция - 2 шт.;</w:t>
            </w:r>
          </w:p>
          <w:p>
            <w:pPr>
              <w:pStyle w:val="Normal"/>
              <w:widowControl w:val="false"/>
              <w:rPr>
                <w:sz w:val="22"/>
                <w:szCs w:val="22"/>
              </w:rPr>
            </w:pPr>
            <w:r>
              <w:rPr>
                <w:sz w:val="22"/>
                <w:szCs w:val="22"/>
              </w:rPr>
              <w:t>мобильная связь - 2 шт.</w:t>
            </w:r>
          </w:p>
          <w:p>
            <w:pPr>
              <w:pStyle w:val="Normal"/>
              <w:widowControl w:val="false"/>
              <w:rPr>
                <w:sz w:val="22"/>
                <w:szCs w:val="22"/>
              </w:rPr>
            </w:pPr>
            <w:r>
              <w:rPr>
                <w:sz w:val="22"/>
                <w:szCs w:val="22"/>
              </w:rPr>
              <w:t>электрошокер – 2 шт.;</w:t>
            </w:r>
          </w:p>
          <w:p>
            <w:pPr>
              <w:pStyle w:val="Normal"/>
              <w:widowControl w:val="false"/>
              <w:rPr>
                <w:sz w:val="22"/>
                <w:szCs w:val="22"/>
              </w:rPr>
            </w:pPr>
            <w:r>
              <w:rPr>
                <w:sz w:val="22"/>
                <w:szCs w:val="22"/>
              </w:rPr>
              <w:t>металлодетектор – 1 шт.</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№2. Суточный</w:t>
            </w:r>
          </w:p>
        </w:tc>
        <w:tc>
          <w:tcPr>
            <w:tcW w:w="2863"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Станционный узел ГЭС (Южные ворота)</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парный</w:t>
            </w:r>
          </w:p>
          <w:p>
            <w:pPr>
              <w:pStyle w:val="Normal"/>
              <w:widowControl w:val="false"/>
              <w:jc w:val="center"/>
              <w:rPr>
                <w:sz w:val="22"/>
                <w:szCs w:val="22"/>
              </w:rPr>
            </w:pPr>
            <w:r>
              <w:rPr>
                <w:sz w:val="22"/>
                <w:szCs w:val="22"/>
              </w:rPr>
              <w:t>(2 человека)</w:t>
            </w:r>
          </w:p>
        </w:tc>
        <w:tc>
          <w:tcPr>
            <w:tcW w:w="26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не менее 1 ед.;</w:t>
            </w:r>
          </w:p>
          <w:p>
            <w:pPr>
              <w:pStyle w:val="Normal"/>
              <w:widowControl w:val="false"/>
              <w:rPr>
                <w:sz w:val="22"/>
                <w:szCs w:val="22"/>
              </w:rPr>
            </w:pPr>
            <w:r>
              <w:rPr>
                <w:sz w:val="22"/>
                <w:szCs w:val="22"/>
              </w:rPr>
              <w:t>палка резиновая - 2 шт.;</w:t>
            </w:r>
          </w:p>
          <w:p>
            <w:pPr>
              <w:pStyle w:val="Normal"/>
              <w:widowControl w:val="false"/>
              <w:rPr>
                <w:sz w:val="22"/>
                <w:szCs w:val="22"/>
              </w:rPr>
            </w:pPr>
            <w:r>
              <w:rPr>
                <w:sz w:val="22"/>
                <w:szCs w:val="22"/>
              </w:rPr>
              <w:t>наручники -2 шт.;</w:t>
            </w:r>
          </w:p>
          <w:p>
            <w:pPr>
              <w:pStyle w:val="Normal"/>
              <w:widowControl w:val="false"/>
              <w:rPr>
                <w:sz w:val="22"/>
                <w:szCs w:val="22"/>
              </w:rPr>
            </w:pPr>
            <w:r>
              <w:rPr>
                <w:sz w:val="22"/>
                <w:szCs w:val="22"/>
              </w:rPr>
              <w:t>электрический фонарь - 2 шт.;</w:t>
            </w:r>
          </w:p>
          <w:p>
            <w:pPr>
              <w:pStyle w:val="Normal"/>
              <w:widowControl w:val="false"/>
              <w:rPr>
                <w:sz w:val="22"/>
                <w:szCs w:val="22"/>
              </w:rPr>
            </w:pPr>
            <w:r>
              <w:rPr>
                <w:sz w:val="22"/>
                <w:szCs w:val="22"/>
              </w:rPr>
              <w:t>радиостанция - 2 шт.;</w:t>
            </w:r>
          </w:p>
          <w:p>
            <w:pPr>
              <w:pStyle w:val="Normal"/>
              <w:widowControl w:val="false"/>
              <w:rPr>
                <w:sz w:val="22"/>
                <w:szCs w:val="22"/>
              </w:rPr>
            </w:pPr>
            <w:r>
              <w:rPr>
                <w:sz w:val="22"/>
                <w:szCs w:val="22"/>
              </w:rPr>
              <w:t>мобильная связь - 2 шт.</w:t>
            </w:r>
          </w:p>
          <w:p>
            <w:pPr>
              <w:pStyle w:val="Normal"/>
              <w:widowControl w:val="false"/>
              <w:rPr>
                <w:sz w:val="22"/>
                <w:szCs w:val="22"/>
              </w:rPr>
            </w:pPr>
            <w:r>
              <w:rPr>
                <w:sz w:val="22"/>
                <w:szCs w:val="22"/>
              </w:rPr>
              <w:t>электрошокер – 2 шт.;</w:t>
            </w:r>
          </w:p>
          <w:p>
            <w:pPr>
              <w:pStyle w:val="Normal"/>
              <w:widowControl w:val="false"/>
              <w:rPr>
                <w:sz w:val="22"/>
                <w:szCs w:val="22"/>
              </w:rPr>
            </w:pPr>
            <w:r>
              <w:rPr>
                <w:sz w:val="22"/>
                <w:szCs w:val="22"/>
              </w:rPr>
              <w:t>металлодетектор – 1 шт.</w:t>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Пост №3. Суточный</w:t>
            </w:r>
          </w:p>
        </w:tc>
        <w:tc>
          <w:tcPr>
            <w:tcW w:w="2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sz w:val="22"/>
                <w:szCs w:val="22"/>
              </w:rPr>
              <w:t>Головной узел ГЭС (Кахтисар)</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rPr>
                <w:sz w:val="22"/>
                <w:szCs w:val="22"/>
              </w:rPr>
            </w:pPr>
            <w:r>
              <w:rPr>
                <w:sz w:val="22"/>
                <w:szCs w:val="22"/>
              </w:rPr>
              <w:t>ежедневно с режимом работы сутки через трое</w:t>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парный</w:t>
            </w:r>
          </w:p>
          <w:p>
            <w:pPr>
              <w:pStyle w:val="Normal"/>
              <w:widowControl w:val="false"/>
              <w:jc w:val="center"/>
              <w:rPr>
                <w:sz w:val="22"/>
                <w:szCs w:val="22"/>
              </w:rPr>
            </w:pPr>
            <w:r>
              <w:rPr>
                <w:sz w:val="22"/>
                <w:szCs w:val="22"/>
              </w:rPr>
              <w:t>(</w:t>
            </w:r>
            <w:r>
              <w:rPr>
                <w:sz w:val="22"/>
                <w:szCs w:val="22"/>
                <w:lang w:val="en-US"/>
              </w:rPr>
              <w:t>3</w:t>
            </w:r>
            <w:r>
              <w:rPr>
                <w:sz w:val="22"/>
                <w:szCs w:val="22"/>
              </w:rPr>
              <w:t xml:space="preserve"> человека)</w:t>
            </w:r>
          </w:p>
        </w:tc>
        <w:tc>
          <w:tcPr>
            <w:tcW w:w="26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Служебное огнестрельное нарезное короткоствольное оружие и патроны к нему или огнестрельное гладкоствольное длинноствольное оружие и патроны к нему (по согласованию с заказчиком) в соответствии с действующим законодательством РФ – не менее 1 ед.;</w:t>
            </w:r>
          </w:p>
          <w:p>
            <w:pPr>
              <w:pStyle w:val="Normal"/>
              <w:widowControl w:val="false"/>
              <w:rPr>
                <w:sz w:val="22"/>
                <w:szCs w:val="22"/>
              </w:rPr>
            </w:pPr>
            <w:r>
              <w:rPr>
                <w:sz w:val="22"/>
                <w:szCs w:val="22"/>
              </w:rPr>
              <w:t>палка резиновая - 3 шт.;</w:t>
            </w:r>
          </w:p>
          <w:p>
            <w:pPr>
              <w:pStyle w:val="Normal"/>
              <w:widowControl w:val="false"/>
              <w:rPr>
                <w:sz w:val="22"/>
                <w:szCs w:val="22"/>
              </w:rPr>
            </w:pPr>
            <w:r>
              <w:rPr>
                <w:sz w:val="22"/>
                <w:szCs w:val="22"/>
              </w:rPr>
              <w:t>наручники - 3 шт.;</w:t>
            </w:r>
          </w:p>
          <w:p>
            <w:pPr>
              <w:pStyle w:val="Normal"/>
              <w:widowControl w:val="false"/>
              <w:rPr>
                <w:sz w:val="22"/>
                <w:szCs w:val="22"/>
              </w:rPr>
            </w:pPr>
            <w:r>
              <w:rPr>
                <w:sz w:val="22"/>
                <w:szCs w:val="22"/>
              </w:rPr>
              <w:t>электрический фонарь - 3 шт.;</w:t>
            </w:r>
          </w:p>
          <w:p>
            <w:pPr>
              <w:pStyle w:val="Normal"/>
              <w:widowControl w:val="false"/>
              <w:rPr>
                <w:sz w:val="22"/>
                <w:szCs w:val="22"/>
              </w:rPr>
            </w:pPr>
            <w:r>
              <w:rPr>
                <w:sz w:val="22"/>
                <w:szCs w:val="22"/>
              </w:rPr>
              <w:t>радиостанция - 3 шт.;</w:t>
            </w:r>
          </w:p>
          <w:p>
            <w:pPr>
              <w:pStyle w:val="Normal"/>
              <w:widowControl w:val="false"/>
              <w:rPr>
                <w:sz w:val="22"/>
                <w:szCs w:val="22"/>
              </w:rPr>
            </w:pPr>
            <w:r>
              <w:rPr>
                <w:sz w:val="22"/>
                <w:szCs w:val="22"/>
              </w:rPr>
              <w:t>мобильная связь - 3 шт.</w:t>
            </w:r>
          </w:p>
          <w:p>
            <w:pPr>
              <w:pStyle w:val="Normal"/>
              <w:widowControl w:val="false"/>
              <w:rPr>
                <w:sz w:val="22"/>
                <w:szCs w:val="22"/>
              </w:rPr>
            </w:pPr>
            <w:r>
              <w:rPr>
                <w:sz w:val="22"/>
                <w:szCs w:val="22"/>
              </w:rPr>
              <w:t>электрошокер – 3 шт.;</w:t>
            </w:r>
          </w:p>
          <w:p>
            <w:pPr>
              <w:pStyle w:val="Normal"/>
              <w:widowControl w:val="false"/>
              <w:rPr>
                <w:sz w:val="22"/>
                <w:szCs w:val="22"/>
              </w:rPr>
            </w:pPr>
            <w:r>
              <w:rPr>
                <w:sz w:val="22"/>
                <w:szCs w:val="22"/>
              </w:rPr>
              <w:t>металлодетектор – 1 шт.</w:t>
            </w:r>
          </w:p>
          <w:p>
            <w:pPr>
              <w:pStyle w:val="Normal"/>
              <w:widowControl w:val="false"/>
              <w:rPr>
                <w:sz w:val="22"/>
                <w:szCs w:val="22"/>
              </w:rPr>
            </w:pPr>
            <w:r>
              <w:rPr>
                <w:sz w:val="22"/>
                <w:szCs w:val="22"/>
              </w:rPr>
            </w:r>
          </w:p>
        </w:tc>
      </w:tr>
    </w:tbl>
    <w:p>
      <w:pPr>
        <w:pStyle w:val="Normal"/>
        <w:spacing w:before="0" w:after="0"/>
        <w:contextualSpacing/>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sectPr>
      <w:headerReference w:type="default" r:id="rId3"/>
      <w:headerReference w:type="first" r:id="rId4"/>
      <w:type w:val="nextPage"/>
      <w:pgSz w:w="11906" w:h="16838"/>
      <w:pgMar w:left="1418" w:right="851" w:gutter="0" w:header="284" w:top="992" w:footer="0" w:bottom="27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10</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2"/>
        <w:szCs w:val="22"/>
      </w:rPr>
    </w:pPr>
    <w:r>
      <w:rPr/>
      <w:fldChar w:fldCharType="begin"/>
    </w:r>
    <w:r>
      <w:rPr/>
      <w:instrText xml:space="preserve"> PAGE </w:instrText>
    </w:r>
    <w:r>
      <w:rPr/>
      <w:fldChar w:fldCharType="separate"/>
    </w:r>
    <w:r>
      <w:rPr/>
      <w:t>17</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502" w:hanging="360"/>
      </w:pPr>
      <w:rPr>
        <w:b/>
        <w:rFonts w:ascii="Times New Roman" w:hAnsi="Times New Roman" w:eastAsia="Times New Roman" w:cs="Times New Roman"/>
      </w:rPr>
    </w:lvl>
    <w:lvl w:ilvl="1">
      <w:start w:val="1"/>
      <w:numFmt w:val="decimal"/>
      <w:lvlText w:val="%1.%2."/>
      <w:lvlJc w:val="left"/>
      <w:pPr>
        <w:tabs>
          <w:tab w:val="num" w:pos="0"/>
        </w:tabs>
        <w:ind w:left="1283" w:hanging="432"/>
      </w:pPr>
      <w:rPr>
        <w:sz w:val="24"/>
        <w:szCs w:val="28"/>
        <w:color w:val="auto"/>
      </w:rPr>
    </w:lvl>
    <w:lvl w:ilvl="2">
      <w:start w:val="1"/>
      <w:numFmt w:val="decimal"/>
      <w:lvlText w:val="%1.%2.%3."/>
      <w:lvlJc w:val="left"/>
      <w:pPr>
        <w:tabs>
          <w:tab w:val="num" w:pos="0"/>
        </w:tabs>
        <w:ind w:left="135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1996"/>
        </w:tabs>
        <w:ind w:left="1996" w:hanging="360"/>
      </w:pPr>
      <w:rPr>
        <w:rFonts w:ascii="Symbol" w:hAnsi="Symbol" w:cs="Symbol" w:hint="default"/>
      </w:rPr>
    </w:lvl>
    <w:lvl w:ilvl="1">
      <w:start w:val="1"/>
      <w:numFmt w:val="bullet"/>
      <w:lvlText w:val="o"/>
      <w:lvlJc w:val="left"/>
      <w:pPr>
        <w:tabs>
          <w:tab w:val="num" w:pos="2716"/>
        </w:tabs>
        <w:ind w:left="2716" w:hanging="360"/>
      </w:pPr>
      <w:rPr>
        <w:rFonts w:ascii="Courier New" w:hAnsi="Courier New" w:cs="Courier New" w:hint="default"/>
      </w:rPr>
    </w:lvl>
    <w:lvl w:ilvl="2">
      <w:start w:val="1"/>
      <w:numFmt w:val="bullet"/>
      <w:lvlText w:val=""/>
      <w:lvlJc w:val="left"/>
      <w:pPr>
        <w:tabs>
          <w:tab w:val="num" w:pos="3436"/>
        </w:tabs>
        <w:ind w:left="3436" w:hanging="360"/>
      </w:pPr>
      <w:rPr>
        <w:rFonts w:ascii="Wingdings" w:hAnsi="Wingdings" w:cs="Wingdings" w:hint="default"/>
      </w:rPr>
    </w:lvl>
    <w:lvl w:ilvl="3">
      <w:start w:val="1"/>
      <w:numFmt w:val="bullet"/>
      <w:lvlText w:val=""/>
      <w:lvlJc w:val="left"/>
      <w:pPr>
        <w:tabs>
          <w:tab w:val="num" w:pos="4156"/>
        </w:tabs>
        <w:ind w:left="4156" w:hanging="360"/>
      </w:pPr>
      <w:rPr>
        <w:rFonts w:ascii="Symbol" w:hAnsi="Symbol" w:cs="Symbol" w:hint="default"/>
      </w:rPr>
    </w:lvl>
    <w:lvl w:ilvl="4">
      <w:start w:val="1"/>
      <w:numFmt w:val="bullet"/>
      <w:lvlText w:val="o"/>
      <w:lvlJc w:val="left"/>
      <w:pPr>
        <w:tabs>
          <w:tab w:val="num" w:pos="4876"/>
        </w:tabs>
        <w:ind w:left="4876" w:hanging="360"/>
      </w:pPr>
      <w:rPr>
        <w:rFonts w:ascii="Courier New" w:hAnsi="Courier New" w:cs="Courier New" w:hint="default"/>
      </w:rPr>
    </w:lvl>
    <w:lvl w:ilvl="5">
      <w:start w:val="1"/>
      <w:numFmt w:val="bullet"/>
      <w:lvlText w:val=""/>
      <w:lvlJc w:val="left"/>
      <w:pPr>
        <w:tabs>
          <w:tab w:val="num" w:pos="5596"/>
        </w:tabs>
        <w:ind w:left="5596" w:hanging="360"/>
      </w:pPr>
      <w:rPr>
        <w:rFonts w:ascii="Wingdings" w:hAnsi="Wingdings" w:cs="Wingdings" w:hint="default"/>
      </w:rPr>
    </w:lvl>
    <w:lvl w:ilvl="6">
      <w:start w:val="1"/>
      <w:numFmt w:val="bullet"/>
      <w:lvlText w:val=""/>
      <w:lvlJc w:val="left"/>
      <w:pPr>
        <w:tabs>
          <w:tab w:val="num" w:pos="6316"/>
        </w:tabs>
        <w:ind w:left="6316" w:hanging="360"/>
      </w:pPr>
      <w:rPr>
        <w:rFonts w:ascii="Symbol" w:hAnsi="Symbol" w:cs="Symbol" w:hint="default"/>
      </w:rPr>
    </w:lvl>
    <w:lvl w:ilvl="7">
      <w:start w:val="1"/>
      <w:numFmt w:val="bullet"/>
      <w:lvlText w:val="o"/>
      <w:lvlJc w:val="left"/>
      <w:pPr>
        <w:tabs>
          <w:tab w:val="num" w:pos="7036"/>
        </w:tabs>
        <w:ind w:left="7036" w:hanging="360"/>
      </w:pPr>
      <w:rPr>
        <w:rFonts w:ascii="Courier New" w:hAnsi="Courier New" w:cs="Courier New" w:hint="default"/>
      </w:rPr>
    </w:lvl>
    <w:lvl w:ilvl="8">
      <w:start w:val="1"/>
      <w:numFmt w:val="bullet"/>
      <w:lvlText w:val=""/>
      <w:lvlJc w:val="left"/>
      <w:pPr>
        <w:tabs>
          <w:tab w:val="num" w:pos="7756"/>
        </w:tabs>
        <w:ind w:left="7756" w:hanging="360"/>
      </w:pPr>
      <w:rPr>
        <w:rFonts w:ascii="Wingdings" w:hAnsi="Wingdings" w:cs="Wingdings" w:hint="default"/>
      </w:rPr>
    </w:lvl>
  </w:abstractNum>
  <w:abstractNum w:abstractNumId="4">
    <w:lvl w:ilvl="0">
      <w:start w:val="1"/>
      <w:numFmt w:val="bullet"/>
      <w:lvlText w:val=""/>
      <w:lvlJc w:val="left"/>
      <w:pPr>
        <w:tabs>
          <w:tab w:val="num" w:pos="0"/>
        </w:tabs>
        <w:ind w:left="1789" w:hanging="360"/>
      </w:pPr>
      <w:rPr>
        <w:rFonts w:ascii="Symbol" w:hAnsi="Symbol" w:cs="Symbo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5">
    <w:lvl w:ilvl="0">
      <w:start w:val="2"/>
      <w:numFmt w:val="decimal"/>
      <w:lvlText w:val="%1."/>
      <w:lvlJc w:val="left"/>
      <w:pPr>
        <w:tabs>
          <w:tab w:val="num" w:pos="0"/>
        </w:tabs>
        <w:ind w:left="540" w:hanging="540"/>
      </w:pPr>
      <w:rPr/>
    </w:lvl>
    <w:lvl w:ilvl="1">
      <w:start w:val="1"/>
      <w:numFmt w:val="decimal"/>
      <w:lvlText w:val="%1.%2."/>
      <w:lvlJc w:val="left"/>
      <w:pPr>
        <w:tabs>
          <w:tab w:val="num" w:pos="0"/>
        </w:tabs>
        <w:ind w:left="791" w:hanging="540"/>
      </w:pPr>
      <w:rPr/>
    </w:lvl>
    <w:lvl w:ilvl="2">
      <w:start w:val="2"/>
      <w:numFmt w:val="decimal"/>
      <w:lvlText w:val="%1.%2.%3."/>
      <w:lvlJc w:val="left"/>
      <w:pPr>
        <w:tabs>
          <w:tab w:val="num" w:pos="0"/>
        </w:tabs>
        <w:ind w:left="1222" w:hanging="720"/>
      </w:pPr>
      <w:rPr/>
    </w:lvl>
    <w:lvl w:ilvl="3">
      <w:start w:val="1"/>
      <w:numFmt w:val="decimal"/>
      <w:lvlText w:val="%1.%2.%3.%4."/>
      <w:lvlJc w:val="left"/>
      <w:pPr>
        <w:tabs>
          <w:tab w:val="num" w:pos="0"/>
        </w:tabs>
        <w:ind w:left="1473" w:hanging="720"/>
      </w:pPr>
      <w:rPr/>
    </w:lvl>
    <w:lvl w:ilvl="4">
      <w:start w:val="1"/>
      <w:numFmt w:val="decimal"/>
      <w:lvlText w:val="%1.%2.%3.%4.%5."/>
      <w:lvlJc w:val="left"/>
      <w:pPr>
        <w:tabs>
          <w:tab w:val="num" w:pos="0"/>
        </w:tabs>
        <w:ind w:left="2084" w:hanging="1080"/>
      </w:pPr>
      <w:rPr/>
    </w:lvl>
    <w:lvl w:ilvl="5">
      <w:start w:val="1"/>
      <w:numFmt w:val="decimal"/>
      <w:lvlText w:val="%1.%2.%3.%4.%5.%6."/>
      <w:lvlJc w:val="left"/>
      <w:pPr>
        <w:tabs>
          <w:tab w:val="num" w:pos="0"/>
        </w:tabs>
        <w:ind w:left="2335" w:hanging="1080"/>
      </w:pPr>
      <w:rPr/>
    </w:lvl>
    <w:lvl w:ilvl="6">
      <w:start w:val="1"/>
      <w:numFmt w:val="decimal"/>
      <w:lvlText w:val="%1.%2.%3.%4.%5.%6.%7."/>
      <w:lvlJc w:val="left"/>
      <w:pPr>
        <w:tabs>
          <w:tab w:val="num" w:pos="0"/>
        </w:tabs>
        <w:ind w:left="2946" w:hanging="1440"/>
      </w:pPr>
      <w:rPr/>
    </w:lvl>
    <w:lvl w:ilvl="7">
      <w:start w:val="1"/>
      <w:numFmt w:val="decimal"/>
      <w:lvlText w:val="%1.%2.%3.%4.%5.%6.%7.%8."/>
      <w:lvlJc w:val="left"/>
      <w:pPr>
        <w:tabs>
          <w:tab w:val="num" w:pos="0"/>
        </w:tabs>
        <w:ind w:left="3197" w:hanging="1440"/>
      </w:pPr>
      <w:rPr/>
    </w:lvl>
    <w:lvl w:ilvl="8">
      <w:start w:val="1"/>
      <w:numFmt w:val="decimal"/>
      <w:lvlText w:val="%1.%2.%3.%4.%5.%6.%7.%8.%9."/>
      <w:lvlJc w:val="left"/>
      <w:pPr>
        <w:tabs>
          <w:tab w:val="num" w:pos="0"/>
        </w:tabs>
        <w:ind w:left="3808" w:hanging="1800"/>
      </w:pPr>
      <w:rPr/>
    </w:lvl>
  </w:abstractNum>
  <w:abstractNum w:abstractNumId="6">
    <w:lvl w:ilvl="0">
      <w:start w:val="2"/>
      <w:numFmt w:val="decimal"/>
      <w:lvlText w:val="%1."/>
      <w:lvlJc w:val="left"/>
      <w:pPr>
        <w:tabs>
          <w:tab w:val="num" w:pos="0"/>
        </w:tabs>
        <w:ind w:left="502" w:hanging="360"/>
      </w:pPr>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7">
    <w:lvl w:ilvl="0">
      <w:start w:val="4"/>
      <w:numFmt w:val="decimal"/>
      <w:lvlText w:val="%1."/>
      <w:lvlJc w:val="left"/>
      <w:pPr>
        <w:tabs>
          <w:tab w:val="num" w:pos="0"/>
        </w:tabs>
        <w:ind w:left="1080" w:hanging="360"/>
      </w:pPr>
      <w:rPr>
        <w:rFonts w:cs="Times New Roman"/>
      </w:rPr>
    </w:lvl>
    <w:lvl w:ilvl="1">
      <w:start w:val="1"/>
      <w:numFmt w:val="decimal"/>
      <w:lvlText w:val="%1.%2."/>
      <w:lvlJc w:val="left"/>
      <w:pPr>
        <w:tabs>
          <w:tab w:val="num" w:pos="0"/>
        </w:tabs>
        <w:ind w:left="1140" w:hanging="4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440" w:hanging="720"/>
      </w:pPr>
      <w:rPr>
        <w:rFonts w:cs="Times New Roman"/>
      </w:rPr>
    </w:lvl>
    <w:lvl w:ilvl="4">
      <w:start w:val="1"/>
      <w:numFmt w:val="decimal"/>
      <w:lvlText w:val="%1.%2.%3.%4.%5."/>
      <w:lvlJc w:val="left"/>
      <w:pPr>
        <w:tabs>
          <w:tab w:val="num" w:pos="0"/>
        </w:tabs>
        <w:ind w:left="1800" w:hanging="1080"/>
      </w:pPr>
      <w:rPr>
        <w:rFonts w:cs="Times New Roman"/>
      </w:rPr>
    </w:lvl>
    <w:lvl w:ilvl="5">
      <w:start w:val="1"/>
      <w:numFmt w:val="decimal"/>
      <w:lvlText w:val="%1.%2.%3.%4.%5.%6."/>
      <w:lvlJc w:val="left"/>
      <w:pPr>
        <w:tabs>
          <w:tab w:val="num" w:pos="0"/>
        </w:tabs>
        <w:ind w:left="1800" w:hanging="1080"/>
      </w:pPr>
      <w:rPr>
        <w:rFonts w:cs="Times New Roman"/>
      </w:rPr>
    </w:lvl>
    <w:lvl w:ilvl="6">
      <w:start w:val="1"/>
      <w:numFmt w:val="decimal"/>
      <w:lvlText w:val="%1.%2.%3.%4.%5.%6.%7."/>
      <w:lvlJc w:val="left"/>
      <w:pPr>
        <w:tabs>
          <w:tab w:val="num" w:pos="0"/>
        </w:tabs>
        <w:ind w:left="2160" w:hanging="1440"/>
      </w:pPr>
      <w:rPr>
        <w:rFonts w:cs="Times New Roman"/>
      </w:rPr>
    </w:lvl>
    <w:lvl w:ilvl="7">
      <w:start w:val="1"/>
      <w:numFmt w:val="decimal"/>
      <w:lvlText w:val="%1.%2.%3.%4.%5.%6.%7.%8."/>
      <w:lvlJc w:val="left"/>
      <w:pPr>
        <w:tabs>
          <w:tab w:val="num" w:pos="0"/>
        </w:tabs>
        <w:ind w:left="2160" w:hanging="1440"/>
      </w:pPr>
      <w:rPr>
        <w:rFonts w:cs="Times New Roman"/>
      </w:rPr>
    </w:lvl>
    <w:lvl w:ilvl="8">
      <w:start w:val="1"/>
      <w:numFmt w:val="decimal"/>
      <w:lvlText w:val="%1.%2.%3.%4.%5.%6.%7.%8.%9."/>
      <w:lvlJc w:val="left"/>
      <w:pPr>
        <w:tabs>
          <w:tab w:val="num" w:pos="0"/>
        </w:tabs>
        <w:ind w:left="2520" w:hanging="180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Heading3"/>
    <w:next w:val="Normal"/>
    <w:link w:val="11"/>
    <w:qFormat/>
    <w:pPr>
      <w:outlineLvl w:val="0"/>
    </w:pPr>
    <w:rPr>
      <w:sz w:val="28"/>
      <w:szCs w:val="28"/>
    </w:rPr>
  </w:style>
  <w:style w:type="paragraph" w:styleId="Heading3">
    <w:name w:val="Heading 3"/>
    <w:basedOn w:val="Normal"/>
    <w:next w:val="Normal"/>
    <w:link w:val="3"/>
    <w:autoRedefine/>
    <w:qFormat/>
    <w:pPr>
      <w:keepNext w:val="true"/>
      <w:tabs>
        <w:tab w:val="clear" w:pos="709"/>
        <w:tab w:val="left" w:pos="0" w:leader="none"/>
      </w:tabs>
      <w:spacing w:before="120" w:after="60"/>
      <w:ind w:hanging="0" w:left="1224"/>
      <w:outlineLvl w:val="2"/>
    </w:pPr>
    <w:rPr>
      <w:rFonts w:eastAsia="Calibri"/>
      <w:b/>
      <w:lang w:val="x-none" w:eastAsia="x-none"/>
    </w:rPr>
  </w:style>
  <w:style w:type="paragraph" w:styleId="Heading4">
    <w:name w:val="Heading 4"/>
    <w:basedOn w:val="Heading3"/>
    <w:next w:val="Normal"/>
    <w:link w:val="4"/>
    <w:qFormat/>
    <w:pPr>
      <w:outlineLvl w:val="3"/>
    </w:pPr>
    <w:rPr>
      <w:bCs/>
    </w:rPr>
  </w:style>
  <w:style w:type="character" w:styleId="DefaultParagraphFont" w:default="1">
    <w:name w:val="Default Paragraph Font"/>
    <w:uiPriority w:val="1"/>
    <w:semiHidden/>
    <w:unhideWhenUsed/>
    <w:qFormat/>
    <w:rPr/>
  </w:style>
  <w:style w:type="character" w:styleId="Style6" w:customStyle="1">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Pagenumber">
    <w:name w:val="page number"/>
    <w:basedOn w:val="DefaultParagraphFont"/>
    <w:qFormat/>
    <w:rPr/>
  </w:style>
  <w:style w:type="character" w:styleId="2" w:customStyle="1">
    <w:name w:val="Стиль2 Знак"/>
    <w:link w:val="21"/>
    <w:qFormat/>
    <w:rPr>
      <w:rFonts w:ascii="Times New Roman" w:hAnsi="Times New Roman" w:eastAsia="Times New Roman" w:cs="Times New Roman"/>
      <w:bCs/>
      <w:kern w:val="2"/>
      <w:sz w:val="24"/>
      <w:szCs w:val="32"/>
      <w:lang w:val="x-none"/>
    </w:rPr>
  </w:style>
  <w:style w:type="character" w:styleId="Style7" w:customStyle="1">
    <w:name w:val="Текст сноски Знак"/>
    <w:basedOn w:val="DefaultParagraphFont"/>
    <w:qFormat/>
    <w:rPr>
      <w:rFonts w:ascii="Times New Roman" w:hAnsi="Times New Roman" w:eastAsia="Calibri" w:cs="Times New Roman"/>
      <w:sz w:val="20"/>
      <w:szCs w:val="20"/>
      <w:lang w:val="en-GB" w:eastAsia="ru-RU"/>
    </w:rPr>
  </w:style>
  <w:style w:type="character" w:styleId="Style8"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Pr>
      <w:vertAlign w:val="superscript"/>
    </w:rPr>
  </w:style>
  <w:style w:type="character" w:styleId="1" w:customStyle="1">
    <w:name w:val="Гиперссылка1"/>
    <w:qFormat/>
    <w:rPr>
      <w:color w:val="0000FF"/>
      <w:u w:val="single"/>
    </w:rPr>
  </w:style>
  <w:style w:type="character" w:styleId="Style9" w:customStyle="1">
    <w:name w:val="Абзац списка Знак"/>
    <w:link w:val="ListParagraph"/>
    <w:uiPriority w:val="34"/>
    <w:qFormat/>
    <w:rPr>
      <w:rFonts w:ascii="Calibri" w:hAnsi="Calibri" w:eastAsia="Calibri" w:cs="Times New Roman"/>
    </w:rPr>
  </w:style>
  <w:style w:type="character" w:styleId="Annotationreference">
    <w:name w:val="annotation reference"/>
    <w:basedOn w:val="DefaultParagraphFont"/>
    <w:qFormat/>
    <w:rPr>
      <w:sz w:val="16"/>
      <w:szCs w:val="16"/>
    </w:rPr>
  </w:style>
  <w:style w:type="character" w:styleId="Style10" w:customStyle="1">
    <w:name w:val="Текст примечания Знак"/>
    <w:basedOn w:val="DefaultParagraphFont"/>
    <w:link w:val="Annotationtext"/>
    <w:qFormat/>
    <w:rPr>
      <w:rFonts w:ascii="Times New Roman" w:hAnsi="Times New Roman" w:eastAsia="Times New Roman" w:cs="Times New Roman"/>
      <w:sz w:val="20"/>
      <w:szCs w:val="20"/>
      <w:lang w:eastAsia="ru-RU"/>
    </w:rPr>
  </w:style>
  <w:style w:type="character" w:styleId="Style11" w:customStyle="1">
    <w:name w:val="Тема примечания Знак"/>
    <w:basedOn w:val="Style10"/>
    <w:link w:val="Annotationsubject"/>
    <w:qFormat/>
    <w:rPr>
      <w:rFonts w:ascii="Times New Roman" w:hAnsi="Times New Roman" w:eastAsia="Times New Roman" w:cs="Times New Roman"/>
      <w:b/>
      <w:bCs/>
      <w:sz w:val="20"/>
      <w:szCs w:val="20"/>
      <w:lang w:eastAsia="ru-RU"/>
    </w:rPr>
  </w:style>
  <w:style w:type="character" w:styleId="Style12" w:customStyle="1">
    <w:name w:val="Текст выноски Знак"/>
    <w:basedOn w:val="DefaultParagraphFont"/>
    <w:link w:val="BalloonText"/>
    <w:qFormat/>
    <w:rPr>
      <w:rFonts w:ascii="Segoe UI" w:hAnsi="Segoe UI" w:eastAsia="Times New Roman" w:cs="Segoe UI"/>
      <w:sz w:val="18"/>
      <w:szCs w:val="18"/>
      <w:lang w:eastAsia="ru-RU"/>
    </w:rPr>
  </w:style>
  <w:style w:type="character" w:styleId="Style13" w:customStyle="1">
    <w:name w:val="Верхний колонтитул Знак"/>
    <w:basedOn w:val="DefaultParagraphFont"/>
    <w:uiPriority w:val="99"/>
    <w:qFormat/>
    <w:rPr>
      <w:rFonts w:ascii="Times New Roman" w:hAnsi="Times New Roman" w:eastAsia="Times New Roman" w:cs="Times New Roman"/>
      <w:sz w:val="24"/>
      <w:szCs w:val="24"/>
      <w:lang w:eastAsia="ru-RU"/>
    </w:rPr>
  </w:style>
  <w:style w:type="character" w:styleId="11" w:customStyle="1">
    <w:name w:val="Заголовок 1 Знак"/>
    <w:basedOn w:val="DefaultParagraphFont"/>
    <w:qFormat/>
    <w:rPr>
      <w:rFonts w:ascii="Times New Roman" w:hAnsi="Times New Roman" w:eastAsia="Calibri" w:cs="Times New Roman"/>
      <w:b/>
      <w:sz w:val="28"/>
      <w:szCs w:val="28"/>
      <w:lang w:val="x-none" w:eastAsia="x-none"/>
    </w:rPr>
  </w:style>
  <w:style w:type="character" w:styleId="3" w:customStyle="1">
    <w:name w:val="Заголовок 3 Знак"/>
    <w:basedOn w:val="DefaultParagraphFont"/>
    <w:qFormat/>
    <w:rPr>
      <w:rFonts w:ascii="Times New Roman" w:hAnsi="Times New Roman" w:cs="Times New Roman"/>
      <w:b/>
      <w:sz w:val="24"/>
      <w:szCs w:val="24"/>
      <w:lang w:val="x-none" w:eastAsia="x-none"/>
    </w:rPr>
  </w:style>
  <w:style w:type="character" w:styleId="4" w:customStyle="1">
    <w:name w:val="Заголовок 4 Знак"/>
    <w:basedOn w:val="DefaultParagraphFont"/>
    <w:qFormat/>
    <w:rPr>
      <w:rFonts w:ascii="Times New Roman" w:hAnsi="Times New Roman" w:eastAsia="Calibri" w:cs="Times New Roman"/>
      <w:b/>
      <w:bCs/>
      <w:sz w:val="24"/>
      <w:szCs w:val="24"/>
      <w:lang w:val="x-none" w:eastAsia="x-none"/>
    </w:rPr>
  </w:style>
  <w:style w:type="character" w:styleId="Style14" w:customStyle="1">
    <w:name w:val="комментарий"/>
    <w:qFormat/>
    <w:rPr>
      <w:b/>
      <w:i/>
      <w:shd w:fill="FFFF99" w:val="clear"/>
    </w:rPr>
  </w:style>
  <w:style w:type="character" w:styleId="Style15" w:customStyle="1">
    <w:name w:val="Основной текст Знак"/>
    <w:basedOn w:val="DefaultParagraphFont"/>
    <w:qFormat/>
    <w:rPr>
      <w:rFonts w:ascii="Times New Roman" w:hAnsi="Times New Roman" w:eastAsia="Times New Roman" w:cs="Times New Roman"/>
      <w:sz w:val="28"/>
      <w:szCs w:val="20"/>
      <w:lang w:eastAsia="ru-RU"/>
    </w:rPr>
  </w:style>
  <w:style w:type="character" w:styleId="Style16" w:customStyle="1">
    <w:name w:val="Ссылка указателя"/>
    <w:qFormat/>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15"/>
    <w:pPr/>
    <w:rPr>
      <w:sz w:val="28"/>
      <w:szCs w:val="20"/>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Caption111" w:customStyle="1">
    <w:name w:val="caption111"/>
    <w:basedOn w:val="Normal"/>
    <w:qFormat/>
    <w:pPr>
      <w:suppressLineNumbers/>
      <w:spacing w:before="120" w:after="120"/>
    </w:pPr>
    <w:rPr>
      <w:i/>
      <w:iCs/>
    </w:rPr>
  </w:style>
  <w:style w:type="paragraph" w:styleId="Style19" w:customStyle="1">
    <w:name w:val="Колонтитул"/>
    <w:basedOn w:val="Normal"/>
    <w:qFormat/>
    <w:pPr/>
    <w:rPr/>
  </w:style>
  <w:style w:type="paragraph" w:styleId="Footer">
    <w:name w:val="Footer"/>
    <w:basedOn w:val="Normal"/>
    <w:link w:val="Style6"/>
    <w:pPr>
      <w:tabs>
        <w:tab w:val="clear" w:pos="709"/>
        <w:tab w:val="center" w:pos="4677" w:leader="none"/>
        <w:tab w:val="right" w:pos="9355" w:leader="none"/>
      </w:tabs>
    </w:pPr>
    <w:rPr/>
  </w:style>
  <w:style w:type="paragraph" w:styleId="ConsPlusNormal" w:customStyle="1">
    <w:name w:val="ConsPlusNormal"/>
    <w:qFormat/>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21" w:customStyle="1">
    <w:name w:val="Стиль2"/>
    <w:basedOn w:val="Normal"/>
    <w:link w:val="2"/>
    <w:qFormat/>
    <w:pPr>
      <w:spacing w:lineRule="auto" w:line="276" w:before="120" w:after="120"/>
      <w:ind w:hanging="709" w:left="709"/>
      <w:jc w:val="both"/>
      <w:outlineLvl w:val="0"/>
    </w:pPr>
    <w:rPr>
      <w:bCs/>
      <w:kern w:val="2"/>
      <w:szCs w:val="32"/>
      <w:lang w:val="x-none" w:eastAsia="en-US"/>
    </w:rPr>
  </w:style>
  <w:style w:type="paragraph" w:styleId="ListParagraph">
    <w:name w:val="List Paragraph"/>
    <w:basedOn w:val="Normal"/>
    <w:link w:val="Style9"/>
    <w:uiPriority w:val="34"/>
    <w:qFormat/>
    <w:pPr>
      <w:spacing w:lineRule="auto" w:line="276" w:before="0" w:after="200"/>
      <w:ind w:hanging="0" w:left="720"/>
      <w:contextualSpacing/>
    </w:pPr>
    <w:rPr>
      <w:rFonts w:ascii="Calibri" w:hAnsi="Calibri" w:eastAsia="Calibri"/>
      <w:sz w:val="22"/>
      <w:szCs w:val="22"/>
      <w:lang w:eastAsia="en-US"/>
    </w:rPr>
  </w:style>
  <w:style w:type="paragraph" w:styleId="FootnoteText">
    <w:name w:val="Footnote Text"/>
    <w:basedOn w:val="Normal"/>
    <w:link w:val="Style7"/>
    <w:pPr/>
    <w:rPr>
      <w:rFonts w:eastAsia="Calibri"/>
      <w:sz w:val="20"/>
      <w:szCs w:val="20"/>
      <w:lang w:val="en-GB"/>
    </w:rPr>
  </w:style>
  <w:style w:type="paragraph" w:styleId="12" w:customStyle="1">
    <w:name w:val="Абзац списка1"/>
    <w:basedOn w:val="Normal"/>
    <w:qFormat/>
    <w:pPr>
      <w:spacing w:lineRule="auto" w:line="276" w:before="0" w:after="200"/>
      <w:ind w:hanging="0" w:left="720"/>
      <w:contextualSpacing/>
    </w:pPr>
    <w:rPr>
      <w:rFonts w:ascii="Calibri" w:hAnsi="Calibri"/>
      <w:sz w:val="22"/>
      <w:szCs w:val="22"/>
      <w:lang w:eastAsia="en-US"/>
    </w:rPr>
  </w:style>
  <w:style w:type="paragraph" w:styleId="Annotationtext">
    <w:name w:val="annotation text"/>
    <w:basedOn w:val="Normal"/>
    <w:link w:val="Style10"/>
    <w:qFormat/>
    <w:pPr/>
    <w:rPr>
      <w:sz w:val="20"/>
      <w:szCs w:val="20"/>
    </w:rPr>
  </w:style>
  <w:style w:type="paragraph" w:styleId="Annotationsubject">
    <w:name w:val="annotation subject"/>
    <w:basedOn w:val="Annotationtext"/>
    <w:next w:val="Annotationtext"/>
    <w:link w:val="Style11"/>
    <w:qFormat/>
    <w:pPr/>
    <w:rPr>
      <w:b/>
      <w:bCs/>
    </w:rPr>
  </w:style>
  <w:style w:type="paragraph" w:styleId="BalloonText">
    <w:name w:val="Balloon Text"/>
    <w:basedOn w:val="Normal"/>
    <w:link w:val="Style12"/>
    <w:qFormat/>
    <w:pPr/>
    <w:rPr>
      <w:rFonts w:ascii="Segoe UI" w:hAnsi="Segoe UI" w:cs="Segoe UI"/>
      <w:sz w:val="18"/>
      <w:szCs w:val="18"/>
    </w:rPr>
  </w:style>
  <w:style w:type="paragraph" w:styleId="31" w:customStyle="1">
    <w:name w:val="Знак Знак3"/>
    <w:basedOn w:val="Normal"/>
    <w:qFormat/>
    <w:pPr>
      <w:spacing w:lineRule="exact" w:line="240" w:before="0" w:after="160"/>
    </w:pPr>
    <w:rPr>
      <w:rFonts w:ascii="Verdana" w:hAnsi="Verdana" w:cs="Verdana"/>
      <w:sz w:val="20"/>
      <w:szCs w:val="20"/>
      <w:lang w:val="en-US" w:eastAsia="en-US"/>
    </w:rPr>
  </w:style>
  <w:style w:type="paragraph" w:styleId="TOC1">
    <w:name w:val="TOC 1"/>
    <w:basedOn w:val="Normal"/>
    <w:next w:val="Normal"/>
    <w:autoRedefine/>
    <w:pPr>
      <w:tabs>
        <w:tab w:val="clear" w:pos="709"/>
        <w:tab w:val="left" w:pos="560" w:leader="none"/>
        <w:tab w:val="right" w:pos="9911" w:leader="dot"/>
      </w:tabs>
      <w:spacing w:before="120" w:after="0"/>
    </w:pPr>
    <w:rPr>
      <w:rFonts w:cs="Calibri"/>
      <w:b/>
      <w:bCs/>
      <w:iCs/>
    </w:rPr>
  </w:style>
  <w:style w:type="paragraph" w:styleId="TOC3">
    <w:name w:val="TOC 3"/>
    <w:basedOn w:val="Normal"/>
    <w:next w:val="Normal"/>
    <w:autoRedefine/>
    <w:pPr>
      <w:tabs>
        <w:tab w:val="clear" w:pos="709"/>
        <w:tab w:val="left" w:pos="1400" w:leader="none"/>
        <w:tab w:val="right" w:pos="9911" w:leader="dot"/>
      </w:tabs>
      <w:ind w:firstLine="291" w:left="560"/>
    </w:pPr>
    <w:rPr>
      <w:rFonts w:cs="Calibri"/>
      <w:sz w:val="20"/>
      <w:szCs w:val="20"/>
    </w:rPr>
  </w:style>
  <w:style w:type="paragraph" w:styleId="TOC4">
    <w:name w:val="TOC 4"/>
    <w:basedOn w:val="Normal"/>
    <w:next w:val="Normal"/>
    <w:autoRedefine/>
    <w:pPr>
      <w:ind w:hanging="0" w:left="840"/>
    </w:pPr>
    <w:rPr>
      <w:rFonts w:cs="Calibri"/>
      <w:sz w:val="20"/>
      <w:szCs w:val="20"/>
    </w:rPr>
  </w:style>
  <w:style w:type="paragraph" w:styleId="Header">
    <w:name w:val="Header"/>
    <w:basedOn w:val="Normal"/>
    <w:link w:val="Style13"/>
    <w:uiPriority w:val="99"/>
    <w:pPr>
      <w:tabs>
        <w:tab w:val="clear" w:pos="709"/>
        <w:tab w:val="center" w:pos="4677" w:leader="none"/>
        <w:tab w:val="right" w:pos="9355" w:leader="none"/>
      </w:tabs>
    </w:pPr>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paragraph" w:styleId="Style23" w:customStyle="1">
    <w:name w:val="Таблица"/>
    <w:basedOn w:val="Normal"/>
    <w:qFormat/>
    <w:rsid w:val="00be2e51"/>
    <w:pPr>
      <w:keepNext w:val="true"/>
      <w:suppressAutoHyphens w:val="false"/>
      <w:spacing w:before="60" w:after="60"/>
      <w:jc w:val="center"/>
    </w:pPr>
    <w:rPr>
      <w:rFonts w:eastAsia="Calibri"/>
      <w:b/>
      <w:lang w:val="x-none" w:eastAsia="x-none"/>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3">
    <w:name w:val="Table Grid"/>
    <w:basedOn w:val="a1"/>
    <w:uiPriority w:val="39"/>
    <w:rsid w:val="00be2e5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Сетка таблицы1"/>
    <w:basedOn w:val="a1"/>
    <w:uiPriority w:val="39"/>
    <w:rsid w:val="00794bf8"/>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91222-B06E-44CB-BE48-6D705AB51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Application>AlterOffice/2026.2.0.0$Linux_X86_64 LibreOffice_project/bc4ef1adf80b36c7a6365f8ed6cbf29021361edd</Application>
  <AppVersion>15.0000</AppVersion>
  <Pages>20</Pages>
  <Words>4242</Words>
  <Characters>31212</Characters>
  <CharactersWithSpaces>35698</CharactersWithSpaces>
  <Paragraphs>440</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2023-12-22T10:38:00Z</dcterms:created>
  <dc:creator>lena</dc:creator>
  <dc:description/>
  <dc:language>ru-RU</dc:language>
  <cp:lastModifiedBy>pomazovda@corp.gidroogk.com</cp:lastModifiedBy>
  <cp:lastPrinted>2023-09-13T15:04:00Z</cp:lastPrinted>
  <dcterms:modified xsi:type="dcterms:W3CDTF">2026-09-15T08:40:18Z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