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hanging="0" w:left="5245"/>
        <w:rPr>
          <w:rFonts w:eastAsia="Calibri"/>
        </w:rPr>
      </w:pPr>
      <w:r>
        <w:rPr>
          <w:rFonts w:eastAsia="Calibri"/>
        </w:rPr>
      </w:r>
    </w:p>
    <w:p>
      <w:pPr>
        <w:pStyle w:val="Normal"/>
        <w:keepNext w:val="true"/>
        <w:numPr>
          <w:ilvl w:val="0"/>
          <w:numId w:val="0"/>
        </w:numPr>
        <w:ind w:hanging="0" w:left="0"/>
        <w:jc w:val="center"/>
        <w:outlineLvl w:val="0"/>
        <w:rPr>
          <w:b/>
        </w:rPr>
      </w:pPr>
      <w:r>
        <w:rPr>
          <w:b/>
        </w:rPr>
      </w:r>
    </w:p>
    <w:p>
      <w:pPr>
        <w:pStyle w:val="Normal"/>
        <w:keepNext w:val="true"/>
        <w:numPr>
          <w:ilvl w:val="0"/>
          <w:numId w:val="0"/>
        </w:numPr>
        <w:ind w:hanging="0" w:left="0"/>
        <w:jc w:val="center"/>
        <w:outlineLvl w:val="0"/>
        <w:rPr>
          <w:b/>
        </w:rPr>
      </w:pPr>
      <w:r>
        <w:rPr>
          <w:b/>
        </w:rPr>
      </w:r>
    </w:p>
    <w:p>
      <w:pPr>
        <w:pStyle w:val="Normal"/>
        <w:numPr>
          <w:ilvl w:val="0"/>
          <w:numId w:val="0"/>
        </w:numPr>
        <w:ind w:hanging="0" w:left="0"/>
        <w:jc w:val="center"/>
        <w:outlineLvl w:val="0"/>
        <w:rPr>
          <w:b/>
        </w:rPr>
      </w:pPr>
      <w:r>
        <w:rPr>
          <w:b/>
        </w:rPr>
      </w:r>
    </w:p>
    <w:p>
      <w:pPr>
        <w:pStyle w:val="Normal"/>
        <w:numPr>
          <w:ilvl w:val="0"/>
          <w:numId w:val="0"/>
        </w:numPr>
        <w:ind w:hanging="0" w:left="0"/>
        <w:jc w:val="center"/>
        <w:outlineLvl w:val="0"/>
        <w:rPr>
          <w:b/>
        </w:rPr>
      </w:pPr>
      <w:r>
        <w:rPr>
          <w:b/>
        </w:rPr>
      </w:r>
    </w:p>
    <w:p>
      <w:pPr>
        <w:pStyle w:val="Normal"/>
        <w:numPr>
          <w:ilvl w:val="0"/>
          <w:numId w:val="0"/>
        </w:numPr>
        <w:ind w:hanging="0" w:left="0"/>
        <w:jc w:val="center"/>
        <w:outlineLvl w:val="0"/>
        <w:rPr>
          <w:b/>
        </w:rPr>
      </w:pPr>
      <w:r>
        <w:rPr>
          <w:b/>
        </w:rPr>
      </w:r>
    </w:p>
    <w:p>
      <w:pPr>
        <w:pStyle w:val="Normal"/>
        <w:numPr>
          <w:ilvl w:val="0"/>
          <w:numId w:val="0"/>
        </w:numPr>
        <w:ind w:hanging="0" w:left="0"/>
        <w:jc w:val="center"/>
        <w:outlineLvl w:val="0"/>
        <w:rPr>
          <w:b/>
        </w:rPr>
      </w:pPr>
      <w:r>
        <w:rPr>
          <w:b/>
        </w:rPr>
      </w:r>
    </w:p>
    <w:p>
      <w:pPr>
        <w:pStyle w:val="Normal"/>
        <w:numPr>
          <w:ilvl w:val="0"/>
          <w:numId w:val="0"/>
        </w:numPr>
        <w:ind w:hanging="0" w:left="0"/>
        <w:jc w:val="center"/>
        <w:outlineLvl w:val="0"/>
        <w:rPr>
          <w:b/>
        </w:rPr>
      </w:pPr>
      <w:r>
        <w:rPr>
          <w:b/>
        </w:rPr>
      </w:r>
    </w:p>
    <w:p>
      <w:pPr>
        <w:pStyle w:val="Normal"/>
        <w:numPr>
          <w:ilvl w:val="0"/>
          <w:numId w:val="0"/>
        </w:numPr>
        <w:ind w:hanging="0" w:left="0"/>
        <w:jc w:val="center"/>
        <w:outlineLvl w:val="0"/>
        <w:rPr>
          <w:b/>
        </w:rPr>
      </w:pPr>
      <w:r>
        <w:rPr>
          <w:b/>
        </w:rPr>
      </w:r>
    </w:p>
    <w:p>
      <w:pPr>
        <w:pStyle w:val="Normal"/>
        <w:numPr>
          <w:ilvl w:val="0"/>
          <w:numId w:val="0"/>
        </w:numPr>
        <w:ind w:hanging="0" w:left="0"/>
        <w:jc w:val="center"/>
        <w:outlineLvl w:val="0"/>
        <w:rPr>
          <w:b/>
        </w:rPr>
      </w:pPr>
      <w:r>
        <w:rPr>
          <w:b/>
        </w:rPr>
      </w:r>
    </w:p>
    <w:p>
      <w:pPr>
        <w:pStyle w:val="Normal"/>
        <w:numPr>
          <w:ilvl w:val="0"/>
          <w:numId w:val="0"/>
        </w:numPr>
        <w:ind w:hanging="0" w:left="0"/>
        <w:jc w:val="center"/>
        <w:outlineLvl w:val="0"/>
        <w:rPr>
          <w:b/>
        </w:rPr>
      </w:pPr>
      <w:r>
        <w:rPr>
          <w:b/>
        </w:rPr>
      </w:r>
    </w:p>
    <w:p>
      <w:pPr>
        <w:pStyle w:val="Normal"/>
        <w:numPr>
          <w:ilvl w:val="0"/>
          <w:numId w:val="0"/>
        </w:numPr>
        <w:ind w:hanging="0" w:left="0"/>
        <w:jc w:val="center"/>
        <w:outlineLvl w:val="0"/>
        <w:rPr>
          <w:b/>
        </w:rPr>
      </w:pPr>
      <w:r>
        <w:rPr>
          <w:b/>
        </w:rPr>
      </w:r>
    </w:p>
    <w:p>
      <w:pPr>
        <w:pStyle w:val="Normal"/>
        <w:keepNext w:val="true"/>
        <w:numPr>
          <w:ilvl w:val="0"/>
          <w:numId w:val="0"/>
        </w:numPr>
        <w:ind w:hanging="0" w:left="0"/>
        <w:jc w:val="center"/>
        <w:outlineLvl w:val="0"/>
        <w:rPr>
          <w:b/>
        </w:rPr>
      </w:pPr>
      <w:r>
        <w:rPr>
          <w:b/>
        </w:rPr>
      </w:r>
    </w:p>
    <w:p>
      <w:pPr>
        <w:pStyle w:val="Normal"/>
        <w:keepNext w:val="true"/>
        <w:numPr>
          <w:ilvl w:val="0"/>
          <w:numId w:val="0"/>
        </w:numPr>
        <w:ind w:hanging="0" w:left="0"/>
        <w:jc w:val="center"/>
        <w:outlineLvl w:val="0"/>
        <w:rPr>
          <w:b/>
        </w:rPr>
      </w:pPr>
      <w:r>
        <w:rPr>
          <w:b/>
        </w:rPr>
      </w:r>
    </w:p>
    <w:p>
      <w:pPr>
        <w:pStyle w:val="Normal"/>
        <w:keepNext w:val="true"/>
        <w:numPr>
          <w:ilvl w:val="0"/>
          <w:numId w:val="0"/>
        </w:numPr>
        <w:ind w:hanging="0" w:left="0"/>
        <w:jc w:val="center"/>
        <w:outlineLvl w:val="0"/>
        <w:rPr>
          <w:b/>
        </w:rPr>
      </w:pPr>
      <w:r>
        <w:rPr>
          <w:b/>
        </w:rPr>
      </w:r>
    </w:p>
    <w:p>
      <w:pPr>
        <w:pStyle w:val="Normal"/>
        <w:keepNext w:val="true"/>
        <w:numPr>
          <w:ilvl w:val="0"/>
          <w:numId w:val="0"/>
        </w:numPr>
        <w:ind w:hanging="0" w:left="0"/>
        <w:jc w:val="center"/>
        <w:outlineLvl w:val="0"/>
        <w:rPr>
          <w:b/>
        </w:rPr>
      </w:pPr>
      <w:r>
        <w:rPr>
          <w:b/>
        </w:rPr>
      </w:r>
    </w:p>
    <w:p>
      <w:pPr>
        <w:pStyle w:val="Normal"/>
        <w:keepNext w:val="true"/>
        <w:numPr>
          <w:ilvl w:val="0"/>
          <w:numId w:val="0"/>
        </w:numPr>
        <w:ind w:hanging="0" w:left="0"/>
        <w:jc w:val="center"/>
        <w:outlineLvl w:val="0"/>
        <w:rPr>
          <w:b/>
        </w:rPr>
      </w:pPr>
      <w:r>
        <w:rPr>
          <w:b/>
        </w:rPr>
      </w:r>
    </w:p>
    <w:p>
      <w:pPr>
        <w:pStyle w:val="Normal"/>
        <w:keepNext w:val="true"/>
        <w:numPr>
          <w:ilvl w:val="0"/>
          <w:numId w:val="0"/>
        </w:numPr>
        <w:spacing w:lineRule="auto" w:line="276"/>
        <w:ind w:hanging="0" w:left="0"/>
        <w:jc w:val="center"/>
        <w:outlineLvl w:val="0"/>
        <w:rPr/>
      </w:pPr>
      <w:r>
        <w:rPr/>
        <w:t>ТЕХНИЧЕСКОЕ ЗАДАНИЕ</w:t>
      </w:r>
    </w:p>
    <w:p>
      <w:pPr>
        <w:pStyle w:val="Normal"/>
        <w:keepNext w:val="true"/>
        <w:numPr>
          <w:ilvl w:val="0"/>
          <w:numId w:val="0"/>
        </w:numPr>
        <w:spacing w:lineRule="auto" w:line="276"/>
        <w:ind w:hanging="0" w:left="0"/>
        <w:jc w:val="center"/>
        <w:outlineLvl w:val="0"/>
        <w:rPr>
          <w:rFonts w:eastAsia="Calibri"/>
          <w:color w:val="000000"/>
          <w:lang w:eastAsia="en-US"/>
        </w:rPr>
      </w:pPr>
      <w:r>
        <w:rPr/>
        <w:t xml:space="preserve">на оказание услуг  по </w:t>
      </w:r>
      <w:r>
        <w:rPr>
          <w:rFonts w:eastAsia="Calibri"/>
          <w:color w:val="000000"/>
          <w:lang w:eastAsia="en-US"/>
        </w:rPr>
        <w:t xml:space="preserve">ОКПД2 84.24 Услуги по охране и  антитеррористической защищенности Дзауджикауской ГЭС филиала ПАО «РусГидро» - </w:t>
      </w:r>
    </w:p>
    <w:p>
      <w:pPr>
        <w:pStyle w:val="Normal"/>
        <w:numPr>
          <w:ilvl w:val="0"/>
          <w:numId w:val="0"/>
        </w:numPr>
        <w:spacing w:lineRule="auto" w:line="276"/>
        <w:ind w:hanging="0" w:left="0"/>
        <w:jc w:val="center"/>
        <w:outlineLvl w:val="0"/>
        <w:rPr>
          <w:rFonts w:eastAsia="Calibri"/>
          <w:color w:val="000000"/>
          <w:lang w:eastAsia="en-US"/>
        </w:rPr>
      </w:pPr>
      <w:r>
        <w:rPr>
          <w:rFonts w:eastAsia="Calibri"/>
          <w:color w:val="000000"/>
          <w:lang w:eastAsia="en-US"/>
        </w:rPr>
        <w:t>«Северо-Осетинский филиал»</w:t>
      </w:r>
    </w:p>
    <w:p>
      <w:pPr>
        <w:pStyle w:val="Normal"/>
        <w:spacing w:lineRule="auto" w:line="276"/>
        <w:jc w:val="center"/>
        <w:rPr>
          <w:color w:val="FF0000"/>
        </w:rPr>
      </w:pPr>
      <w:r>
        <w:rPr>
          <w:color w:val="FF0000"/>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t>СОДЕРЖАНИЕ</w:t>
      </w:r>
    </w:p>
    <w:p>
      <w:pPr>
        <w:pStyle w:val="Normal"/>
        <w:widowControl w:val="false"/>
        <w:rPr>
          <w:b/>
        </w:rPr>
      </w:pPr>
      <w:r>
        <w:rPr>
          <w:b/>
        </w:rPr>
      </w:r>
    </w:p>
    <w:sdt>
      <w:sdtPr>
        <w:docPartObj>
          <w:docPartGallery w:val="Table of Contents"/>
          <w:docPartUnique w:val="true"/>
        </w:docPartObj>
      </w:sdtPr>
      <w:sdtContent>
        <w:p>
          <w:pPr>
            <w:pStyle w:val="TOC1"/>
            <w:spacing w:before="0" w:after="0"/>
            <w:rPr>
              <w:rFonts w:cs="Times New Roman"/>
            </w:rPr>
          </w:pPr>
          <w:r>
            <w:fldChar w:fldCharType="begin"/>
          </w:r>
          <w:r>
            <w:rPr>
              <w:rStyle w:val="Style16"/>
              <w:rFonts w:cs="Times New Roman"/>
            </w:rPr>
            <w:instrText xml:space="preserve"> TOC \o "1-4" \h</w:instrText>
          </w:r>
          <w:r>
            <w:rPr>
              <w:rStyle w:val="Style16"/>
              <w:rFonts w:cs="Times New Roman"/>
            </w:rPr>
            <w:fldChar w:fldCharType="separate"/>
          </w:r>
          <w:hyperlink w:anchor="_Toc54643453">
            <w:r>
              <w:rPr>
                <w:rStyle w:val="Style16"/>
                <w:rFonts w:cs="Times New Roman"/>
              </w:rPr>
              <w:t>1.</w:t>
            </w:r>
          </w:hyperlink>
          <w:hyperlink w:anchor="_Toc54643453">
            <w:r>
              <w:rPr>
                <w:webHidden/>
              </w:rPr>
              <w:fldChar w:fldCharType="begin"/>
            </w:r>
            <w:r>
              <w:rPr>
                <w:webHidden/>
              </w:rPr>
              <w:instrText xml:space="preserve">PAGEREF _Toc54643453 \h</w:instrText>
            </w:r>
            <w:r>
              <w:rPr>
                <w:webHidden/>
              </w:rPr>
              <w:fldChar w:fldCharType="separate"/>
            </w:r>
            <w:r>
              <w:rPr>
                <w:rStyle w:val="Style16"/>
                <w:rFonts w:cs="Times New Roman"/>
                <w:b w:val="false"/>
                <w:bCs w:val="false"/>
                <w:iCs w:val="false"/>
              </w:rPr>
              <w:tab/>
            </w:r>
            <w:r>
              <w:rPr>
                <w:webHidden/>
              </w:rPr>
              <w:fldChar w:fldCharType="end"/>
            </w:r>
          </w:hyperlink>
          <w:hyperlink w:anchor="_Toc54643453">
            <w:r>
              <w:rPr>
                <w:webHidden/>
              </w:rPr>
              <w:fldChar w:fldCharType="begin"/>
            </w:r>
            <w:r>
              <w:rPr>
                <w:webHidden/>
              </w:rPr>
              <w:instrText xml:space="preserve">PAGEREF _Toc54643453 \h</w:instrText>
            </w:r>
            <w:r>
              <w:rPr>
                <w:webHidden/>
              </w:rPr>
              <w:fldChar w:fldCharType="separate"/>
            </w:r>
            <w:r>
              <w:rPr>
                <w:rStyle w:val="Style16"/>
                <w:rFonts w:cs="Times New Roman"/>
              </w:rPr>
              <w:t>Общие сведения</w:t>
            </w:r>
            <w:r>
              <w:rPr>
                <w:webHidden/>
              </w:rPr>
              <w:fldChar w:fldCharType="end"/>
            </w:r>
          </w:hyperlink>
          <w:hyperlink w:anchor="_Toc54643453">
            <w:r>
              <w:rPr>
                <w:webHidden/>
              </w:rPr>
              <w:fldChar w:fldCharType="begin"/>
            </w:r>
            <w:r>
              <w:rPr>
                <w:webHidden/>
              </w:rPr>
              <w:instrText xml:space="preserve">PAGEREF _Toc54643453 \h</w:instrText>
            </w:r>
            <w:r>
              <w:rPr>
                <w:webHidden/>
              </w:rPr>
              <w:fldChar w:fldCharType="separate"/>
            </w:r>
            <w:r>
              <w:rPr>
                <w:rStyle w:val="Style16"/>
                <w:rFonts w:cs="Times New Roman"/>
              </w:rPr>
              <w:tab/>
            </w:r>
            <w:r>
              <w:rPr>
                <w:webHidden/>
              </w:rPr>
              <w:fldChar w:fldCharType="end"/>
            </w:r>
          </w:hyperlink>
          <w:r>
            <w:rPr>
              <w:rFonts w:cs="Times New Roman"/>
            </w:rPr>
            <w:t>3</w:t>
          </w:r>
        </w:p>
        <w:p>
          <w:pPr>
            <w:pStyle w:val="TOC4"/>
            <w:tabs>
              <w:tab w:val="clear" w:pos="709"/>
              <w:tab w:val="left" w:pos="1400" w:leader="none"/>
              <w:tab w:val="right" w:pos="9911" w:leader="dot"/>
            </w:tabs>
            <w:rPr>
              <w:rFonts w:cs="Times New Roman"/>
              <w:sz w:val="24"/>
              <w:szCs w:val="24"/>
            </w:rPr>
          </w:pPr>
          <w:hyperlink w:anchor="_Toc54643455">
            <w:r>
              <w:rPr>
                <w:rStyle w:val="Style16"/>
                <w:rFonts w:cs="Times New Roman"/>
                <w:iCs/>
                <w:sz w:val="24"/>
                <w:szCs w:val="24"/>
              </w:rPr>
              <w:t>1.1.</w:t>
            </w:r>
          </w:hyperlink>
          <w:hyperlink w:anchor="_Toc54643455">
            <w:r>
              <w:rPr>
                <w:webHidden/>
              </w:rPr>
              <w:fldChar w:fldCharType="begin"/>
            </w:r>
            <w:r>
              <w:rPr>
                <w:webHidden/>
              </w:rPr>
              <w:instrText xml:space="preserve">PAGEREF _Toc54643455 \h</w:instrText>
            </w:r>
            <w:r>
              <w:rPr>
                <w:webHidden/>
              </w:rPr>
              <w:fldChar w:fldCharType="separate"/>
            </w:r>
            <w:r>
              <w:rPr>
                <w:rStyle w:val="Style16"/>
                <w:rFonts w:cs="Times New Roman"/>
                <w:sz w:val="24"/>
                <w:szCs w:val="24"/>
              </w:rPr>
              <w:tab/>
            </w:r>
            <w:r>
              <w:rPr>
                <w:webHidden/>
              </w:rPr>
              <w:fldChar w:fldCharType="end"/>
            </w:r>
          </w:hyperlink>
          <w:hyperlink w:anchor="_Toc54643455">
            <w:r>
              <w:rPr>
                <w:webHidden/>
              </w:rPr>
              <w:fldChar w:fldCharType="begin"/>
            </w:r>
            <w:r>
              <w:rPr>
                <w:webHidden/>
              </w:rPr>
              <w:instrText xml:space="preserve">PAGEREF _Toc54643455 \h</w:instrText>
            </w:r>
            <w:r>
              <w:rPr>
                <w:webHidden/>
              </w:rPr>
              <w:fldChar w:fldCharType="separate"/>
            </w:r>
            <w:r>
              <w:rPr>
                <w:rStyle w:val="Style16"/>
                <w:rFonts w:cs="Times New Roman"/>
                <w:sz w:val="24"/>
                <w:szCs w:val="24"/>
              </w:rPr>
              <w:t>Наименование закупаемых услуг</w:t>
            </w:r>
            <w:r>
              <w:rPr>
                <w:webHidden/>
              </w:rPr>
              <w:fldChar w:fldCharType="end"/>
            </w:r>
          </w:hyperlink>
          <w:hyperlink w:anchor="_Toc54643455">
            <w:r>
              <w:rPr>
                <w:webHidden/>
              </w:rPr>
              <w:fldChar w:fldCharType="begin"/>
            </w:r>
            <w:r>
              <w:rPr>
                <w:webHidden/>
              </w:rPr>
              <w:instrText xml:space="preserve">PAGEREF _Toc54643455 \h</w:instrText>
            </w:r>
            <w:r>
              <w:rPr>
                <w:webHidden/>
              </w:rPr>
              <w:fldChar w:fldCharType="separate"/>
            </w:r>
            <w:r>
              <w:rPr>
                <w:rStyle w:val="Style16"/>
                <w:rFonts w:cs="Times New Roman"/>
                <w:sz w:val="24"/>
                <w:szCs w:val="24"/>
              </w:rPr>
              <w:tab/>
              <w:t>3</w:t>
            </w:r>
            <w:r>
              <w:rPr>
                <w:webHidden/>
              </w:rPr>
              <w:fldChar w:fldCharType="end"/>
            </w:r>
          </w:hyperlink>
        </w:p>
        <w:p>
          <w:pPr>
            <w:pStyle w:val="TOC4"/>
            <w:tabs>
              <w:tab w:val="clear" w:pos="709"/>
              <w:tab w:val="left" w:pos="1400" w:leader="none"/>
              <w:tab w:val="right" w:pos="9911" w:leader="dot"/>
            </w:tabs>
            <w:rPr>
              <w:rFonts w:cs="Times New Roman"/>
              <w:sz w:val="24"/>
              <w:szCs w:val="24"/>
            </w:rPr>
          </w:pPr>
          <w:hyperlink w:anchor="_Toc54643456">
            <w:r>
              <w:rPr>
                <w:rStyle w:val="Style16"/>
                <w:rFonts w:cs="Times New Roman"/>
                <w:iCs/>
                <w:sz w:val="24"/>
                <w:szCs w:val="24"/>
              </w:rPr>
              <w:t>1.2.</w:t>
            </w:r>
          </w:hyperlink>
          <w:hyperlink w:anchor="_Toc54643456">
            <w:r>
              <w:rPr>
                <w:webHidden/>
              </w:rPr>
              <w:fldChar w:fldCharType="begin"/>
            </w:r>
            <w:r>
              <w:rPr>
                <w:webHidden/>
              </w:rPr>
              <w:instrText xml:space="preserve">PAGEREF _Toc54643456 \h</w:instrText>
            </w:r>
            <w:r>
              <w:rPr>
                <w:webHidden/>
              </w:rPr>
              <w:fldChar w:fldCharType="separate"/>
            </w:r>
            <w:r>
              <w:rPr>
                <w:rStyle w:val="Style16"/>
                <w:rFonts w:cs="Times New Roman"/>
                <w:sz w:val="24"/>
                <w:szCs w:val="24"/>
              </w:rPr>
              <w:tab/>
            </w:r>
            <w:r>
              <w:rPr>
                <w:webHidden/>
              </w:rPr>
              <w:fldChar w:fldCharType="end"/>
            </w:r>
          </w:hyperlink>
          <w:hyperlink w:anchor="_Toc54643456">
            <w:r>
              <w:rPr>
                <w:webHidden/>
              </w:rPr>
              <w:fldChar w:fldCharType="begin"/>
            </w:r>
            <w:r>
              <w:rPr>
                <w:webHidden/>
              </w:rPr>
              <w:instrText xml:space="preserve">PAGEREF _Toc54643456 \h</w:instrText>
            </w:r>
            <w:r>
              <w:rPr>
                <w:webHidden/>
              </w:rPr>
              <w:fldChar w:fldCharType="separate"/>
            </w:r>
            <w:r>
              <w:rPr>
                <w:rStyle w:val="Style16"/>
                <w:rFonts w:cs="Times New Roman"/>
                <w:sz w:val="24"/>
                <w:szCs w:val="24"/>
              </w:rPr>
              <w:t>Цель оказания услуг</w:t>
            </w:r>
            <w:r>
              <w:rPr>
                <w:webHidden/>
              </w:rPr>
              <w:fldChar w:fldCharType="end"/>
            </w:r>
          </w:hyperlink>
          <w:hyperlink w:anchor="_Toc54643456">
            <w:r>
              <w:rPr>
                <w:webHidden/>
              </w:rPr>
              <w:fldChar w:fldCharType="begin"/>
            </w:r>
            <w:r>
              <w:rPr>
                <w:webHidden/>
              </w:rPr>
              <w:instrText xml:space="preserve">PAGEREF _Toc54643456 \h</w:instrText>
            </w:r>
            <w:r>
              <w:rPr>
                <w:webHidden/>
              </w:rPr>
              <w:fldChar w:fldCharType="separate"/>
            </w:r>
            <w:r>
              <w:rPr>
                <w:rStyle w:val="Style16"/>
                <w:rFonts w:cs="Times New Roman"/>
                <w:sz w:val="24"/>
                <w:szCs w:val="24"/>
              </w:rPr>
              <w:tab/>
              <w:t>3</w:t>
            </w:r>
            <w:r>
              <w:rPr>
                <w:webHidden/>
              </w:rPr>
              <w:fldChar w:fldCharType="end"/>
            </w:r>
          </w:hyperlink>
        </w:p>
        <w:p>
          <w:pPr>
            <w:pStyle w:val="TOC4"/>
            <w:tabs>
              <w:tab w:val="clear" w:pos="709"/>
              <w:tab w:val="left" w:pos="1400" w:leader="none"/>
              <w:tab w:val="right" w:pos="9911" w:leader="dot"/>
            </w:tabs>
            <w:rPr>
              <w:rFonts w:cs="Times New Roman"/>
              <w:sz w:val="24"/>
              <w:szCs w:val="24"/>
            </w:rPr>
          </w:pPr>
          <w:hyperlink w:anchor="_Toc54643460">
            <w:r>
              <w:rPr>
                <w:rStyle w:val="Style16"/>
                <w:rFonts w:cs="Times New Roman"/>
                <w:iCs/>
                <w:sz w:val="24"/>
                <w:szCs w:val="24"/>
              </w:rPr>
              <w:t>1.3.</w:t>
            </w:r>
          </w:hyperlink>
          <w:hyperlink w:anchor="_Toc54643460">
            <w:r>
              <w:rPr>
                <w:webHidden/>
              </w:rPr>
              <w:fldChar w:fldCharType="begin"/>
            </w:r>
            <w:r>
              <w:rPr>
                <w:webHidden/>
              </w:rPr>
              <w:instrText xml:space="preserve">PAGEREF _Toc54643460 \h</w:instrText>
            </w:r>
            <w:r>
              <w:rPr>
                <w:webHidden/>
              </w:rPr>
              <w:fldChar w:fldCharType="separate"/>
            </w:r>
            <w:r>
              <w:rPr>
                <w:rStyle w:val="Style16"/>
                <w:rFonts w:cs="Times New Roman"/>
                <w:sz w:val="24"/>
                <w:szCs w:val="24"/>
              </w:rPr>
              <w:tab/>
            </w:r>
            <w:r>
              <w:rPr>
                <w:webHidden/>
              </w:rPr>
              <w:fldChar w:fldCharType="end"/>
            </w:r>
          </w:hyperlink>
          <w:hyperlink w:anchor="_Toc54643460">
            <w:r>
              <w:rPr>
                <w:webHidden/>
              </w:rPr>
              <w:fldChar w:fldCharType="begin"/>
            </w:r>
            <w:r>
              <w:rPr>
                <w:webHidden/>
              </w:rPr>
              <w:instrText xml:space="preserve">PAGEREF _Toc54643460 \h</w:instrText>
            </w:r>
            <w:r>
              <w:rPr>
                <w:webHidden/>
              </w:rPr>
              <w:fldChar w:fldCharType="separate"/>
            </w:r>
            <w:r>
              <w:rPr>
                <w:rStyle w:val="Style16"/>
                <w:rFonts w:cs="Times New Roman"/>
                <w:sz w:val="24"/>
                <w:szCs w:val="24"/>
              </w:rPr>
              <w:t>Существующее положение</w:t>
            </w:r>
            <w:r>
              <w:rPr>
                <w:webHidden/>
              </w:rPr>
              <w:fldChar w:fldCharType="end"/>
            </w:r>
          </w:hyperlink>
          <w:hyperlink w:anchor="_Toc54643460">
            <w:r>
              <w:rPr>
                <w:webHidden/>
              </w:rPr>
              <w:fldChar w:fldCharType="begin"/>
            </w:r>
            <w:r>
              <w:rPr>
                <w:webHidden/>
              </w:rPr>
              <w:instrText xml:space="preserve">PAGEREF _Toc54643460 \h</w:instrText>
            </w:r>
            <w:r>
              <w:rPr>
                <w:webHidden/>
              </w:rPr>
              <w:fldChar w:fldCharType="separate"/>
            </w:r>
            <w:r>
              <w:rPr>
                <w:rStyle w:val="Style16"/>
                <w:rFonts w:cs="Times New Roman"/>
                <w:sz w:val="24"/>
                <w:szCs w:val="24"/>
              </w:rPr>
              <w:tab/>
              <w:t>3</w:t>
            </w:r>
            <w:r>
              <w:rPr>
                <w:webHidden/>
              </w:rPr>
              <w:fldChar w:fldCharType="end"/>
            </w:r>
          </w:hyperlink>
        </w:p>
        <w:p>
          <w:pPr>
            <w:pStyle w:val="TOC4"/>
            <w:tabs>
              <w:tab w:val="clear" w:pos="709"/>
              <w:tab w:val="left" w:pos="1400" w:leader="none"/>
              <w:tab w:val="right" w:pos="9911" w:leader="dot"/>
            </w:tabs>
            <w:rPr>
              <w:rFonts w:cs="Times New Roman"/>
              <w:sz w:val="24"/>
              <w:szCs w:val="24"/>
            </w:rPr>
          </w:pPr>
          <w:hyperlink w:anchor="_Toc54643460">
            <w:r>
              <w:rPr>
                <w:rStyle w:val="Style16"/>
                <w:rFonts w:cs="Times New Roman"/>
                <w:iCs/>
                <w:sz w:val="24"/>
                <w:szCs w:val="24"/>
              </w:rPr>
              <w:t>1.4.</w:t>
            </w:r>
          </w:hyperlink>
          <w:hyperlink w:anchor="_Toc54643460">
            <w:r>
              <w:rPr>
                <w:webHidden/>
              </w:rPr>
              <w:fldChar w:fldCharType="begin"/>
            </w:r>
            <w:r>
              <w:rPr>
                <w:webHidden/>
              </w:rPr>
              <w:instrText xml:space="preserve">PAGEREF _Toc54643460 \h</w:instrText>
            </w:r>
            <w:r>
              <w:rPr>
                <w:webHidden/>
              </w:rPr>
              <w:fldChar w:fldCharType="separate"/>
            </w:r>
            <w:r>
              <w:rPr>
                <w:rStyle w:val="Style16"/>
                <w:rFonts w:cs="Times New Roman"/>
                <w:sz w:val="24"/>
                <w:szCs w:val="24"/>
              </w:rPr>
              <w:tab/>
            </w:r>
            <w:r>
              <w:rPr>
                <w:webHidden/>
              </w:rPr>
              <w:fldChar w:fldCharType="end"/>
            </w:r>
          </w:hyperlink>
          <w:hyperlink w:anchor="_Toc54643460">
            <w:r>
              <w:rPr>
                <w:webHidden/>
              </w:rPr>
              <w:fldChar w:fldCharType="begin"/>
            </w:r>
            <w:r>
              <w:rPr>
                <w:webHidden/>
              </w:rPr>
              <w:instrText xml:space="preserve">PAGEREF _Toc54643460 \h</w:instrText>
            </w:r>
            <w:r>
              <w:rPr>
                <w:webHidden/>
              </w:rPr>
              <w:fldChar w:fldCharType="separate"/>
            </w:r>
            <w:r>
              <w:rPr>
                <w:rStyle w:val="Style16"/>
                <w:rFonts w:cs="Times New Roman"/>
                <w:sz w:val="24"/>
                <w:szCs w:val="24"/>
              </w:rPr>
              <w:t>Иные требования и сведения общего характера</w:t>
            </w:r>
            <w:r>
              <w:rPr>
                <w:webHidden/>
              </w:rPr>
              <w:fldChar w:fldCharType="end"/>
            </w:r>
          </w:hyperlink>
          <w:hyperlink w:anchor="_Toc54643460">
            <w:r>
              <w:rPr>
                <w:webHidden/>
              </w:rPr>
              <w:fldChar w:fldCharType="begin"/>
            </w:r>
            <w:r>
              <w:rPr>
                <w:webHidden/>
              </w:rPr>
              <w:instrText xml:space="preserve">PAGEREF _Toc54643460 \h</w:instrText>
            </w:r>
            <w:r>
              <w:rPr>
                <w:webHidden/>
              </w:rPr>
              <w:fldChar w:fldCharType="separate"/>
            </w:r>
            <w:r>
              <w:rPr>
                <w:rStyle w:val="Style16"/>
                <w:rFonts w:cs="Times New Roman"/>
                <w:sz w:val="24"/>
                <w:szCs w:val="24"/>
              </w:rPr>
              <w:tab/>
            </w:r>
            <w:r>
              <w:rPr>
                <w:webHidden/>
              </w:rPr>
              <w:fldChar w:fldCharType="end"/>
            </w:r>
          </w:hyperlink>
          <w:r>
            <w:rPr>
              <w:rFonts w:cs="Times New Roman"/>
              <w:sz w:val="24"/>
              <w:szCs w:val="24"/>
            </w:rPr>
            <w:t>4</w:t>
          </w:r>
        </w:p>
        <w:p>
          <w:pPr>
            <w:pStyle w:val="TOC1"/>
            <w:spacing w:before="0" w:after="0"/>
            <w:rPr>
              <w:rFonts w:cs="Times New Roman"/>
            </w:rPr>
          </w:pPr>
          <w:hyperlink w:anchor="_Toc54643461">
            <w:r>
              <w:rPr>
                <w:rStyle w:val="Style16"/>
                <w:rFonts w:cs="Times New Roman"/>
              </w:rPr>
              <w:t>2.</w:t>
            </w:r>
          </w:hyperlink>
          <w:hyperlink w:anchor="_Toc54643461">
            <w:r>
              <w:rPr>
                <w:webHidden/>
              </w:rPr>
              <w:fldChar w:fldCharType="begin"/>
            </w:r>
            <w:r>
              <w:rPr>
                <w:webHidden/>
              </w:rPr>
              <w:instrText xml:space="preserve">PAGEREF _Toc54643461 \h</w:instrText>
            </w:r>
            <w:r>
              <w:rPr>
                <w:webHidden/>
              </w:rPr>
              <w:fldChar w:fldCharType="separate"/>
            </w:r>
            <w:r>
              <w:rPr>
                <w:rStyle w:val="Style16"/>
                <w:rFonts w:cs="Times New Roman"/>
                <w:b w:val="false"/>
                <w:bCs w:val="false"/>
                <w:iCs w:val="false"/>
              </w:rPr>
              <w:tab/>
            </w:r>
            <w:r>
              <w:rPr>
                <w:webHidden/>
              </w:rPr>
              <w:fldChar w:fldCharType="end"/>
            </w:r>
          </w:hyperlink>
          <w:hyperlink w:anchor="_Toc54643461">
            <w:r>
              <w:rPr>
                <w:webHidden/>
              </w:rPr>
              <w:fldChar w:fldCharType="begin"/>
            </w:r>
            <w:r>
              <w:rPr>
                <w:webHidden/>
              </w:rPr>
              <w:instrText xml:space="preserve">PAGEREF _Toc54643461 \h</w:instrText>
            </w:r>
            <w:r>
              <w:rPr>
                <w:webHidden/>
              </w:rPr>
              <w:fldChar w:fldCharType="separate"/>
            </w:r>
            <w:r>
              <w:rPr>
                <w:rStyle w:val="Style16"/>
                <w:rFonts w:cs="Times New Roman"/>
              </w:rPr>
              <w:t>Требования к продукции</w:t>
            </w:r>
            <w:r>
              <w:rPr>
                <w:webHidden/>
              </w:rPr>
              <w:fldChar w:fldCharType="end"/>
            </w:r>
          </w:hyperlink>
          <w:hyperlink w:anchor="_Toc54643461">
            <w:r>
              <w:rPr>
                <w:webHidden/>
              </w:rPr>
              <w:fldChar w:fldCharType="begin"/>
            </w:r>
            <w:r>
              <w:rPr>
                <w:webHidden/>
              </w:rPr>
              <w:instrText xml:space="preserve">PAGEREF _Toc54643461 \h</w:instrText>
            </w:r>
            <w:r>
              <w:rPr>
                <w:webHidden/>
              </w:rPr>
              <w:fldChar w:fldCharType="separate"/>
            </w:r>
            <w:r>
              <w:rPr>
                <w:rStyle w:val="Style16"/>
                <w:rFonts w:cs="Times New Roman"/>
              </w:rPr>
              <w:tab/>
            </w:r>
            <w:r>
              <w:rPr>
                <w:webHidden/>
              </w:rPr>
              <w:fldChar w:fldCharType="end"/>
            </w:r>
          </w:hyperlink>
          <w:r>
            <w:rPr>
              <w:rFonts w:cs="Times New Roman"/>
            </w:rPr>
            <w:t>4</w:t>
          </w:r>
        </w:p>
        <w:p>
          <w:pPr>
            <w:pStyle w:val="TOC4"/>
            <w:tabs>
              <w:tab w:val="clear" w:pos="709"/>
              <w:tab w:val="left" w:pos="1400" w:leader="none"/>
              <w:tab w:val="right" w:pos="9911" w:leader="dot"/>
            </w:tabs>
            <w:rPr>
              <w:rFonts w:cs="Times New Roman"/>
              <w:sz w:val="24"/>
              <w:szCs w:val="24"/>
            </w:rPr>
          </w:pPr>
          <w:hyperlink w:anchor="_Toc54643462">
            <w:r>
              <w:rPr>
                <w:rStyle w:val="Style16"/>
                <w:rFonts w:cs="Times New Roman"/>
                <w:iCs/>
                <w:sz w:val="24"/>
                <w:szCs w:val="24"/>
              </w:rPr>
              <w:t>2.1.</w:t>
            </w:r>
          </w:hyperlink>
          <w:hyperlink w:anchor="_Toc54643462">
            <w:r>
              <w:rPr>
                <w:webHidden/>
              </w:rPr>
              <w:fldChar w:fldCharType="begin"/>
            </w:r>
            <w:r>
              <w:rPr>
                <w:webHidden/>
              </w:rPr>
              <w:instrText xml:space="preserve">PAGEREF _Toc54643462 \h</w:instrText>
            </w:r>
            <w:r>
              <w:rPr>
                <w:webHidden/>
              </w:rPr>
              <w:fldChar w:fldCharType="separate"/>
            </w:r>
            <w:r>
              <w:rPr>
                <w:rStyle w:val="Style16"/>
                <w:rFonts w:cs="Times New Roman"/>
                <w:sz w:val="24"/>
                <w:szCs w:val="24"/>
              </w:rPr>
              <w:tab/>
            </w:r>
            <w:r>
              <w:rPr>
                <w:webHidden/>
              </w:rPr>
              <w:fldChar w:fldCharType="end"/>
            </w:r>
          </w:hyperlink>
          <w:hyperlink w:anchor="_Toc54643462">
            <w:r>
              <w:rPr>
                <w:webHidden/>
              </w:rPr>
              <w:fldChar w:fldCharType="begin"/>
            </w:r>
            <w:r>
              <w:rPr>
                <w:webHidden/>
              </w:rPr>
              <w:instrText xml:space="preserve">PAGEREF _Toc54643462 \h</w:instrText>
            </w:r>
            <w:r>
              <w:rPr>
                <w:webHidden/>
              </w:rPr>
              <w:fldChar w:fldCharType="separate"/>
            </w:r>
            <w:r>
              <w:rPr>
                <w:rStyle w:val="Style16"/>
                <w:rFonts w:cs="Times New Roman"/>
                <w:sz w:val="24"/>
                <w:szCs w:val="24"/>
              </w:rPr>
              <w:t>Требования к объемам и срокам оказания услуг</w:t>
            </w:r>
            <w:r>
              <w:rPr>
                <w:webHidden/>
              </w:rPr>
              <w:fldChar w:fldCharType="end"/>
            </w:r>
          </w:hyperlink>
          <w:hyperlink w:anchor="_Toc54643462">
            <w:r>
              <w:rPr>
                <w:webHidden/>
              </w:rPr>
              <w:fldChar w:fldCharType="begin"/>
            </w:r>
            <w:r>
              <w:rPr>
                <w:webHidden/>
              </w:rPr>
              <w:instrText xml:space="preserve">PAGEREF _Toc54643462 \h</w:instrText>
            </w:r>
            <w:r>
              <w:rPr>
                <w:webHidden/>
              </w:rPr>
              <w:fldChar w:fldCharType="separate"/>
            </w:r>
            <w:r>
              <w:rPr>
                <w:rStyle w:val="Style16"/>
                <w:rFonts w:cs="Times New Roman"/>
                <w:sz w:val="24"/>
                <w:szCs w:val="24"/>
              </w:rPr>
              <w:tab/>
            </w:r>
            <w:r>
              <w:rPr>
                <w:webHidden/>
              </w:rPr>
              <w:fldChar w:fldCharType="end"/>
            </w:r>
          </w:hyperlink>
          <w:r>
            <w:rPr>
              <w:rFonts w:cs="Times New Roman"/>
              <w:sz w:val="24"/>
              <w:szCs w:val="24"/>
            </w:rPr>
            <w:t>4</w:t>
          </w:r>
        </w:p>
        <w:p>
          <w:pPr>
            <w:pStyle w:val="TOC3"/>
            <w:rPr>
              <w:rFonts w:cs="Times New Roman"/>
              <w:sz w:val="24"/>
              <w:szCs w:val="24"/>
            </w:rPr>
          </w:pPr>
          <w:hyperlink w:anchor="_Toc54643463">
            <w:r>
              <w:rPr>
                <w:rStyle w:val="Style16"/>
                <w:rFonts w:cs="Times New Roman"/>
                <w:sz w:val="24"/>
                <w:szCs w:val="24"/>
              </w:rPr>
              <w:t>2.1.1.</w:t>
            </w:r>
          </w:hyperlink>
          <w:hyperlink w:anchor="_Toc54643463">
            <w:r>
              <w:rPr>
                <w:webHidden/>
              </w:rPr>
              <w:fldChar w:fldCharType="begin"/>
            </w:r>
            <w:r>
              <w:rPr>
                <w:webHidden/>
              </w:rPr>
              <w:instrText xml:space="preserve">PAGEREF _Toc54643463 \h</w:instrText>
            </w:r>
            <w:r>
              <w:rPr>
                <w:webHidden/>
              </w:rPr>
              <w:fldChar w:fldCharType="separate"/>
            </w:r>
            <w:r>
              <w:rPr>
                <w:rStyle w:val="Style16"/>
                <w:rFonts w:cs="Times New Roman"/>
                <w:sz w:val="24"/>
                <w:szCs w:val="24"/>
              </w:rPr>
              <w:tab/>
            </w:r>
            <w:r>
              <w:rPr>
                <w:webHidden/>
              </w:rPr>
              <w:fldChar w:fldCharType="end"/>
            </w:r>
          </w:hyperlink>
          <w:hyperlink w:anchor="_Toc54643463">
            <w:r>
              <w:rPr>
                <w:webHidden/>
              </w:rPr>
              <w:fldChar w:fldCharType="begin"/>
            </w:r>
            <w:r>
              <w:rPr>
                <w:webHidden/>
              </w:rPr>
              <w:instrText xml:space="preserve">PAGEREF _Toc54643463 \h</w:instrText>
            </w:r>
            <w:r>
              <w:rPr>
                <w:webHidden/>
              </w:rPr>
              <w:fldChar w:fldCharType="separate"/>
            </w:r>
            <w:r>
              <w:rPr>
                <w:rStyle w:val="Style16"/>
                <w:rFonts w:cs="Times New Roman"/>
                <w:sz w:val="24"/>
                <w:szCs w:val="24"/>
              </w:rPr>
              <w:t>Требования к перечню и объему услуг</w:t>
            </w:r>
            <w:r>
              <w:rPr>
                <w:webHidden/>
              </w:rPr>
              <w:fldChar w:fldCharType="end"/>
            </w:r>
          </w:hyperlink>
          <w:hyperlink w:anchor="_Toc54643463">
            <w:r>
              <w:rPr>
                <w:webHidden/>
              </w:rPr>
              <w:fldChar w:fldCharType="begin"/>
            </w:r>
            <w:r>
              <w:rPr>
                <w:webHidden/>
              </w:rPr>
              <w:instrText xml:space="preserve">PAGEREF _Toc54643463 \h</w:instrText>
            </w:r>
            <w:r>
              <w:rPr>
                <w:webHidden/>
              </w:rPr>
              <w:fldChar w:fldCharType="separate"/>
            </w:r>
            <w:r>
              <w:rPr>
                <w:rStyle w:val="Style16"/>
                <w:rFonts w:cs="Times New Roman"/>
                <w:sz w:val="24"/>
                <w:szCs w:val="24"/>
              </w:rPr>
              <w:tab/>
            </w:r>
            <w:r>
              <w:rPr>
                <w:webHidden/>
              </w:rPr>
              <w:fldChar w:fldCharType="end"/>
            </w:r>
          </w:hyperlink>
          <w:r>
            <w:rPr>
              <w:rFonts w:cs="Times New Roman"/>
              <w:sz w:val="24"/>
              <w:szCs w:val="24"/>
            </w:rPr>
            <w:t>4</w:t>
          </w:r>
        </w:p>
        <w:p>
          <w:pPr>
            <w:pStyle w:val="TOC1"/>
            <w:spacing w:before="0" w:after="0"/>
            <w:rPr>
              <w:rFonts w:cs="Times New Roman"/>
            </w:rPr>
          </w:pPr>
          <w:hyperlink w:anchor="_Toc54643464">
            <w:r>
              <w:rPr>
                <w:rStyle w:val="Style16"/>
                <w:rFonts w:cs="Times New Roman"/>
              </w:rPr>
              <w:t>Таблица 2. Перечень и объем оказываемых услуг</w:t>
            </w:r>
          </w:hyperlink>
          <w:hyperlink w:anchor="_Toc54643464">
            <w:r>
              <w:rPr>
                <w:webHidden/>
              </w:rPr>
              <w:fldChar w:fldCharType="begin"/>
            </w:r>
            <w:r>
              <w:rPr>
                <w:webHidden/>
              </w:rPr>
              <w:instrText xml:space="preserve">PAGEREF _Toc54643464 \h</w:instrText>
            </w:r>
            <w:r>
              <w:rPr>
                <w:webHidden/>
              </w:rPr>
              <w:fldChar w:fldCharType="separate"/>
            </w:r>
            <w:r>
              <w:rPr>
                <w:rStyle w:val="Style16"/>
                <w:rFonts w:cs="Times New Roman"/>
              </w:rPr>
              <w:tab/>
            </w:r>
            <w:r>
              <w:rPr>
                <w:webHidden/>
              </w:rPr>
              <w:fldChar w:fldCharType="end"/>
            </w:r>
          </w:hyperlink>
          <w:r>
            <w:rPr>
              <w:rFonts w:cs="Times New Roman"/>
            </w:rPr>
            <w:t>4</w:t>
          </w:r>
        </w:p>
        <w:p>
          <w:pPr>
            <w:pStyle w:val="TOC3"/>
            <w:rPr>
              <w:rFonts w:cs="Times New Roman"/>
              <w:sz w:val="24"/>
              <w:szCs w:val="24"/>
            </w:rPr>
          </w:pPr>
          <w:hyperlink w:anchor="_Toc54643465">
            <w:r>
              <w:rPr>
                <w:rStyle w:val="Style16"/>
                <w:rFonts w:cs="Times New Roman"/>
                <w:sz w:val="24"/>
                <w:szCs w:val="24"/>
              </w:rPr>
              <w:t>2.1.2.</w:t>
            </w:r>
          </w:hyperlink>
          <w:hyperlink w:anchor="_Toc54643465">
            <w:r>
              <w:rPr>
                <w:webHidden/>
              </w:rPr>
              <w:fldChar w:fldCharType="begin"/>
            </w:r>
            <w:r>
              <w:rPr>
                <w:webHidden/>
              </w:rPr>
              <w:instrText xml:space="preserve">PAGEREF _Toc54643465 \h</w:instrText>
            </w:r>
            <w:r>
              <w:rPr>
                <w:webHidden/>
              </w:rPr>
              <w:fldChar w:fldCharType="separate"/>
            </w:r>
            <w:r>
              <w:rPr>
                <w:rStyle w:val="Style16"/>
                <w:rFonts w:cs="Times New Roman"/>
                <w:sz w:val="24"/>
                <w:szCs w:val="24"/>
              </w:rPr>
              <w:tab/>
            </w:r>
            <w:r>
              <w:rPr>
                <w:webHidden/>
              </w:rPr>
              <w:fldChar w:fldCharType="end"/>
            </w:r>
          </w:hyperlink>
          <w:hyperlink w:anchor="_Toc54643465">
            <w:r>
              <w:rPr>
                <w:webHidden/>
              </w:rPr>
              <w:fldChar w:fldCharType="begin"/>
            </w:r>
            <w:r>
              <w:rPr>
                <w:webHidden/>
              </w:rPr>
              <w:instrText xml:space="preserve">PAGEREF _Toc54643465 \h</w:instrText>
            </w:r>
            <w:r>
              <w:rPr>
                <w:webHidden/>
              </w:rPr>
              <w:fldChar w:fldCharType="separate"/>
            </w:r>
            <w:r>
              <w:rPr>
                <w:rStyle w:val="Style16"/>
                <w:rFonts w:cs="Times New Roman"/>
                <w:sz w:val="24"/>
                <w:szCs w:val="24"/>
              </w:rPr>
              <w:t>Требования к срокам оказания услуг</w:t>
            </w:r>
            <w:r>
              <w:rPr>
                <w:webHidden/>
              </w:rPr>
              <w:fldChar w:fldCharType="end"/>
            </w:r>
          </w:hyperlink>
          <w:hyperlink w:anchor="_Toc54643465">
            <w:r>
              <w:rPr>
                <w:webHidden/>
              </w:rPr>
              <w:fldChar w:fldCharType="begin"/>
            </w:r>
            <w:r>
              <w:rPr>
                <w:webHidden/>
              </w:rPr>
              <w:instrText xml:space="preserve">PAGEREF _Toc54643465 \h</w:instrText>
            </w:r>
            <w:r>
              <w:rPr>
                <w:webHidden/>
              </w:rPr>
              <w:fldChar w:fldCharType="separate"/>
            </w:r>
            <w:r>
              <w:rPr>
                <w:rStyle w:val="Style16"/>
                <w:rFonts w:cs="Times New Roman"/>
                <w:sz w:val="24"/>
                <w:szCs w:val="24"/>
              </w:rPr>
              <w:tab/>
            </w:r>
            <w:r>
              <w:rPr>
                <w:webHidden/>
              </w:rPr>
              <w:fldChar w:fldCharType="end"/>
            </w:r>
          </w:hyperlink>
          <w:r>
            <w:rPr>
              <w:sz w:val="24"/>
              <w:szCs w:val="24"/>
            </w:rPr>
            <w:t>4</w:t>
          </w:r>
        </w:p>
        <w:p>
          <w:pPr>
            <w:pStyle w:val="TOC1"/>
            <w:spacing w:before="0" w:after="0"/>
            <w:rPr>
              <w:rFonts w:cs="Times New Roman"/>
            </w:rPr>
          </w:pPr>
          <w:hyperlink w:anchor="_Toc54643466">
            <w:r>
              <w:rPr>
                <w:rStyle w:val="Style16"/>
                <w:rFonts w:cs="Times New Roman"/>
              </w:rPr>
              <w:t>Таблица 3. Требования к срокам оказания услуг</w:t>
            </w:r>
          </w:hyperlink>
          <w:hyperlink w:anchor="_Toc54643466">
            <w:r>
              <w:rPr>
                <w:webHidden/>
              </w:rPr>
              <w:fldChar w:fldCharType="begin"/>
            </w:r>
            <w:r>
              <w:rPr>
                <w:webHidden/>
              </w:rPr>
              <w:instrText xml:space="preserve">PAGEREF _Toc54643466 \h</w:instrText>
            </w:r>
            <w:r>
              <w:rPr>
                <w:webHidden/>
              </w:rPr>
              <w:fldChar w:fldCharType="separate"/>
            </w:r>
            <w:r>
              <w:rPr>
                <w:rStyle w:val="Style16"/>
                <w:rFonts w:cs="Times New Roman"/>
              </w:rPr>
              <w:tab/>
            </w:r>
            <w:r>
              <w:rPr>
                <w:webHidden/>
              </w:rPr>
              <w:fldChar w:fldCharType="end"/>
            </w:r>
          </w:hyperlink>
          <w:r>
            <w:rPr>
              <w:rFonts w:cs="Times New Roman"/>
            </w:rPr>
            <w:t>4</w:t>
          </w:r>
        </w:p>
        <w:p>
          <w:pPr>
            <w:pStyle w:val="TOC4"/>
            <w:tabs>
              <w:tab w:val="clear" w:pos="709"/>
              <w:tab w:val="left" w:pos="1400" w:leader="none"/>
              <w:tab w:val="right" w:pos="9911" w:leader="dot"/>
            </w:tabs>
            <w:rPr>
              <w:rFonts w:cs="Times New Roman"/>
              <w:sz w:val="24"/>
              <w:szCs w:val="24"/>
            </w:rPr>
          </w:pPr>
          <w:hyperlink w:anchor="_Toc54643467">
            <w:r>
              <w:rPr>
                <w:rStyle w:val="Style16"/>
                <w:rFonts w:cs="Times New Roman"/>
                <w:iCs/>
                <w:sz w:val="24"/>
                <w:szCs w:val="24"/>
              </w:rPr>
              <w:t>2.2.</w:t>
            </w:r>
          </w:hyperlink>
          <w:hyperlink w:anchor="_Toc54643467">
            <w:r>
              <w:rPr>
                <w:webHidden/>
              </w:rPr>
              <w:fldChar w:fldCharType="begin"/>
            </w:r>
            <w:r>
              <w:rPr>
                <w:webHidden/>
              </w:rPr>
              <w:instrText xml:space="preserve">PAGEREF _Toc54643467 \h</w:instrText>
            </w:r>
            <w:r>
              <w:rPr>
                <w:webHidden/>
              </w:rPr>
              <w:fldChar w:fldCharType="separate"/>
            </w:r>
            <w:r>
              <w:rPr>
                <w:rStyle w:val="Style16"/>
                <w:rFonts w:cs="Times New Roman"/>
                <w:sz w:val="24"/>
                <w:szCs w:val="24"/>
              </w:rPr>
              <w:tab/>
            </w:r>
            <w:r>
              <w:rPr>
                <w:webHidden/>
              </w:rPr>
              <w:fldChar w:fldCharType="end"/>
            </w:r>
          </w:hyperlink>
          <w:hyperlink w:anchor="_Toc54643467">
            <w:r>
              <w:rPr>
                <w:webHidden/>
              </w:rPr>
              <w:fldChar w:fldCharType="begin"/>
            </w:r>
            <w:r>
              <w:rPr>
                <w:webHidden/>
              </w:rPr>
              <w:instrText xml:space="preserve">PAGEREF _Toc54643467 \h</w:instrText>
            </w:r>
            <w:r>
              <w:rPr>
                <w:webHidden/>
              </w:rPr>
              <w:fldChar w:fldCharType="separate"/>
            </w:r>
            <w:r>
              <w:rPr>
                <w:rStyle w:val="Style16"/>
                <w:rFonts w:cs="Times New Roman"/>
                <w:sz w:val="24"/>
                <w:szCs w:val="24"/>
              </w:rPr>
              <w:t>Требования к качеству услуг</w:t>
            </w:r>
            <w:r>
              <w:rPr>
                <w:webHidden/>
              </w:rPr>
              <w:fldChar w:fldCharType="end"/>
            </w:r>
          </w:hyperlink>
          <w:hyperlink w:anchor="_Toc54643467">
            <w:r>
              <w:rPr>
                <w:webHidden/>
              </w:rPr>
              <w:fldChar w:fldCharType="begin"/>
            </w:r>
            <w:r>
              <w:rPr>
                <w:webHidden/>
              </w:rPr>
              <w:instrText xml:space="preserve">PAGEREF _Toc54643467 \h</w:instrText>
            </w:r>
            <w:r>
              <w:rPr>
                <w:webHidden/>
              </w:rPr>
              <w:fldChar w:fldCharType="separate"/>
            </w:r>
            <w:r>
              <w:rPr>
                <w:rStyle w:val="Style16"/>
                <w:rFonts w:cs="Times New Roman"/>
                <w:sz w:val="24"/>
                <w:szCs w:val="24"/>
              </w:rPr>
              <w:tab/>
            </w:r>
            <w:r>
              <w:rPr>
                <w:webHidden/>
              </w:rPr>
              <w:fldChar w:fldCharType="end"/>
            </w:r>
          </w:hyperlink>
          <w:r>
            <w:rPr>
              <w:rFonts w:cs="Times New Roman"/>
              <w:sz w:val="24"/>
              <w:szCs w:val="24"/>
            </w:rPr>
            <w:t>4</w:t>
          </w:r>
        </w:p>
        <w:p>
          <w:pPr>
            <w:pStyle w:val="TOC1"/>
            <w:spacing w:before="0" w:after="0"/>
            <w:rPr>
              <w:rFonts w:cs="Times New Roman"/>
            </w:rPr>
          </w:pPr>
          <w:hyperlink w:anchor="_Toc54643468">
            <w:r>
              <w:rPr>
                <w:rStyle w:val="Style16"/>
                <w:rFonts w:cs="Times New Roman"/>
              </w:rPr>
              <w:t>Таблица 4. Требования к качеству услуг</w:t>
            </w:r>
          </w:hyperlink>
          <w:hyperlink w:anchor="_Toc54643468">
            <w:r>
              <w:rPr>
                <w:webHidden/>
              </w:rPr>
              <w:fldChar w:fldCharType="begin"/>
            </w:r>
            <w:r>
              <w:rPr>
                <w:webHidden/>
              </w:rPr>
              <w:instrText xml:space="preserve">PAGEREF _Toc54643468 \h</w:instrText>
            </w:r>
            <w:r>
              <w:rPr>
                <w:webHidden/>
              </w:rPr>
              <w:fldChar w:fldCharType="separate"/>
            </w:r>
            <w:r>
              <w:rPr>
                <w:rStyle w:val="Style16"/>
                <w:rFonts w:cs="Times New Roman"/>
              </w:rPr>
              <w:tab/>
            </w:r>
            <w:r>
              <w:rPr>
                <w:webHidden/>
              </w:rPr>
              <w:fldChar w:fldCharType="end"/>
            </w:r>
          </w:hyperlink>
          <w:r>
            <w:rPr>
              <w:rFonts w:cs="Times New Roman"/>
            </w:rPr>
            <w:t>5</w:t>
          </w:r>
        </w:p>
        <w:p>
          <w:pPr>
            <w:pStyle w:val="TOC1"/>
            <w:spacing w:before="0" w:after="0"/>
            <w:rPr>
              <w:rFonts w:cs="Times New Roman"/>
            </w:rPr>
          </w:pPr>
          <w:hyperlink w:anchor="_Toc54643470">
            <w:r>
              <w:rPr>
                <w:rStyle w:val="Style16"/>
                <w:rFonts w:cs="Times New Roman"/>
              </w:rPr>
              <w:t>3.</w:t>
            </w:r>
          </w:hyperlink>
          <w:hyperlink w:anchor="_Toc54643470">
            <w:r>
              <w:rPr>
                <w:webHidden/>
              </w:rPr>
              <w:fldChar w:fldCharType="begin"/>
            </w:r>
            <w:r>
              <w:rPr>
                <w:webHidden/>
              </w:rPr>
              <w:instrText xml:space="preserve">PAGEREF _Toc54643470 \h</w:instrText>
            </w:r>
            <w:r>
              <w:rPr>
                <w:webHidden/>
              </w:rPr>
              <w:fldChar w:fldCharType="separate"/>
            </w:r>
            <w:r>
              <w:rPr>
                <w:rStyle w:val="Style16"/>
                <w:rFonts w:cs="Times New Roman"/>
                <w:b w:val="false"/>
                <w:bCs w:val="false"/>
                <w:iCs w:val="false"/>
              </w:rPr>
              <w:tab/>
            </w:r>
            <w:r>
              <w:rPr>
                <w:webHidden/>
              </w:rPr>
              <w:fldChar w:fldCharType="end"/>
            </w:r>
          </w:hyperlink>
          <w:hyperlink w:anchor="_Toc54643470">
            <w:r>
              <w:rPr>
                <w:webHidden/>
              </w:rPr>
              <w:fldChar w:fldCharType="begin"/>
            </w:r>
            <w:r>
              <w:rPr>
                <w:webHidden/>
              </w:rPr>
              <w:instrText xml:space="preserve">PAGEREF _Toc54643470 \h</w:instrText>
            </w:r>
            <w:r>
              <w:rPr>
                <w:webHidden/>
              </w:rPr>
              <w:fldChar w:fldCharType="separate"/>
            </w:r>
            <w:r>
              <w:rPr>
                <w:rStyle w:val="Style16"/>
                <w:rFonts w:cs="Times New Roman"/>
              </w:rPr>
              <w:t>Требования к документации по ценообразованию на этапе заключения (исполнения) договора</w:t>
            </w:r>
            <w:r>
              <w:rPr>
                <w:webHidden/>
              </w:rPr>
              <w:fldChar w:fldCharType="end"/>
            </w:r>
          </w:hyperlink>
          <w:hyperlink w:anchor="_Toc54643470">
            <w:r>
              <w:rPr>
                <w:webHidden/>
              </w:rPr>
              <w:fldChar w:fldCharType="begin"/>
            </w:r>
            <w:r>
              <w:rPr>
                <w:webHidden/>
              </w:rPr>
              <w:instrText xml:space="preserve">PAGEREF _Toc54643470 \h</w:instrText>
            </w:r>
            <w:r>
              <w:rPr>
                <w:webHidden/>
              </w:rPr>
              <w:fldChar w:fldCharType="separate"/>
            </w:r>
            <w:r>
              <w:rPr>
                <w:rStyle w:val="Style16"/>
                <w:rFonts w:cs="Times New Roman"/>
              </w:rPr>
              <w:tab/>
              <w:t>1</w:t>
            </w:r>
            <w:r>
              <w:rPr>
                <w:webHidden/>
              </w:rPr>
              <w:fldChar w:fldCharType="end"/>
            </w:r>
          </w:hyperlink>
          <w:r>
            <w:rPr>
              <w:rFonts w:cs="Times New Roman"/>
            </w:rPr>
            <w:t>2</w:t>
          </w:r>
        </w:p>
        <w:p>
          <w:pPr>
            <w:pStyle w:val="TOC1"/>
            <w:spacing w:before="0" w:after="0"/>
            <w:rPr>
              <w:rFonts w:cs="Times New Roman"/>
            </w:rPr>
          </w:pPr>
          <w:hyperlink w:anchor="_Toc54643471">
            <w:r>
              <w:rPr>
                <w:rStyle w:val="Style16"/>
                <w:rFonts w:cs="Times New Roman"/>
              </w:rPr>
              <w:t>4.</w:t>
            </w:r>
          </w:hyperlink>
          <w:hyperlink w:anchor="_Toc54643471">
            <w:r>
              <w:rPr>
                <w:webHidden/>
              </w:rPr>
              <w:fldChar w:fldCharType="begin"/>
            </w:r>
            <w:r>
              <w:rPr>
                <w:webHidden/>
              </w:rPr>
              <w:instrText xml:space="preserve">PAGEREF _Toc54643471 \h</w:instrText>
            </w:r>
            <w:r>
              <w:rPr>
                <w:webHidden/>
              </w:rPr>
              <w:fldChar w:fldCharType="separate"/>
            </w:r>
            <w:r>
              <w:rPr>
                <w:rStyle w:val="Style16"/>
                <w:rFonts w:cs="Times New Roman"/>
                <w:b w:val="false"/>
                <w:bCs w:val="false"/>
                <w:iCs w:val="false"/>
              </w:rPr>
              <w:tab/>
            </w:r>
            <w:r>
              <w:rPr>
                <w:webHidden/>
              </w:rPr>
              <w:fldChar w:fldCharType="end"/>
            </w:r>
          </w:hyperlink>
          <w:hyperlink w:anchor="_Toc54643471">
            <w:r>
              <w:rPr>
                <w:webHidden/>
              </w:rPr>
              <w:fldChar w:fldCharType="begin"/>
            </w:r>
            <w:r>
              <w:rPr>
                <w:webHidden/>
              </w:rPr>
              <w:instrText xml:space="preserve">PAGEREF _Toc54643471 \h</w:instrText>
            </w:r>
            <w:r>
              <w:rPr>
                <w:webHidden/>
              </w:rPr>
              <w:fldChar w:fldCharType="separate"/>
            </w:r>
            <w:r>
              <w:rPr>
                <w:rStyle w:val="Style16"/>
                <w:rFonts w:cs="Times New Roman"/>
              </w:rPr>
              <w:t>Приложения</w:t>
            </w:r>
            <w:r>
              <w:rPr>
                <w:webHidden/>
              </w:rPr>
              <w:fldChar w:fldCharType="end"/>
            </w:r>
          </w:hyperlink>
          <w:hyperlink w:anchor="_Toc54643471">
            <w:r>
              <w:rPr>
                <w:webHidden/>
              </w:rPr>
              <w:fldChar w:fldCharType="begin"/>
            </w:r>
            <w:r>
              <w:rPr>
                <w:webHidden/>
              </w:rPr>
              <w:instrText xml:space="preserve">PAGEREF _Toc54643471 \h</w:instrText>
            </w:r>
            <w:r>
              <w:rPr>
                <w:webHidden/>
              </w:rPr>
              <w:fldChar w:fldCharType="separate"/>
            </w:r>
            <w:r>
              <w:rPr>
                <w:rStyle w:val="Style16"/>
                <w:rFonts w:cs="Times New Roman"/>
              </w:rPr>
              <w:tab/>
              <w:t>1</w:t>
            </w:r>
            <w:r>
              <w:rPr>
                <w:webHidden/>
              </w:rPr>
              <w:fldChar w:fldCharType="end"/>
            </w:r>
          </w:hyperlink>
          <w:r>
            <w:rPr>
              <w:rFonts w:cs="Times New Roman"/>
            </w:rPr>
            <w:t>3</w:t>
          </w:r>
          <w:r>
            <w:rPr>
              <w:rFonts w:cs="Times New Roman"/>
            </w:rPr>
            <w:fldChar w:fldCharType="end"/>
          </w:r>
        </w:p>
      </w:sdtContent>
    </w:sdt>
    <w:p>
      <w:pPr>
        <w:pStyle w:val="Normal"/>
        <w:keepNext w:val="true"/>
        <w:keepLines/>
        <w:jc w:val="both"/>
        <w:rPr>
          <w:rFonts w:eastAsia="Calibri"/>
        </w:rPr>
      </w:pPr>
      <w:r>
        <w:rPr>
          <w:rFonts w:eastAsia="Calibri"/>
        </w:rPr>
        <w:t xml:space="preserve"> </w:t>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jc w:val="center"/>
        <w:rPr>
          <w:rFonts w:ascii="Times New Roman" w:hAnsi="Times New Roman"/>
          <w:b/>
          <w:sz w:val="24"/>
          <w:szCs w:val="24"/>
        </w:rPr>
      </w:pPr>
      <w:r>
        <w:rPr>
          <w:rFonts w:ascii="Times New Roman" w:hAnsi="Times New Roman"/>
          <w:b/>
          <w:sz w:val="24"/>
          <w:szCs w:val="24"/>
        </w:rPr>
        <w:t>1. Общие сведения.</w:t>
      </w:r>
    </w:p>
    <w:p>
      <w:pPr>
        <w:pStyle w:val="Normal"/>
        <w:ind w:hanging="0" w:left="142"/>
        <w:jc w:val="both"/>
        <w:rPr>
          <w:b/>
        </w:rPr>
      </w:pPr>
      <w:r>
        <w:rPr>
          <w:b/>
        </w:rPr>
        <w:t>1.1. Наименование закупаемых услуг.</w:t>
      </w:r>
    </w:p>
    <w:p>
      <w:pPr>
        <w:pStyle w:val="Normal"/>
        <w:tabs>
          <w:tab w:val="clear" w:pos="709"/>
          <w:tab w:val="left" w:pos="0" w:leader="none"/>
        </w:tabs>
        <w:jc w:val="both"/>
        <w:rPr/>
      </w:pPr>
      <w:r>
        <w:rPr>
          <w:lang w:eastAsia="en-US"/>
        </w:rPr>
        <w:t>ОКПД2 84.24 Услуги по охране и  антитеррористической защищенности Дзауджикауской ГЭС филиала ПАО «РусГидро» - «Северо-Осетинский филиал»</w:t>
      </w:r>
      <w:r>
        <w:rPr>
          <w:rFonts w:eastAsia="Calibri"/>
          <w:lang w:eastAsia="en-US"/>
        </w:rPr>
        <w:t xml:space="preserve"> </w:t>
      </w:r>
      <w:r>
        <w:rPr>
          <w:rFonts w:eastAsia="Calibri"/>
          <w:bCs/>
          <w:lang w:eastAsia="en-US"/>
        </w:rPr>
        <w:t>(далее – услуга)</w:t>
      </w:r>
      <w:r>
        <w:rPr>
          <w:rFonts w:eastAsia="Calibri"/>
          <w:lang w:eastAsia="en-US"/>
        </w:rPr>
        <w:t>.</w:t>
      </w:r>
    </w:p>
    <w:p>
      <w:pPr>
        <w:pStyle w:val="Normal"/>
        <w:jc w:val="both"/>
        <w:rPr/>
      </w:pPr>
      <w:r>
        <w:rPr/>
      </w:r>
    </w:p>
    <w:p>
      <w:pPr>
        <w:pStyle w:val="Normal"/>
        <w:ind w:hanging="0" w:left="142"/>
        <w:jc w:val="both"/>
        <w:rPr>
          <w:b/>
        </w:rPr>
      </w:pPr>
      <w:r>
        <w:rPr>
          <w:b/>
        </w:rPr>
        <w:t>1.2. Цель оказания услуг.</w:t>
      </w:r>
    </w:p>
    <w:p>
      <w:pPr>
        <w:pStyle w:val="Normal"/>
        <w:ind w:hanging="0" w:left="142"/>
        <w:jc w:val="both"/>
        <w:rPr>
          <w:b/>
          <w:sz w:val="12"/>
          <w:szCs w:val="12"/>
        </w:rPr>
      </w:pPr>
      <w:r>
        <w:rPr>
          <w:b/>
          <w:sz w:val="12"/>
          <w:szCs w:val="12"/>
        </w:rPr>
      </w:r>
    </w:p>
    <w:p>
      <w:pPr>
        <w:pStyle w:val="Normal"/>
        <w:jc w:val="both"/>
        <w:rPr/>
      </w:pPr>
      <w:r>
        <w:rPr/>
        <w:t>1.2.1. Целью услуги является о</w:t>
      </w:r>
      <w:r>
        <w:rPr>
          <w:rFonts w:eastAsia="Calibri"/>
          <w:lang w:eastAsia="en-US"/>
        </w:rPr>
        <w:t xml:space="preserve">беспечение безопасности и антитеррористической защищенности </w:t>
      </w:r>
      <w:r>
        <w:rPr>
          <w:rFonts w:eastAsia="Calibri"/>
          <w:color w:val="000000"/>
          <w:lang w:eastAsia="en-US"/>
        </w:rPr>
        <w:t xml:space="preserve">Дзауджикауской </w:t>
      </w:r>
      <w:r>
        <w:rPr>
          <w:rFonts w:eastAsia="Calibri"/>
          <w:lang w:eastAsia="en-US"/>
        </w:rPr>
        <w:t>ГЭС, подрядных организаций, граждан, посещающих охраняемый объект Филиала от противоправных посягательств, обеспечение на охраняемом объекте пропускного и внутриобъектового режимов, предупреждение и пресечение преступлений и административных правонарушений, охрана материальных ценностей, документов и иного имущества в соответствии с законодательством РФ и требованиями локальных нормативных актов, инструкций и положений, утвержденных приказами Заказчика.</w:t>
      </w:r>
    </w:p>
    <w:p>
      <w:pPr>
        <w:pStyle w:val="Normal"/>
        <w:spacing w:before="120" w:after="0"/>
        <w:jc w:val="both"/>
        <w:rPr/>
      </w:pPr>
      <w:r>
        <w:rPr>
          <w:rFonts w:eastAsia="Calibri"/>
          <w:lang w:eastAsia="en-US"/>
        </w:rPr>
        <w:t>1.2.2. Задачи оказания услуг.</w:t>
      </w:r>
    </w:p>
    <w:p>
      <w:pPr>
        <w:pStyle w:val="Normal"/>
        <w:ind w:firstLine="426"/>
        <w:jc w:val="both"/>
        <w:rPr/>
      </w:pPr>
      <w:r>
        <w:rPr>
          <w:rFonts w:eastAsia="Calibri"/>
          <w:lang w:eastAsia="en-US"/>
        </w:rPr>
        <w:t xml:space="preserve">Исключение на территории </w:t>
      </w:r>
      <w:r>
        <w:rPr>
          <w:rFonts w:eastAsia="Calibri"/>
          <w:color w:val="000000"/>
          <w:lang w:eastAsia="en-US"/>
        </w:rPr>
        <w:t xml:space="preserve">Дзауджикауской </w:t>
      </w:r>
      <w:r>
        <w:rPr>
          <w:rFonts w:eastAsia="Calibri"/>
        </w:rPr>
        <w:t>ГЭС</w:t>
      </w:r>
      <w:r>
        <w:rPr>
          <w:rFonts w:eastAsia="Calibri"/>
          <w:lang w:eastAsia="en-US"/>
        </w:rPr>
        <w:t xml:space="preserve"> противоправных посягательств, преступлений и административных правонарушений, хищений материальных ценностей, обеспечение физической защиты работников Филиала, подрядных организаций, посетителей охраняемого объекта, сохранности материальных ценностей, защиты вверенного под охрану объектов, а также совместное взаимодействие с правоохранительными и государственными структурами по защите объекта.</w:t>
      </w:r>
    </w:p>
    <w:p>
      <w:pPr>
        <w:pStyle w:val="Normal"/>
        <w:ind w:firstLine="426"/>
        <w:jc w:val="both"/>
        <w:rPr>
          <w:rFonts w:eastAsia="Calibri"/>
          <w:lang w:eastAsia="en-US"/>
        </w:rPr>
      </w:pPr>
      <w:r>
        <w:rPr>
          <w:rFonts w:eastAsia="Calibri"/>
          <w:lang w:eastAsia="en-US"/>
        </w:rPr>
        <w:t>Исключение проникновения посторонних лиц на вверенные под охрану объекта Филиала.</w:t>
      </w:r>
    </w:p>
    <w:p>
      <w:pPr>
        <w:pStyle w:val="Normal"/>
        <w:ind w:firstLine="426"/>
        <w:jc w:val="both"/>
        <w:rPr>
          <w:rFonts w:eastAsia="Calibri"/>
          <w:lang w:eastAsia="en-US"/>
        </w:rPr>
      </w:pPr>
      <w:r>
        <w:rPr>
          <w:rFonts w:eastAsia="Calibri"/>
          <w:lang w:eastAsia="en-US"/>
        </w:rPr>
        <w:t>Контроль за соблюдением противопожарного режима на вверенном под охрану объекте.</w:t>
      </w:r>
    </w:p>
    <w:p>
      <w:pPr>
        <w:pStyle w:val="Normal"/>
        <w:ind w:firstLine="426"/>
        <w:jc w:val="both"/>
        <w:rPr>
          <w:rFonts w:eastAsia="Calibri"/>
          <w:lang w:eastAsia="en-US"/>
        </w:rPr>
      </w:pPr>
      <w:r>
        <w:rPr>
          <w:rFonts w:eastAsia="Calibri"/>
          <w:lang w:eastAsia="en-US"/>
        </w:rPr>
        <w:t>Участие в ликвидации последствий аварий, катастроф, стихийных бедствий и других чрезвычайных ситуациях на охраняемом объекте.</w:t>
      </w:r>
    </w:p>
    <w:p>
      <w:pPr>
        <w:pStyle w:val="Normal"/>
        <w:ind w:firstLine="426"/>
        <w:jc w:val="both"/>
        <w:rPr>
          <w:rFonts w:eastAsia="Calibri"/>
          <w:lang w:eastAsia="en-US"/>
        </w:rPr>
      </w:pPr>
      <w:r>
        <w:rPr>
          <w:rFonts w:eastAsia="Calibri"/>
          <w:lang w:eastAsia="en-US"/>
        </w:rPr>
        <w:t xml:space="preserve">Обеспечение безопасности </w:t>
      </w:r>
      <w:r>
        <w:rPr>
          <w:rFonts w:eastAsia="Calibri"/>
          <w:color w:val="000000"/>
          <w:lang w:eastAsia="en-US"/>
        </w:rPr>
        <w:t xml:space="preserve">Дзауджикауской </w:t>
      </w:r>
      <w:r>
        <w:rPr>
          <w:rFonts w:eastAsia="Calibri"/>
          <w:lang w:eastAsia="en-US"/>
        </w:rPr>
        <w:t>ГЭС, подрядных организаций, граждан, посещающих охраняемые объекты Филиала от противоправных посягательств, обеспечение на охраняемом объекте пропускного и внутриобъектового режимов, предупреждение и пресечение преступлений и административных правонарушений, охрана материальных ценностей, документов и иного имущества в соответствии с законодательством РФ и требованиями локальных нормативных актов, инструкций и положений, утвержденных приказами Заказчика.</w:t>
      </w:r>
    </w:p>
    <w:p>
      <w:pPr>
        <w:pStyle w:val="Normal"/>
        <w:ind w:firstLine="709"/>
        <w:jc w:val="both"/>
        <w:rPr>
          <w:b/>
        </w:rPr>
      </w:pPr>
      <w:r>
        <w:rPr>
          <w:b/>
        </w:rPr>
      </w:r>
    </w:p>
    <w:p>
      <w:pPr>
        <w:pStyle w:val="Normal"/>
        <w:ind w:firstLine="142"/>
        <w:jc w:val="both"/>
        <w:rPr>
          <w:b/>
        </w:rPr>
      </w:pPr>
      <w:r>
        <w:rPr>
          <w:b/>
        </w:rPr>
        <w:t xml:space="preserve">1.3. Существующее положение. </w:t>
      </w:r>
    </w:p>
    <w:p>
      <w:pPr>
        <w:pStyle w:val="Normal"/>
        <w:jc w:val="both"/>
        <w:rPr>
          <w:sz w:val="6"/>
          <w:szCs w:val="6"/>
        </w:rPr>
      </w:pPr>
      <w:r>
        <w:rPr>
          <w:sz w:val="6"/>
          <w:szCs w:val="6"/>
        </w:rPr>
      </w:r>
    </w:p>
    <w:p>
      <w:pPr>
        <w:pStyle w:val="Normal"/>
        <w:tabs>
          <w:tab w:val="clear" w:pos="709"/>
          <w:tab w:val="left" w:pos="142" w:leader="none"/>
          <w:tab w:val="left" w:pos="6998" w:leader="none"/>
          <w:tab w:val="left" w:pos="8904" w:leader="none"/>
          <w:tab w:val="left" w:pos="10925" w:leader="dot"/>
        </w:tabs>
        <w:jc w:val="both"/>
        <w:rPr>
          <w:rFonts w:eastAsia="Calibri"/>
          <w:bCs/>
          <w:lang w:eastAsia="en-US"/>
        </w:rPr>
      </w:pPr>
      <w:r>
        <w:rPr>
          <w:rFonts w:eastAsia="Calibri"/>
          <w:bCs/>
        </w:rPr>
        <w:t xml:space="preserve">1.3.1. </w:t>
      </w:r>
      <w:r>
        <w:rPr>
          <w:rFonts w:eastAsia="Calibri"/>
          <w:color w:val="000000"/>
          <w:lang w:eastAsia="en-US"/>
        </w:rPr>
        <w:t xml:space="preserve">Дзауджикауская </w:t>
      </w:r>
      <w:r>
        <w:rPr>
          <w:rFonts w:eastAsia="Calibri"/>
          <w:lang w:eastAsia="en-US"/>
        </w:rPr>
        <w:t xml:space="preserve">ГЭС, подлежащая охране, расположена по адресу: РСО-Алания, г.Владикавказ, ул.Васо Абаева, 63. </w:t>
      </w:r>
      <w:r>
        <w:rPr>
          <w:rFonts w:eastAsia="Calibri"/>
          <w:bCs/>
          <w:lang w:eastAsia="en-US"/>
        </w:rPr>
        <w:t xml:space="preserve">Территория объекта оборудована системой контроля и управления доступом, системой видеонаблюдения с выводом изображения в помещения охраны, системой охранной сигнализации и системой охранного освещения. </w:t>
      </w:r>
      <w:r>
        <w:rPr>
          <w:rFonts w:eastAsia="Calibri"/>
          <w:color w:val="000000"/>
          <w:lang w:eastAsia="en-US"/>
        </w:rPr>
        <w:t xml:space="preserve">Дзауджикауская </w:t>
      </w:r>
      <w:r>
        <w:rPr>
          <w:rFonts w:eastAsia="Calibri"/>
          <w:bCs/>
          <w:lang w:eastAsia="en-US"/>
        </w:rPr>
        <w:t>ГЭС не имеет категории опасности.</w:t>
      </w:r>
    </w:p>
    <w:p>
      <w:pPr>
        <w:pStyle w:val="Normal"/>
        <w:tabs>
          <w:tab w:val="clear" w:pos="709"/>
          <w:tab w:val="left" w:pos="142" w:leader="none"/>
          <w:tab w:val="left" w:pos="6998" w:leader="none"/>
          <w:tab w:val="left" w:pos="8904" w:leader="none"/>
          <w:tab w:val="left" w:pos="10925" w:leader="dot"/>
        </w:tabs>
        <w:jc w:val="both"/>
        <w:rPr/>
      </w:pPr>
      <w:r>
        <w:rPr/>
      </w:r>
    </w:p>
    <w:p>
      <w:pPr>
        <w:pStyle w:val="Normal"/>
        <w:tabs>
          <w:tab w:val="clear" w:pos="709"/>
          <w:tab w:val="left" w:pos="142" w:leader="none"/>
          <w:tab w:val="left" w:pos="6998" w:leader="none"/>
          <w:tab w:val="left" w:pos="8904" w:leader="none"/>
          <w:tab w:val="left" w:pos="10925" w:leader="dot"/>
        </w:tabs>
        <w:jc w:val="both"/>
        <w:rPr>
          <w:rFonts w:eastAsia="Calibri"/>
          <w:b/>
          <w:bCs/>
        </w:rPr>
      </w:pPr>
      <w:r>
        <w:rPr>
          <w:rFonts w:eastAsia="Calibri"/>
          <w:b/>
          <w:bCs/>
        </w:rPr>
        <w:t>Таблица 1. Перечень объектов заказчика.</w:t>
      </w:r>
    </w:p>
    <w:tbl>
      <w:tblPr>
        <w:tblW w:w="9351"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60"/>
        <w:gridCol w:w="2214"/>
        <w:gridCol w:w="6577"/>
      </w:tblGrid>
      <w:tr>
        <w:trPr/>
        <w:tc>
          <w:tcPr>
            <w:tcW w:w="5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42" w:leader="none"/>
                <w:tab w:val="left" w:pos="6998" w:leader="none"/>
                <w:tab w:val="left" w:pos="8904" w:leader="none"/>
                <w:tab w:val="left" w:pos="10925" w:leader="dot"/>
              </w:tabs>
              <w:jc w:val="center"/>
              <w:rPr>
                <w:rFonts w:eastAsia="Calibri"/>
                <w:b/>
                <w:bCs/>
              </w:rPr>
            </w:pPr>
            <w:r>
              <w:rPr>
                <w:rFonts w:eastAsia="Calibri"/>
                <w:b/>
                <w:bCs/>
              </w:rPr>
              <w:t>№</w:t>
            </w:r>
          </w:p>
          <w:p>
            <w:pPr>
              <w:pStyle w:val="Normal"/>
              <w:widowControl w:val="false"/>
              <w:tabs>
                <w:tab w:val="clear" w:pos="709"/>
                <w:tab w:val="left" w:pos="142" w:leader="none"/>
                <w:tab w:val="left" w:pos="6998" w:leader="none"/>
                <w:tab w:val="left" w:pos="8904" w:leader="none"/>
                <w:tab w:val="left" w:pos="10925" w:leader="dot"/>
              </w:tabs>
              <w:jc w:val="center"/>
              <w:rPr>
                <w:rFonts w:eastAsia="Calibri"/>
                <w:b/>
                <w:bCs/>
              </w:rPr>
            </w:pPr>
            <w:r>
              <w:rPr>
                <w:rFonts w:eastAsia="Calibri"/>
                <w:b/>
                <w:bCs/>
              </w:rPr>
              <w:t>п/п</w:t>
            </w:r>
          </w:p>
        </w:tc>
        <w:tc>
          <w:tcPr>
            <w:tcW w:w="221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42" w:leader="none"/>
                <w:tab w:val="left" w:pos="6998" w:leader="none"/>
                <w:tab w:val="left" w:pos="8904" w:leader="none"/>
                <w:tab w:val="left" w:pos="10925" w:leader="dot"/>
              </w:tabs>
              <w:jc w:val="center"/>
              <w:rPr>
                <w:rFonts w:eastAsia="Calibri"/>
                <w:b/>
                <w:bCs/>
              </w:rPr>
            </w:pPr>
            <w:r>
              <w:rPr>
                <w:rFonts w:eastAsia="Calibri"/>
                <w:b/>
                <w:bCs/>
              </w:rPr>
              <w:t>Наименование объекта</w:t>
            </w:r>
          </w:p>
        </w:tc>
        <w:tc>
          <w:tcPr>
            <w:tcW w:w="65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42" w:leader="none"/>
                <w:tab w:val="left" w:pos="6998" w:leader="none"/>
                <w:tab w:val="left" w:pos="8904" w:leader="none"/>
                <w:tab w:val="left" w:pos="10925" w:leader="dot"/>
              </w:tabs>
              <w:jc w:val="center"/>
              <w:rPr>
                <w:rFonts w:eastAsia="Calibri"/>
                <w:b/>
                <w:bCs/>
              </w:rPr>
            </w:pPr>
            <w:r>
              <w:rPr>
                <w:rFonts w:eastAsia="Calibri"/>
                <w:b/>
                <w:bCs/>
              </w:rPr>
              <w:t>Расположение объекта</w:t>
            </w:r>
          </w:p>
        </w:tc>
      </w:tr>
      <w:tr>
        <w:trPr/>
        <w:tc>
          <w:tcPr>
            <w:tcW w:w="5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42" w:leader="none"/>
                <w:tab w:val="left" w:pos="6998" w:leader="none"/>
                <w:tab w:val="left" w:pos="8904" w:leader="none"/>
                <w:tab w:val="left" w:pos="10925" w:leader="dot"/>
              </w:tabs>
              <w:jc w:val="center"/>
              <w:rPr/>
            </w:pPr>
            <w:r>
              <w:rPr>
                <w:rFonts w:eastAsia="Calibri"/>
                <w:bCs/>
              </w:rPr>
              <w:t>1.</w:t>
            </w:r>
          </w:p>
        </w:tc>
        <w:tc>
          <w:tcPr>
            <w:tcW w:w="221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42" w:leader="none"/>
                <w:tab w:val="left" w:pos="6998" w:leader="none"/>
                <w:tab w:val="left" w:pos="8904" w:leader="none"/>
                <w:tab w:val="left" w:pos="10925" w:leader="dot"/>
              </w:tabs>
              <w:jc w:val="center"/>
              <w:rPr>
                <w:iCs/>
              </w:rPr>
            </w:pPr>
            <w:r>
              <w:rPr>
                <w:rFonts w:eastAsia="Calibri"/>
                <w:color w:val="000000"/>
                <w:lang w:eastAsia="en-US"/>
              </w:rPr>
              <w:t>Дзауджикауск</w:t>
            </w:r>
            <w:r>
              <w:rPr>
                <w:rFonts w:eastAsia="Calibri"/>
                <w:color w:val="000000"/>
                <w:lang w:val="en-US" w:eastAsia="en-US"/>
              </w:rPr>
              <w:t>ая</w:t>
            </w:r>
            <w:r>
              <w:rPr>
                <w:rFonts w:eastAsia="Calibri"/>
                <w:color w:val="000000"/>
                <w:lang w:eastAsia="en-US"/>
              </w:rPr>
              <w:t xml:space="preserve"> </w:t>
            </w:r>
            <w:r>
              <w:rPr>
                <w:iCs/>
              </w:rPr>
              <w:t>ГЭС</w:t>
            </w:r>
          </w:p>
        </w:tc>
        <w:tc>
          <w:tcPr>
            <w:tcW w:w="657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42" w:leader="none"/>
                <w:tab w:val="left" w:pos="6998" w:leader="none"/>
                <w:tab w:val="left" w:pos="8904" w:leader="none"/>
                <w:tab w:val="left" w:pos="10925" w:leader="dot"/>
              </w:tabs>
              <w:jc w:val="center"/>
              <w:rPr>
                <w:iCs/>
              </w:rPr>
            </w:pPr>
            <w:r>
              <w:rPr>
                <w:iCs/>
              </w:rPr>
              <w:t>РСО-Алания, г.Владикавказ, ул.Васо Абаева, 63.</w:t>
            </w:r>
          </w:p>
        </w:tc>
      </w:tr>
    </w:tbl>
    <w:p>
      <w:pPr>
        <w:pStyle w:val="Normal"/>
        <w:tabs>
          <w:tab w:val="clear" w:pos="709"/>
          <w:tab w:val="left" w:pos="360" w:leader="none"/>
        </w:tabs>
        <w:jc w:val="both"/>
        <w:rPr/>
      </w:pPr>
      <w:r>
        <w:rPr/>
      </w:r>
    </w:p>
    <w:p>
      <w:pPr>
        <w:pStyle w:val="Normal"/>
        <w:ind w:firstLine="142"/>
        <w:jc w:val="both"/>
        <w:rPr>
          <w:b/>
        </w:rPr>
      </w:pPr>
      <w:r>
        <w:rPr>
          <w:b/>
        </w:rPr>
        <w:t>1.4. Иные требования и сведения общего характера</w:t>
      </w:r>
    </w:p>
    <w:p>
      <w:pPr>
        <w:pStyle w:val="Normal"/>
        <w:jc w:val="both"/>
        <w:rPr>
          <w:b/>
          <w:sz w:val="12"/>
          <w:szCs w:val="12"/>
        </w:rPr>
      </w:pPr>
      <w:r>
        <w:rPr>
          <w:b/>
          <w:sz w:val="12"/>
          <w:szCs w:val="12"/>
        </w:rPr>
      </w:r>
    </w:p>
    <w:p>
      <w:pPr>
        <w:pStyle w:val="Normal"/>
        <w:jc w:val="both"/>
        <w:rPr/>
      </w:pPr>
      <w:r>
        <w:rPr>
          <w:rFonts w:eastAsia="Calibri"/>
        </w:rPr>
        <w:t>1.4.1. Любая информация, полученная в ходе ознакомления с объектом и документацией, а также в ходе выполнения работ, к которой относятся все сведения о производственных активах Заказчика, содержании его Производственных программ, производственных и бизнес-процессов, является собственностью Заказчика и не может передаваться третьим лицам, использоваться в своих целях, распространяться или тиражироваться любыми способами без письменного разрешения Заказчика.</w:t>
      </w:r>
    </w:p>
    <w:p>
      <w:pPr>
        <w:pStyle w:val="Normal"/>
        <w:jc w:val="both"/>
        <w:rPr>
          <w:sz w:val="16"/>
          <w:szCs w:val="16"/>
        </w:rPr>
      </w:pPr>
      <w:r>
        <w:rPr>
          <w:sz w:val="16"/>
          <w:szCs w:val="16"/>
        </w:rPr>
      </w:r>
    </w:p>
    <w:p>
      <w:pPr>
        <w:pStyle w:val="ListParagraph"/>
        <w:numPr>
          <w:ilvl w:val="0"/>
          <w:numId w:val="6"/>
        </w:numPr>
        <w:spacing w:lineRule="auto" w:line="240" w:before="0" w:after="0"/>
        <w:contextualSpacing/>
        <w:jc w:val="center"/>
        <w:rPr>
          <w:rFonts w:ascii="Times New Roman" w:hAnsi="Times New Roman"/>
          <w:b/>
          <w:sz w:val="24"/>
          <w:szCs w:val="24"/>
        </w:rPr>
      </w:pPr>
      <w:r>
        <w:rPr>
          <w:rFonts w:ascii="Times New Roman" w:hAnsi="Times New Roman"/>
          <w:b/>
          <w:sz w:val="24"/>
          <w:szCs w:val="24"/>
        </w:rPr>
        <w:t>Требования к продукции</w:t>
      </w:r>
    </w:p>
    <w:p>
      <w:pPr>
        <w:pStyle w:val="Normal"/>
        <w:ind w:firstLine="142"/>
        <w:rPr>
          <w:b/>
        </w:rPr>
      </w:pPr>
      <w:r>
        <w:rPr>
          <w:b/>
        </w:rPr>
        <w:t>2.1. Требования к объемам и срокам оказания услуг</w:t>
      </w:r>
    </w:p>
    <w:p>
      <w:pPr>
        <w:pStyle w:val="Normal"/>
        <w:rPr>
          <w:b/>
        </w:rPr>
      </w:pPr>
      <w:r>
        <w:rPr>
          <w:b/>
        </w:rPr>
        <w:t xml:space="preserve">        </w:t>
      </w:r>
      <w:r>
        <w:rPr>
          <w:b/>
        </w:rPr>
        <w:t>2.1.1. Требования к перечню и объему услуг</w:t>
      </w:r>
    </w:p>
    <w:p>
      <w:pPr>
        <w:pStyle w:val="Normal"/>
        <w:rPr>
          <w:b/>
          <w:sz w:val="16"/>
          <w:szCs w:val="16"/>
        </w:rPr>
      </w:pPr>
      <w:r>
        <w:rPr>
          <w:b/>
          <w:sz w:val="16"/>
          <w:szCs w:val="16"/>
        </w:rPr>
      </w:r>
    </w:p>
    <w:p>
      <w:pPr>
        <w:pStyle w:val="Normal"/>
        <w:rPr>
          <w:b/>
        </w:rPr>
      </w:pPr>
      <w:r>
        <w:rPr>
          <w:b/>
        </w:rPr>
        <w:t>Таблица 2. Перечень и объем оказываемых услуг</w:t>
      </w:r>
    </w:p>
    <w:tbl>
      <w:tblPr>
        <w:tblW w:w="962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667"/>
        <w:gridCol w:w="5717"/>
        <w:gridCol w:w="1671"/>
        <w:gridCol w:w="1569"/>
      </w:tblGrid>
      <w:tr>
        <w:trPr/>
        <w:tc>
          <w:tcPr>
            <w:tcW w:w="66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rPr>
            </w:pPr>
            <w:r>
              <w:rPr>
                <w:b/>
              </w:rPr>
              <w:t>№</w:t>
            </w:r>
          </w:p>
          <w:p>
            <w:pPr>
              <w:pStyle w:val="Normal"/>
              <w:widowControl w:val="false"/>
              <w:jc w:val="center"/>
              <w:rPr>
                <w:b/>
              </w:rPr>
            </w:pPr>
            <w:r>
              <w:rPr>
                <w:b/>
              </w:rPr>
              <w:t>п/п</w:t>
            </w:r>
          </w:p>
        </w:tc>
        <w:tc>
          <w:tcPr>
            <w:tcW w:w="5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b/>
              </w:rPr>
              <w:t>Наименование услуг / этапа услуг</w:t>
            </w:r>
          </w:p>
        </w:tc>
        <w:tc>
          <w:tcPr>
            <w:tcW w:w="167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rPr>
            </w:pPr>
            <w:r>
              <w:rPr>
                <w:b/>
              </w:rPr>
              <w:t>Единица измерения</w:t>
            </w:r>
          </w:p>
        </w:tc>
        <w:tc>
          <w:tcPr>
            <w:tcW w:w="156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rPr>
            </w:pPr>
            <w:r>
              <w:rPr>
                <w:b/>
              </w:rPr>
              <w:t>Количество</w:t>
            </w:r>
          </w:p>
        </w:tc>
      </w:tr>
      <w:tr>
        <w:trPr/>
        <w:tc>
          <w:tcPr>
            <w:tcW w:w="6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t>1.</w:t>
            </w:r>
          </w:p>
        </w:tc>
        <w:tc>
          <w:tcPr>
            <w:tcW w:w="5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0" w:leader="none"/>
              </w:tabs>
              <w:rPr>
                <w:rFonts w:eastAsia="Calibri"/>
                <w:bCs/>
                <w:lang w:eastAsia="en-US"/>
              </w:rPr>
            </w:pPr>
            <w:r>
              <w:rPr>
                <w:lang w:eastAsia="en-US"/>
              </w:rPr>
              <w:t>Услуги по охране и антитеррористической защищенности Дзауджикауской ГЭС филиала ПАО «РусГидро»-«Северо-Осетинский филиал»</w:t>
            </w:r>
          </w:p>
        </w:tc>
        <w:tc>
          <w:tcPr>
            <w:tcW w:w="167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eastAsia="Calibri"/>
                <w:bCs/>
                <w:color w:val="000000"/>
                <w:spacing w:val="2"/>
                <w:lang w:eastAsia="en-US"/>
              </w:rPr>
            </w:pPr>
            <w:r>
              <w:rPr>
                <w:rFonts w:eastAsia="Calibri"/>
                <w:bCs/>
                <w:color w:val="000000"/>
                <w:spacing w:val="2"/>
                <w:lang w:eastAsia="en-US"/>
              </w:rPr>
              <w:t>м</w:t>
            </w:r>
            <w:r>
              <w:rPr>
                <w:rFonts w:eastAsia="Calibri"/>
                <w:bCs/>
                <w:color w:val="000000"/>
                <w:spacing w:val="2"/>
                <w:vertAlign w:val="superscript"/>
                <w:lang w:eastAsia="en-US"/>
              </w:rPr>
              <w:t>2</w:t>
            </w:r>
          </w:p>
        </w:tc>
        <w:tc>
          <w:tcPr>
            <w:tcW w:w="15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eastAsia="Calibri"/>
                <w:bCs/>
                <w:color w:val="000000"/>
                <w:spacing w:val="2"/>
                <w:lang w:val="en-US" w:eastAsia="en-US"/>
              </w:rPr>
            </w:pPr>
            <w:r>
              <w:rPr>
                <w:rFonts w:eastAsia="Calibri"/>
                <w:bCs/>
                <w:color w:val="000000"/>
                <w:spacing w:val="2"/>
                <w:lang w:val="en-US" w:eastAsia="en-US"/>
              </w:rPr>
              <w:t>153 156</w:t>
            </w:r>
          </w:p>
        </w:tc>
      </w:tr>
    </w:tbl>
    <w:p>
      <w:pPr>
        <w:pStyle w:val="Normal"/>
        <w:tabs>
          <w:tab w:val="clear" w:pos="709"/>
          <w:tab w:val="left" w:pos="142" w:leader="none"/>
          <w:tab w:val="left" w:pos="6998" w:leader="none"/>
          <w:tab w:val="left" w:pos="8904" w:leader="none"/>
          <w:tab w:val="left" w:pos="10925" w:leader="dot"/>
        </w:tabs>
        <w:jc w:val="both"/>
        <w:rPr>
          <w:rFonts w:eastAsia="Calibri"/>
          <w:bCs/>
          <w:sz w:val="22"/>
          <w:szCs w:val="22"/>
        </w:rPr>
      </w:pPr>
      <w:r>
        <w:rPr>
          <w:rFonts w:eastAsia="Calibri"/>
          <w:bCs/>
          <w:sz w:val="22"/>
          <w:szCs w:val="22"/>
        </w:rPr>
      </w:r>
    </w:p>
    <w:p>
      <w:pPr>
        <w:pStyle w:val="ListParagraph"/>
        <w:shd w:val="clear" w:color="auto" w:fill="FFFFFF"/>
        <w:spacing w:lineRule="auto" w:line="240" w:before="0" w:after="0"/>
        <w:ind w:hanging="0" w:left="1222"/>
        <w:contextualSpacing/>
        <w:jc w:val="both"/>
        <w:rPr>
          <w:rFonts w:ascii="Times New Roman" w:hAnsi="Times New Roman"/>
          <w:b/>
          <w:sz w:val="24"/>
          <w:szCs w:val="24"/>
        </w:rPr>
      </w:pPr>
      <w:r>
        <w:rPr>
          <w:rFonts w:ascii="Times New Roman" w:hAnsi="Times New Roman"/>
          <w:b/>
          <w:sz w:val="24"/>
          <w:szCs w:val="24"/>
        </w:rPr>
      </w:r>
    </w:p>
    <w:p>
      <w:pPr>
        <w:pStyle w:val="ListParagraph"/>
        <w:numPr>
          <w:ilvl w:val="2"/>
          <w:numId w:val="5"/>
        </w:numPr>
        <w:shd w:val="clear" w:color="auto" w:fill="FFFFFF"/>
        <w:spacing w:lineRule="auto" w:line="240" w:before="0" w:after="0"/>
        <w:contextualSpacing/>
        <w:jc w:val="both"/>
        <w:rPr>
          <w:rFonts w:ascii="Times New Roman" w:hAnsi="Times New Roman"/>
          <w:b/>
          <w:sz w:val="24"/>
          <w:szCs w:val="24"/>
        </w:rPr>
      </w:pPr>
      <w:r>
        <w:rPr>
          <w:rFonts w:ascii="Times New Roman" w:hAnsi="Times New Roman"/>
          <w:b/>
          <w:sz w:val="24"/>
          <w:szCs w:val="24"/>
        </w:rPr>
        <w:t>Требования к срокам оказания услуг</w:t>
      </w:r>
    </w:p>
    <w:p>
      <w:pPr>
        <w:pStyle w:val="ListParagraph"/>
        <w:shd w:val="clear" w:color="auto" w:fill="FFFFFF"/>
        <w:spacing w:lineRule="auto" w:line="240" w:before="0" w:after="0"/>
        <w:ind w:hanging="0" w:left="1222"/>
        <w:contextualSpacing/>
        <w:jc w:val="both"/>
        <w:rPr>
          <w:rFonts w:ascii="Times New Roman" w:hAnsi="Times New Roman"/>
          <w:b/>
          <w:sz w:val="24"/>
          <w:szCs w:val="24"/>
        </w:rPr>
      </w:pPr>
      <w:r>
        <w:rPr>
          <w:rFonts w:ascii="Times New Roman" w:hAnsi="Times New Roman"/>
          <w:b/>
          <w:sz w:val="24"/>
          <w:szCs w:val="24"/>
        </w:rPr>
      </w:r>
    </w:p>
    <w:p>
      <w:pPr>
        <w:pStyle w:val="ListParagraph"/>
        <w:shd w:val="clear" w:color="auto" w:fill="FFFFFF"/>
        <w:spacing w:lineRule="auto" w:line="240" w:before="0" w:after="0"/>
        <w:ind w:hanging="1222" w:left="1222"/>
        <w:contextualSpacing/>
        <w:jc w:val="both"/>
        <w:rPr>
          <w:rFonts w:ascii="Times New Roman" w:hAnsi="Times New Roman"/>
          <w:b/>
          <w:sz w:val="24"/>
          <w:szCs w:val="24"/>
        </w:rPr>
      </w:pPr>
      <w:r>
        <w:rPr>
          <w:rFonts w:ascii="Times New Roman" w:hAnsi="Times New Roman"/>
          <w:b/>
          <w:sz w:val="24"/>
          <w:szCs w:val="24"/>
        </w:rPr>
        <w:t>Таблица 3. Требования к срокам оказания услуг</w:t>
      </w:r>
    </w:p>
    <w:tbl>
      <w:tblPr>
        <w:tblW w:w="991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61"/>
        <w:gridCol w:w="2695"/>
        <w:gridCol w:w="2409"/>
        <w:gridCol w:w="2552"/>
        <w:gridCol w:w="1701"/>
      </w:tblGrid>
      <w:tr>
        <w:trPr/>
        <w:tc>
          <w:tcPr>
            <w:tcW w:w="5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b/>
              </w:rPr>
              <w:t>№</w:t>
            </w:r>
          </w:p>
          <w:p>
            <w:pPr>
              <w:pStyle w:val="Normal"/>
              <w:widowControl w:val="false"/>
              <w:jc w:val="center"/>
              <w:rPr>
                <w:b/>
              </w:rPr>
            </w:pPr>
            <w:r>
              <w:rPr>
                <w:b/>
              </w:rPr>
              <w:t>п/п</w:t>
            </w:r>
          </w:p>
        </w:tc>
        <w:tc>
          <w:tcPr>
            <w:tcW w:w="26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b/>
              </w:rPr>
              <w:t>Наименование услуг / этапа услуг</w:t>
            </w:r>
          </w:p>
        </w:tc>
        <w:tc>
          <w:tcPr>
            <w:tcW w:w="24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b/>
              </w:rPr>
              <w:t>Требования к началу срока оказания услуг/ этапа услуг</w:t>
            </w:r>
          </w:p>
        </w:tc>
        <w:tc>
          <w:tcPr>
            <w:tcW w:w="25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b/>
              </w:rPr>
              <w:t>Требования к окончанию срока оказания услуг / этапа услуг</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b/>
              </w:rPr>
              <w:t>Примечание</w:t>
            </w:r>
          </w:p>
        </w:tc>
      </w:tr>
      <w:tr>
        <w:trPr/>
        <w:tc>
          <w:tcPr>
            <w:tcW w:w="5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t>1.</w:t>
            </w:r>
          </w:p>
        </w:tc>
        <w:tc>
          <w:tcPr>
            <w:tcW w:w="26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0" w:leader="none"/>
              </w:tabs>
              <w:rPr>
                <w:rFonts w:eastAsia="Calibri"/>
                <w:bCs/>
                <w:lang w:eastAsia="en-US"/>
              </w:rPr>
            </w:pPr>
            <w:r>
              <w:rPr>
                <w:lang w:eastAsia="en-US"/>
              </w:rPr>
              <w:t>Услуги по охране и антитеррористической защищенности Дзауджикауской ГЭС филиала ПАО «РусГидро»-«Северо-Осетинский филиал»</w:t>
            </w:r>
          </w:p>
        </w:tc>
        <w:tc>
          <w:tcPr>
            <w:tcW w:w="24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t>01.01.2027 г.</w:t>
            </w:r>
          </w:p>
        </w:tc>
        <w:tc>
          <w:tcPr>
            <w:tcW w:w="2552"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hd w:val="clear" w:color="auto" w:fill="FFFFFF"/>
              <w:spacing w:lineRule="auto" w:line="240" w:before="0" w:after="0"/>
              <w:ind w:hanging="0" w:left="502"/>
              <w:contextualSpacing/>
              <w:jc w:val="center"/>
              <w:rPr>
                <w:rFonts w:ascii="Times New Roman" w:hAnsi="Times New Roman"/>
                <w:sz w:val="24"/>
                <w:szCs w:val="24"/>
              </w:rPr>
            </w:pPr>
            <w:r>
              <w:rPr>
                <w:rFonts w:ascii="Times New Roman" w:hAnsi="Times New Roman"/>
                <w:sz w:val="24"/>
                <w:szCs w:val="24"/>
              </w:rPr>
              <w:t>31.12.2027 г.</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hd w:val="clear" w:color="auto" w:fill="FFFFFF"/>
              <w:spacing w:lineRule="auto" w:line="240" w:before="0" w:after="0"/>
              <w:ind w:hanging="0" w:left="0"/>
              <w:contextualSpacing/>
              <w:jc w:val="center"/>
              <w:rPr>
                <w:rFonts w:ascii="Times New Roman" w:hAnsi="Times New Roman"/>
                <w:sz w:val="24"/>
                <w:szCs w:val="24"/>
              </w:rPr>
            </w:pPr>
            <w:r>
              <w:rPr>
                <w:rFonts w:ascii="Times New Roman" w:hAnsi="Times New Roman"/>
                <w:sz w:val="24"/>
                <w:szCs w:val="24"/>
              </w:rPr>
              <w:t>нет</w:t>
            </w:r>
          </w:p>
        </w:tc>
      </w:tr>
    </w:tbl>
    <w:p>
      <w:pPr>
        <w:pStyle w:val="Normal"/>
        <w:shd w:val="clear" w:color="auto" w:fill="FFFFFF"/>
        <w:jc w:val="both"/>
        <w:rPr>
          <w:b/>
        </w:rPr>
      </w:pPr>
      <w:r>
        <w:rPr>
          <w:b/>
        </w:rPr>
      </w:r>
    </w:p>
    <w:p>
      <w:pPr>
        <w:pStyle w:val="Normal"/>
        <w:shd w:val="clear" w:color="auto" w:fill="FFFFFF"/>
        <w:jc w:val="both"/>
        <w:rPr>
          <w:b/>
          <w:sz w:val="16"/>
          <w:szCs w:val="16"/>
        </w:rPr>
      </w:pPr>
      <w:r>
        <w:rPr>
          <w:b/>
          <w:sz w:val="16"/>
          <w:szCs w:val="16"/>
        </w:rPr>
      </w:r>
    </w:p>
    <w:p>
      <w:pPr>
        <w:pStyle w:val="ListParagraph"/>
        <w:numPr>
          <w:ilvl w:val="1"/>
          <w:numId w:val="5"/>
        </w:numPr>
        <w:shd w:val="clear" w:color="auto" w:fill="FFFFFF"/>
        <w:spacing w:lineRule="auto" w:line="240" w:before="0" w:after="0"/>
        <w:ind w:hanging="425" w:left="567"/>
        <w:contextualSpacing/>
        <w:jc w:val="both"/>
        <w:rPr>
          <w:rFonts w:ascii="Times New Roman" w:hAnsi="Times New Roman"/>
          <w:b/>
          <w:sz w:val="24"/>
          <w:szCs w:val="24"/>
        </w:rPr>
      </w:pPr>
      <w:r>
        <w:rPr>
          <w:rFonts w:ascii="Times New Roman" w:hAnsi="Times New Roman"/>
          <w:b/>
          <w:sz w:val="24"/>
          <w:szCs w:val="24"/>
        </w:rPr>
        <w:t>Требования к качеству услуг</w:t>
      </w:r>
    </w:p>
    <w:p>
      <w:pPr>
        <w:pStyle w:val="ListParagraph"/>
        <w:shd w:val="clear" w:color="auto" w:fill="FFFFFF"/>
        <w:spacing w:lineRule="auto" w:line="240" w:before="0" w:after="0"/>
        <w:ind w:hanging="82" w:left="791"/>
        <w:contextualSpacing/>
        <w:jc w:val="both"/>
        <w:rPr>
          <w:rFonts w:ascii="Times New Roman" w:hAnsi="Times New Roman"/>
          <w:b/>
          <w:sz w:val="6"/>
          <w:szCs w:val="6"/>
        </w:rPr>
      </w:pPr>
      <w:r>
        <w:rPr>
          <w:rFonts w:ascii="Times New Roman" w:hAnsi="Times New Roman"/>
          <w:b/>
          <w:sz w:val="6"/>
          <w:szCs w:val="6"/>
        </w:rPr>
      </w:r>
    </w:p>
    <w:p>
      <w:pPr>
        <w:sectPr>
          <w:type w:val="nextPage"/>
          <w:pgSz w:w="11906" w:h="16838"/>
          <w:pgMar w:left="1418" w:right="851" w:gutter="0" w:header="0" w:top="993" w:footer="0" w:bottom="2268"/>
          <w:pgNumType w:fmt="decimal"/>
          <w:formProt w:val="false"/>
          <w:textDirection w:val="lrTb"/>
          <w:docGrid w:type="default" w:linePitch="360" w:charSpace="0"/>
        </w:sectPr>
        <w:pStyle w:val="Normal"/>
        <w:shd w:val="clear" w:color="auto" w:fill="FFFFFF"/>
        <w:rPr>
          <w:u w:val="single"/>
        </w:rPr>
      </w:pPr>
      <w:r>
        <w:rPr>
          <w:b/>
        </w:rPr>
        <w:t xml:space="preserve">Наименование услуг/этапа услуг (позиция №1 таблицы 1):                                                                           </w:t>
      </w:r>
      <w:r>
        <w:rPr>
          <w:rFonts w:eastAsia="Calibri"/>
          <w:u w:val="single"/>
          <w:lang w:eastAsia="en-US"/>
        </w:rPr>
        <w:t xml:space="preserve">Услуги по охране и антитеррористической защищенности </w:t>
      </w:r>
      <w:r>
        <w:rPr>
          <w:u w:val="single"/>
          <w:lang w:eastAsia="en-US"/>
        </w:rPr>
        <w:t xml:space="preserve">Дзауджикауской </w:t>
      </w:r>
      <w:r>
        <w:rPr>
          <w:rFonts w:eastAsia="Calibri"/>
          <w:u w:val="single"/>
          <w:lang w:eastAsia="en-US"/>
        </w:rPr>
        <w:t>ГЭС филиала ПАО «РусГидро»-«Северо-Осетинский филиал»</w:t>
      </w:r>
    </w:p>
    <w:p>
      <w:pPr>
        <w:pStyle w:val="Normal"/>
        <w:shd w:val="clear" w:color="auto" w:fill="FFFFFF"/>
        <w:jc w:val="both"/>
        <w:rPr>
          <w:b/>
        </w:rPr>
      </w:pPr>
      <w:r>
        <w:rPr>
          <w:b/>
        </w:rPr>
        <w:t>Таблица 4. Требования к качеству услуг</w:t>
      </w:r>
    </w:p>
    <w:p>
      <w:pPr>
        <w:pStyle w:val="Normal"/>
        <w:shd w:val="clear" w:color="auto" w:fill="FFFFFF"/>
        <w:jc w:val="both"/>
        <w:rPr>
          <w:b/>
          <w:sz w:val="4"/>
          <w:szCs w:val="4"/>
        </w:rPr>
      </w:pPr>
      <w:r>
        <w:rPr>
          <w:b/>
          <w:sz w:val="4"/>
          <w:szCs w:val="4"/>
        </w:rPr>
      </w:r>
    </w:p>
    <w:p>
      <w:pPr>
        <w:pStyle w:val="Normal"/>
        <w:shd w:val="clear" w:color="auto" w:fill="FFFFFF"/>
        <w:jc w:val="both"/>
        <w:rPr>
          <w:b/>
        </w:rPr>
      </w:pPr>
      <w:r>
        <w:rPr>
          <w:b/>
        </w:rPr>
      </w:r>
    </w:p>
    <w:tbl>
      <w:tblPr>
        <w:tblW w:w="16208" w:type="dxa"/>
        <w:jc w:val="left"/>
        <w:tblInd w:w="15" w:type="dxa"/>
        <w:tblLayout w:type="fixed"/>
        <w:tblCellMar>
          <w:top w:w="0" w:type="dxa"/>
          <w:left w:w="108" w:type="dxa"/>
          <w:bottom w:w="0" w:type="dxa"/>
          <w:right w:w="108" w:type="dxa"/>
        </w:tblCellMar>
        <w:tblLook w:val="04a0" w:noHBand="0" w:noVBand="1" w:firstColumn="1" w:lastRow="0" w:lastColumn="0" w:firstRow="1"/>
      </w:tblPr>
      <w:tblGrid>
        <w:gridCol w:w="737"/>
        <w:gridCol w:w="1653"/>
        <w:gridCol w:w="6221"/>
        <w:gridCol w:w="2851"/>
        <w:gridCol w:w="3259"/>
        <w:gridCol w:w="1486"/>
      </w:tblGrid>
      <w:tr>
        <w:trPr>
          <w:trHeight w:val="970" w:hRule="atLeast"/>
        </w:trPr>
        <w:tc>
          <w:tcPr>
            <w:tcW w:w="73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23"/>
                <w:szCs w:val="23"/>
              </w:rPr>
            </w:pPr>
            <w:r>
              <w:rPr>
                <w:b/>
                <w:sz w:val="23"/>
                <w:szCs w:val="23"/>
              </w:rPr>
              <w:t>№</w:t>
            </w:r>
          </w:p>
          <w:p>
            <w:pPr>
              <w:pStyle w:val="Normal"/>
              <w:widowControl w:val="false"/>
              <w:jc w:val="center"/>
              <w:rPr>
                <w:b/>
                <w:sz w:val="23"/>
                <w:szCs w:val="23"/>
              </w:rPr>
            </w:pPr>
            <w:r>
              <w:rPr>
                <w:b/>
                <w:sz w:val="23"/>
                <w:szCs w:val="23"/>
              </w:rPr>
              <w:t>п/п</w:t>
            </w:r>
          </w:p>
        </w:tc>
        <w:tc>
          <w:tcPr>
            <w:tcW w:w="165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bCs/>
                <w:sz w:val="23"/>
                <w:szCs w:val="23"/>
              </w:rPr>
            </w:pPr>
            <w:r>
              <w:rPr>
                <w:b/>
                <w:bCs/>
                <w:sz w:val="23"/>
                <w:szCs w:val="23"/>
              </w:rPr>
              <w:t>Наименование параметра</w:t>
            </w:r>
          </w:p>
        </w:tc>
        <w:tc>
          <w:tcPr>
            <w:tcW w:w="622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314" w:left="314"/>
              <w:jc w:val="center"/>
              <w:rPr>
                <w:b/>
                <w:bCs/>
                <w:sz w:val="23"/>
                <w:szCs w:val="23"/>
              </w:rPr>
            </w:pPr>
            <w:r>
              <w:rPr>
                <w:b/>
                <w:bCs/>
                <w:sz w:val="23"/>
                <w:szCs w:val="23"/>
              </w:rPr>
              <w:t>Требование заказчика</w:t>
            </w:r>
          </w:p>
        </w:tc>
        <w:tc>
          <w:tcPr>
            <w:tcW w:w="611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b/>
                <w:bCs/>
                <w:sz w:val="23"/>
                <w:szCs w:val="23"/>
              </w:rPr>
            </w:pPr>
            <w:r>
              <w:rPr>
                <w:b/>
                <w:bCs/>
                <w:sz w:val="23"/>
                <w:szCs w:val="23"/>
              </w:rPr>
              <w:t>Способ подтверждения Исполнителем соответствия требованиям</w:t>
            </w:r>
          </w:p>
        </w:tc>
        <w:tc>
          <w:tcPr>
            <w:tcW w:w="1486"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ind w:hanging="0" w:left="-101" w:right="-185"/>
              <w:rPr>
                <w:b/>
                <w:bCs/>
                <w:sz w:val="23"/>
                <w:szCs w:val="23"/>
              </w:rPr>
            </w:pPr>
            <w:r>
              <w:rPr>
                <w:b/>
                <w:bCs/>
                <w:sz w:val="23"/>
                <w:szCs w:val="23"/>
              </w:rPr>
              <w:t>Предложение участника    по характеристикам и параметрам</w:t>
            </w:r>
          </w:p>
        </w:tc>
      </w:tr>
      <w:tr>
        <w:trPr>
          <w:trHeight w:val="1133" w:hRule="atLeast"/>
        </w:trPr>
        <w:tc>
          <w:tcPr>
            <w:tcW w:w="737"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b/>
              </w:rPr>
            </w:pPr>
            <w:r>
              <w:rPr>
                <w:b/>
              </w:rPr>
            </w:r>
          </w:p>
        </w:tc>
        <w:tc>
          <w:tcPr>
            <w:tcW w:w="1653" w:type="dxa"/>
            <w:vMerge w:val="continue"/>
            <w:tcBorders>
              <w:left w:val="single" w:sz="4" w:space="0" w:color="000000"/>
              <w:bottom w:val="single" w:sz="4" w:space="0" w:color="000000"/>
              <w:right w:val="single" w:sz="4" w:space="0" w:color="000000"/>
            </w:tcBorders>
          </w:tcPr>
          <w:p>
            <w:pPr>
              <w:pStyle w:val="Normal"/>
              <w:widowControl w:val="false"/>
              <w:jc w:val="both"/>
              <w:rPr>
                <w:b/>
              </w:rPr>
            </w:pPr>
            <w:r>
              <w:rPr>
                <w:b/>
              </w:rPr>
            </w:r>
          </w:p>
        </w:tc>
        <w:tc>
          <w:tcPr>
            <w:tcW w:w="6221" w:type="dxa"/>
            <w:vMerge w:val="continue"/>
            <w:tcBorders>
              <w:left w:val="single" w:sz="4" w:space="0" w:color="000000"/>
              <w:bottom w:val="single" w:sz="4" w:space="0" w:color="000000"/>
              <w:right w:val="single" w:sz="4" w:space="0" w:color="000000"/>
            </w:tcBorders>
          </w:tcPr>
          <w:p>
            <w:pPr>
              <w:pStyle w:val="Normal"/>
              <w:widowControl w:val="false"/>
              <w:jc w:val="both"/>
              <w:rPr>
                <w:b/>
              </w:rPr>
            </w:pPr>
            <w:r>
              <w:rPr>
                <w:b/>
              </w:rPr>
            </w:r>
          </w:p>
        </w:tc>
        <w:tc>
          <w:tcPr>
            <w:tcW w:w="285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t>Согласие с требованием/ указание характеристик</w:t>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t>Предоставление подтверждающего документа или иной способ подтверждения</w:t>
            </w:r>
          </w:p>
        </w:tc>
        <w:tc>
          <w:tcPr>
            <w:tcW w:w="1486" w:type="dxa"/>
            <w:vMerge w:val="continue"/>
            <w:tcBorders>
              <w:left w:val="single" w:sz="4" w:space="0" w:color="000000"/>
              <w:bottom w:val="single" w:sz="4" w:space="0" w:color="000000"/>
              <w:right w:val="single" w:sz="4" w:space="0" w:color="000000"/>
            </w:tcBorders>
          </w:tcPr>
          <w:p>
            <w:pPr>
              <w:pStyle w:val="Normal"/>
              <w:widowControl w:val="false"/>
              <w:jc w:val="both"/>
              <w:rPr>
                <w:b/>
              </w:rPr>
            </w:pPr>
            <w:r>
              <w:rPr>
                <w:b/>
              </w:rPr>
            </w:r>
          </w:p>
        </w:tc>
      </w:tr>
      <w:tr>
        <w:trPr>
          <w:trHeight w:val="269" w:hRule="atLeast"/>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1</w:t>
            </w:r>
          </w:p>
        </w:tc>
        <w:tc>
          <w:tcPr>
            <w:tcW w:w="1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b/>
              </w:rPr>
              <w:t>2</w:t>
            </w:r>
          </w:p>
        </w:tc>
        <w:tc>
          <w:tcPr>
            <w:tcW w:w="62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b/>
              </w:rPr>
              <w:t>3</w:t>
            </w:r>
          </w:p>
        </w:tc>
        <w:tc>
          <w:tcPr>
            <w:tcW w:w="285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b/>
              </w:rPr>
              <w:t>4</w:t>
            </w:r>
          </w:p>
        </w:tc>
        <w:tc>
          <w:tcPr>
            <w:tcW w:w="32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b/>
              </w:rPr>
              <w:t>5</w:t>
            </w:r>
          </w:p>
        </w:tc>
        <w:tc>
          <w:tcPr>
            <w:tcW w:w="1486" w:type="dxa"/>
            <w:tcBorders>
              <w:left w:val="single" w:sz="4" w:space="0" w:color="000000"/>
              <w:bottom w:val="single" w:sz="4" w:space="0" w:color="000000"/>
              <w:right w:val="single" w:sz="4" w:space="0" w:color="000000"/>
            </w:tcBorders>
            <w:vAlign w:val="center"/>
          </w:tcPr>
          <w:p>
            <w:pPr>
              <w:pStyle w:val="Normal"/>
              <w:widowControl w:val="false"/>
              <w:jc w:val="center"/>
              <w:rPr>
                <w:b/>
              </w:rPr>
            </w:pPr>
            <w:r>
              <w:rPr>
                <w:b/>
              </w:rPr>
              <w:t>6</w:t>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1.</w:t>
            </w:r>
          </w:p>
        </w:tc>
        <w:tc>
          <w:tcPr>
            <w:tcW w:w="7874"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t>Требования к оказанию услуг</w:t>
            </w:r>
          </w:p>
        </w:tc>
        <w:tc>
          <w:tcPr>
            <w:tcW w:w="285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1486" w:type="dxa"/>
            <w:tcBorders>
              <w:left w:val="single" w:sz="4" w:space="0" w:color="000000"/>
              <w:bottom w:val="single" w:sz="4" w:space="0" w:color="000000"/>
              <w:right w:val="single" w:sz="4" w:space="0" w:color="000000"/>
            </w:tcBorders>
          </w:tcPr>
          <w:p>
            <w:pPr>
              <w:pStyle w:val="Normal"/>
              <w:widowControl w:val="false"/>
              <w:jc w:val="both"/>
              <w:rPr>
                <w:b/>
              </w:rPr>
            </w:pPr>
            <w:r>
              <w:rPr>
                <w:b/>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1.1.</w:t>
            </w:r>
          </w:p>
        </w:tc>
        <w:tc>
          <w:tcPr>
            <w:tcW w:w="7874"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rPr>
                <w:b/>
              </w:rPr>
            </w:pPr>
            <w:r>
              <w:rPr>
                <w:b/>
              </w:rPr>
              <w:t xml:space="preserve">Общие требования к оказанию услуг </w:t>
            </w:r>
          </w:p>
        </w:tc>
        <w:tc>
          <w:tcPr>
            <w:tcW w:w="285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rPr>
                <w:b/>
              </w:rPr>
            </w:pPr>
            <w:r>
              <w:rPr>
                <w:b/>
              </w:rPr>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rPr>
                <w:b/>
              </w:rPr>
            </w:pPr>
            <w:r>
              <w:rPr>
                <w:b/>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rPr>
                <w:b/>
              </w:rPr>
            </w:pPr>
            <w:r>
              <w:rPr>
                <w:b/>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1.1.1</w:t>
            </w:r>
          </w:p>
        </w:tc>
        <w:tc>
          <w:tcPr>
            <w:tcW w:w="1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b/>
              </w:rPr>
            </w:pPr>
            <w:r>
              <w:rPr/>
              <w:t xml:space="preserve">Услуги по охране объекта </w:t>
            </w:r>
            <w:r>
              <w:rPr>
                <w:lang w:eastAsia="en-US"/>
              </w:rPr>
              <w:t xml:space="preserve">Дзауджикауская </w:t>
            </w:r>
            <w:r>
              <w:rPr>
                <w:bCs/>
              </w:rPr>
              <w:t>ГЭС:</w:t>
            </w:r>
          </w:p>
        </w:tc>
        <w:tc>
          <w:tcPr>
            <w:tcW w:w="622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75" w:leader="none"/>
                <w:tab w:val="left" w:pos="458" w:leader="none"/>
              </w:tabs>
              <w:rPr>
                <w:b/>
              </w:rPr>
            </w:pPr>
            <w:r>
              <w:rPr/>
              <w:t>- Обеспечение безопасности и антитеррористической защищенности охраняемого объекта;</w:t>
            </w:r>
          </w:p>
          <w:p>
            <w:pPr>
              <w:pStyle w:val="Normal"/>
              <w:widowControl w:val="false"/>
              <w:tabs>
                <w:tab w:val="clear" w:pos="709"/>
                <w:tab w:val="left" w:pos="175" w:leader="none"/>
                <w:tab w:val="left" w:pos="458" w:leader="none"/>
              </w:tabs>
              <w:rPr>
                <w:b/>
              </w:rPr>
            </w:pPr>
            <w:r>
              <w:rPr/>
              <w:t>- Защиту охраняемого объекта от актов незаконного вмешательства;</w:t>
            </w:r>
          </w:p>
          <w:p>
            <w:pPr>
              <w:pStyle w:val="Normal"/>
              <w:widowControl w:val="false"/>
              <w:tabs>
                <w:tab w:val="clear" w:pos="709"/>
                <w:tab w:val="left" w:pos="173" w:leader="none"/>
                <w:tab w:val="left" w:pos="740" w:leader="none"/>
                <w:tab w:val="left" w:pos="1418" w:leader="none"/>
              </w:tabs>
              <w:rPr>
                <w:b/>
              </w:rPr>
            </w:pPr>
            <w:r>
              <w:rPr/>
              <w:t>- Предотвращение несанкционированного проникновения на охраняемый объект;</w:t>
            </w:r>
          </w:p>
          <w:p>
            <w:pPr>
              <w:pStyle w:val="Normal"/>
              <w:widowControl w:val="false"/>
              <w:tabs>
                <w:tab w:val="clear" w:pos="709"/>
                <w:tab w:val="left" w:pos="175" w:leader="none"/>
                <w:tab w:val="left" w:pos="458" w:leader="none"/>
              </w:tabs>
              <w:rPr>
                <w:b/>
              </w:rPr>
            </w:pPr>
            <w:r>
              <w:rPr/>
              <w:t>- Своевременное обнаружение и пресечение посягательств на целостность и безопасность охраняемого объекта, обеспечение сохранности имущества;</w:t>
            </w:r>
          </w:p>
          <w:p>
            <w:pPr>
              <w:pStyle w:val="Normal"/>
              <w:widowControl w:val="false"/>
              <w:tabs>
                <w:tab w:val="clear" w:pos="709"/>
                <w:tab w:val="left" w:pos="175" w:leader="none"/>
                <w:tab w:val="left" w:pos="458" w:leader="none"/>
              </w:tabs>
              <w:rPr>
                <w:b/>
              </w:rPr>
            </w:pPr>
            <w:r>
              <w:rPr/>
              <w:t>- Поиск и задержание лиц, незаконно проникших на охраняемый объект;</w:t>
            </w:r>
          </w:p>
          <w:p>
            <w:pPr>
              <w:pStyle w:val="Normal"/>
              <w:widowControl w:val="false"/>
              <w:tabs>
                <w:tab w:val="clear" w:pos="709"/>
                <w:tab w:val="left" w:pos="175" w:leader="none"/>
                <w:tab w:val="left" w:pos="458" w:leader="none"/>
              </w:tabs>
              <w:rPr>
                <w:b/>
              </w:rPr>
            </w:pPr>
            <w:r>
              <w:rPr/>
              <w:t>- Контроль за соблюдением противопожарного режима, а также участие в ликвидации последствий аварий, катастроф, стихийных бедствий и других чрезвычайных ситуациях на охраняемом объекте;</w:t>
            </w:r>
          </w:p>
          <w:p>
            <w:pPr>
              <w:pStyle w:val="Normal"/>
              <w:widowControl w:val="false"/>
              <w:tabs>
                <w:tab w:val="clear" w:pos="709"/>
                <w:tab w:val="left" w:pos="175" w:leader="none"/>
                <w:tab w:val="left" w:pos="458" w:leader="none"/>
              </w:tabs>
              <w:rPr>
                <w:b/>
              </w:rPr>
            </w:pPr>
            <w:r>
              <w:rPr/>
              <w:t>- Обеспечение пропускного и внутриобъектового режимов на охраняемом объекте.</w:t>
            </w:r>
          </w:p>
        </w:tc>
        <w:tc>
          <w:tcPr>
            <w:tcW w:w="285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i/>
                <w:iCs/>
              </w:rPr>
              <w:t>Согласие с требованием</w:t>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b/>
              </w:rPr>
              <w:t>1.2.</w:t>
            </w:r>
          </w:p>
        </w:tc>
        <w:tc>
          <w:tcPr>
            <w:tcW w:w="7874"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426" w:leader="none"/>
              </w:tabs>
              <w:spacing w:before="60" w:after="0"/>
              <w:jc w:val="both"/>
              <w:rPr>
                <w:b/>
              </w:rPr>
            </w:pPr>
            <w:r>
              <w:rPr>
                <w:b/>
              </w:rPr>
              <w:t>Требования к способам оказания услуг</w:t>
            </w:r>
          </w:p>
        </w:tc>
        <w:tc>
          <w:tcPr>
            <w:tcW w:w="285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426" w:leader="none"/>
              </w:tabs>
              <w:spacing w:before="60" w:after="0"/>
              <w:jc w:val="both"/>
              <w:rPr>
                <w:b/>
              </w:rPr>
            </w:pPr>
            <w:r>
              <w:rPr>
                <w:b/>
              </w:rPr>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426" w:leader="none"/>
              </w:tabs>
              <w:spacing w:before="60" w:after="0"/>
              <w:jc w:val="both"/>
              <w:rPr>
                <w:b/>
              </w:rPr>
            </w:pPr>
            <w:r>
              <w:rPr>
                <w:b/>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426" w:leader="none"/>
              </w:tabs>
              <w:spacing w:before="60" w:after="0"/>
              <w:jc w:val="both"/>
              <w:rPr>
                <w:b/>
              </w:rPr>
            </w:pPr>
            <w:r>
              <w:rPr>
                <w:b/>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1.2.1</w:t>
            </w:r>
          </w:p>
        </w:tc>
        <w:tc>
          <w:tcPr>
            <w:tcW w:w="1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b/>
              </w:rPr>
            </w:pPr>
            <w:r>
              <w:rPr/>
              <w:t>Требования к применяемым подходам при оказании услуг</w:t>
            </w:r>
          </w:p>
        </w:tc>
        <w:tc>
          <w:tcPr>
            <w:tcW w:w="622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0"/>
              <w:jc w:val="both"/>
              <w:rPr>
                <w:b/>
              </w:rPr>
            </w:pPr>
            <w:r>
              <w:rPr/>
              <w:t>Услуги по охране объектов оказываются в следующем порядке:</w:t>
            </w:r>
          </w:p>
          <w:p>
            <w:pPr>
              <w:pStyle w:val="Normal"/>
              <w:widowControl w:val="false"/>
              <w:jc w:val="both"/>
              <w:rPr/>
            </w:pPr>
            <w:r>
              <w:rPr/>
              <w:t xml:space="preserve">- Охрану </w:t>
            </w:r>
            <w:r>
              <w:rPr>
                <w:lang w:eastAsia="en-US"/>
              </w:rPr>
              <w:t xml:space="preserve">Дзауджикауской </w:t>
            </w:r>
            <w:r>
              <w:rPr/>
              <w:t>ГЭС осуществлять по 24-х часовому графику с режимом работы сутки через трое, с ежесуточной нормой выставления личного состава - 9 вооруженных человек. Вооруженные охранники должны иметь 6-й разряд;</w:t>
            </w:r>
          </w:p>
          <w:p>
            <w:pPr>
              <w:pStyle w:val="Normal"/>
              <w:widowControl w:val="false"/>
              <w:jc w:val="both"/>
              <w:rPr>
                <w:color w:val="000000"/>
              </w:rPr>
            </w:pPr>
            <w:r>
              <w:rPr>
                <w:color w:val="000000"/>
              </w:rPr>
              <w:t>Услуги по охране объекта оказываются в соответствии с Дислокацией постов (Приложение №4 к настоящим техническим требованиям).</w:t>
            </w:r>
          </w:p>
          <w:p>
            <w:pPr>
              <w:pStyle w:val="Normal"/>
              <w:widowControl w:val="false"/>
              <w:jc w:val="both"/>
              <w:rPr>
                <w:color w:val="000000"/>
              </w:rPr>
            </w:pPr>
            <w:r>
              <w:rPr>
                <w:color w:val="000000"/>
              </w:rPr>
              <w:t>- По согласованию с Заказчиком, назначить посты наблюдения за воздушным пространством в целях защиты объектов от неправомерного воздействия БПЛА;</w:t>
            </w:r>
          </w:p>
          <w:p>
            <w:pPr>
              <w:pStyle w:val="Normal"/>
              <w:widowControl w:val="false"/>
              <w:tabs>
                <w:tab w:val="clear" w:pos="709"/>
                <w:tab w:val="left" w:pos="1276" w:leader="none"/>
              </w:tabs>
              <w:jc w:val="both"/>
              <w:rPr>
                <w:rFonts w:eastAsia="Calibri"/>
                <w:lang w:eastAsia="en-US"/>
              </w:rPr>
            </w:pPr>
            <w:r>
              <w:rPr>
                <w:rFonts w:eastAsia="Calibri"/>
                <w:lang w:eastAsia="en-US"/>
              </w:rPr>
              <w:t>- Обеспечить взаимодействие с СБ Филиала по сохранности вверенного имущества и поддержанию в работоспособном состоянии переданного в пользование оборудования;</w:t>
            </w:r>
          </w:p>
          <w:p>
            <w:pPr>
              <w:pStyle w:val="Normal"/>
              <w:widowControl w:val="false"/>
              <w:tabs>
                <w:tab w:val="left" w:pos="709" w:leader="none"/>
                <w:tab w:val="left" w:pos="1276" w:leader="none"/>
              </w:tabs>
              <w:jc w:val="both"/>
              <w:rPr>
                <w:rFonts w:eastAsia="Calibri"/>
                <w:lang w:eastAsia="en-US"/>
              </w:rPr>
            </w:pPr>
            <w:r>
              <w:rPr>
                <w:rFonts w:eastAsia="Calibri"/>
                <w:lang w:eastAsia="en-US"/>
              </w:rPr>
              <w:t>- Предоставить Заказчику инструкции охранников;</w:t>
            </w:r>
          </w:p>
          <w:p>
            <w:pPr>
              <w:pStyle w:val="Normal"/>
              <w:widowControl w:val="false"/>
              <w:tabs>
                <w:tab w:val="left" w:pos="709" w:leader="none"/>
                <w:tab w:val="left" w:pos="1276" w:leader="none"/>
              </w:tabs>
              <w:jc w:val="both"/>
              <w:rPr>
                <w:b/>
              </w:rPr>
            </w:pPr>
            <w:r>
              <w:rPr>
                <w:rFonts w:eastAsia="Calibri"/>
                <w:lang w:eastAsia="en-US"/>
              </w:rPr>
              <w:t>- Согласовывать с СБ Заказчика прием на работу личного состава для охраны объекта Заказчика, предоставляя в СБ справки об отсутствии судимости, заполненные работниками Анкеты по форме Приложение №2 к настоящим техническим требованиям, заполненные работниками согласия на обработку персональных данных по форме Приложение №3 к настоящим техническим требованиям;</w:t>
            </w:r>
          </w:p>
          <w:p>
            <w:pPr>
              <w:pStyle w:val="Normal"/>
              <w:widowControl w:val="false"/>
              <w:tabs>
                <w:tab w:val="left" w:pos="709" w:leader="none"/>
                <w:tab w:val="left" w:pos="1276" w:leader="none"/>
              </w:tabs>
              <w:jc w:val="both"/>
              <w:rPr>
                <w:rFonts w:eastAsia="Calibri"/>
                <w:lang w:eastAsia="en-US"/>
              </w:rPr>
            </w:pPr>
            <w:r>
              <w:rPr>
                <w:rFonts w:eastAsia="Calibri"/>
                <w:lang w:eastAsia="en-US"/>
              </w:rPr>
              <w:t>- Ежедневно предоставлять информацию о состоянии охраны, целостности ограждений, запоров и исправности охранно-пожарной сигнализации по установленной СБ форме и другие необходимые данные по требованию СБ;</w:t>
            </w:r>
          </w:p>
          <w:p>
            <w:pPr>
              <w:pStyle w:val="Normal"/>
              <w:widowControl w:val="false"/>
              <w:tabs>
                <w:tab w:val="left" w:pos="709" w:leader="none"/>
                <w:tab w:val="left" w:pos="1276" w:leader="none"/>
              </w:tabs>
              <w:jc w:val="both"/>
              <w:rPr>
                <w:rFonts w:eastAsia="Calibri"/>
                <w:lang w:eastAsia="en-US"/>
              </w:rPr>
            </w:pPr>
            <w:r>
              <w:rPr>
                <w:rFonts w:eastAsia="Calibri"/>
                <w:lang w:eastAsia="en-US"/>
              </w:rPr>
              <w:t>- Ежеквартально по запросу представлять в СБ анализ несения службы на постах охраны объекте Филиала;</w:t>
            </w:r>
          </w:p>
          <w:p>
            <w:pPr>
              <w:pStyle w:val="Normal"/>
              <w:widowControl w:val="false"/>
              <w:tabs>
                <w:tab w:val="left" w:pos="709" w:leader="none"/>
                <w:tab w:val="left" w:pos="1276" w:leader="none"/>
              </w:tabs>
              <w:jc w:val="both"/>
              <w:rPr>
                <w:rFonts w:eastAsia="Calibri"/>
                <w:lang w:eastAsia="en-US"/>
              </w:rPr>
            </w:pPr>
            <w:r>
              <w:rPr>
                <w:rFonts w:eastAsia="Calibri"/>
                <w:lang w:eastAsia="en-US"/>
              </w:rPr>
              <w:t>- Обеспечивать сохранность конфиденциальной информации по организации охраны и конфиденциальность мероприятий, проводимых СБ;</w:t>
            </w:r>
          </w:p>
          <w:p>
            <w:pPr>
              <w:pStyle w:val="Normal"/>
              <w:widowControl w:val="false"/>
              <w:tabs>
                <w:tab w:val="left" w:pos="709" w:leader="none"/>
                <w:tab w:val="left" w:pos="1276" w:leader="none"/>
              </w:tabs>
              <w:jc w:val="both"/>
              <w:rPr>
                <w:rFonts w:eastAsia="Calibri"/>
                <w:lang w:eastAsia="en-US"/>
              </w:rPr>
            </w:pPr>
            <w:r>
              <w:rPr>
                <w:rFonts w:eastAsia="Calibri"/>
                <w:lang w:eastAsia="en-US"/>
              </w:rPr>
              <w:t>- В случае каких-либо противоправных действий в отношении охраняемого объекта немедленно докладывать по телефону о произошедшем начальнику СБ или инженеру по режиму и охране СБ.</w:t>
            </w:r>
          </w:p>
          <w:p>
            <w:pPr>
              <w:pStyle w:val="Normal"/>
              <w:widowControl w:val="false"/>
              <w:jc w:val="both"/>
              <w:rPr>
                <w:b/>
              </w:rPr>
            </w:pPr>
            <w:r>
              <w:rPr>
                <w:rFonts w:eastAsia="Calibri"/>
                <w:lang w:eastAsia="en-US"/>
              </w:rPr>
              <w:t>- Иметь в штате (или привлеченных по договору) не менее 2-х (двух) мобильных групп (группы быстр</w:t>
            </w:r>
            <w:r>
              <w:rPr/>
              <w:t xml:space="preserve">ого реагирования – ГБР) в смену, в составе каждой из которых не менее 2-х (двух) охранников, на специальном автомобиле повышенной проходимости, оснащенном средствами наблюдения (бинокль), связи (радио и/или мобильной), знаками принадлежности. Группа быстрого реагирования должна быть обеспечена служебным короткоствольным огнестрельным оружием не менее 1 (одной) единицы на экипаж группы быстрого реагирования, итого 2 (две) единицы служебного короткоствольного огнестрельного оружия. Режим работы: ежедневно, круглосуточно, включая праздничные и выходные дни. </w:t>
            </w:r>
          </w:p>
          <w:p>
            <w:pPr>
              <w:pStyle w:val="Normal"/>
              <w:widowControl w:val="false"/>
              <w:jc w:val="both"/>
              <w:rPr>
                <w:b/>
              </w:rPr>
            </w:pPr>
            <w:r>
              <w:rPr/>
              <w:t>- Осуществлять п</w:t>
            </w:r>
            <w:r>
              <w:rPr>
                <w:bCs/>
              </w:rPr>
              <w:t>еревозку персонала, а также ГБР силами и за счет Исполнителя. Эксплуатационные затраты на ремонт автомобиля, а также затраты на ГСМ несет Исполнитель собственными силами за свой счет.</w:t>
            </w:r>
          </w:p>
          <w:p>
            <w:pPr>
              <w:pStyle w:val="Normal"/>
              <w:widowControl w:val="false"/>
              <w:jc w:val="both"/>
              <w:rPr>
                <w:b/>
              </w:rPr>
            </w:pPr>
            <w:r>
              <w:rPr>
                <w:bCs/>
                <w:color w:val="000000"/>
              </w:rPr>
              <w:t xml:space="preserve">- </w:t>
            </w:r>
            <w:r>
              <w:rPr>
                <w:color w:val="000000"/>
              </w:rPr>
              <w:t>Жизнь и здоровье работников Исполнителя должны быть застрахованы.</w:t>
            </w:r>
          </w:p>
          <w:p>
            <w:pPr>
              <w:pStyle w:val="Normal"/>
              <w:widowControl w:val="false"/>
              <w:jc w:val="both"/>
              <w:rPr>
                <w:b/>
              </w:rPr>
            </w:pPr>
            <w:r>
              <w:rPr>
                <w:b/>
              </w:rPr>
            </w:r>
          </w:p>
        </w:tc>
        <w:tc>
          <w:tcPr>
            <w:tcW w:w="285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276" w:leader="none"/>
              </w:tabs>
              <w:jc w:val="both"/>
              <w:rPr>
                <w:rFonts w:eastAsia="Calibri"/>
                <w:lang w:eastAsia="en-US"/>
              </w:rPr>
            </w:pPr>
            <w:r>
              <w:rPr>
                <w:i/>
                <w:iCs/>
              </w:rPr>
              <w:t>Согласие с требованием</w:t>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276" w:leader="none"/>
              </w:tabs>
              <w:jc w:val="both"/>
              <w:rPr>
                <w:rFonts w:eastAsia="Calibri"/>
                <w:lang w:eastAsia="en-US"/>
              </w:rPr>
            </w:pPr>
            <w:r>
              <w:rPr>
                <w:rFonts w:eastAsia="Calibri"/>
                <w:lang w:eastAsia="en-US"/>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276" w:leader="none"/>
              </w:tabs>
              <w:jc w:val="both"/>
              <w:rPr>
                <w:rFonts w:eastAsia="Calibri"/>
                <w:lang w:eastAsia="en-US"/>
              </w:rPr>
            </w:pPr>
            <w:r>
              <w:rPr>
                <w:rFonts w:eastAsia="Calibri"/>
                <w:lang w:eastAsia="en-US"/>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1.3.</w:t>
            </w:r>
          </w:p>
        </w:tc>
        <w:tc>
          <w:tcPr>
            <w:tcW w:w="7874"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t>Требования к применяемым при оказании услуг оборудованию и материалам</w:t>
            </w:r>
          </w:p>
        </w:tc>
        <w:tc>
          <w:tcPr>
            <w:tcW w:w="285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1.3.1</w:t>
            </w:r>
          </w:p>
        </w:tc>
        <w:tc>
          <w:tcPr>
            <w:tcW w:w="1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b/>
              </w:rPr>
            </w:pPr>
            <w:r>
              <w:rPr/>
              <w:t>Требования к самостоятельному приобретению исполнителем используемого при оказании услуг оборудования и материалов</w:t>
            </w:r>
          </w:p>
          <w:p>
            <w:pPr>
              <w:pStyle w:val="Normal"/>
              <w:widowControl w:val="false"/>
              <w:rPr>
                <w:b/>
              </w:rPr>
            </w:pPr>
            <w:r>
              <w:rPr>
                <w:b/>
              </w:rPr>
            </w:r>
          </w:p>
        </w:tc>
        <w:tc>
          <w:tcPr>
            <w:tcW w:w="622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iCs/>
                <w:color w:val="000000"/>
              </w:rPr>
              <w:t>Исполнитель приобретает за свои средства все необходимые материально-технические ресурсы, а именно:</w:t>
            </w:r>
            <w:r>
              <w:rPr/>
              <w:t xml:space="preserve"> </w:t>
            </w:r>
          </w:p>
          <w:p>
            <w:pPr>
              <w:pStyle w:val="Normal"/>
              <w:widowControl w:val="false"/>
              <w:jc w:val="both"/>
              <w:rPr/>
            </w:pPr>
            <w:r>
              <w:rPr/>
              <w:t>- специальную форменную одежду не менее 36 комплектов.</w:t>
            </w:r>
          </w:p>
          <w:p>
            <w:pPr>
              <w:pStyle w:val="Normal"/>
              <w:widowControl w:val="false"/>
              <w:jc w:val="both"/>
              <w:rPr/>
            </w:pPr>
            <w:r>
              <w:rPr/>
              <w:t>- палки резиновые – не менее 9 шт.;</w:t>
            </w:r>
          </w:p>
          <w:p>
            <w:pPr>
              <w:pStyle w:val="Normal"/>
              <w:widowControl w:val="false"/>
              <w:jc w:val="both"/>
              <w:rPr/>
            </w:pPr>
            <w:r>
              <w:rPr/>
              <w:t>- электрошокеры – не менее 9 шт.;</w:t>
            </w:r>
          </w:p>
          <w:p>
            <w:pPr>
              <w:pStyle w:val="Normal"/>
              <w:widowControl w:val="false"/>
              <w:jc w:val="both"/>
              <w:rPr/>
            </w:pPr>
            <w:r>
              <w:rPr/>
              <w:t>- наручники – не менее 9 шт.;</w:t>
            </w:r>
          </w:p>
          <w:p>
            <w:pPr>
              <w:pStyle w:val="Normal"/>
              <w:widowControl w:val="false"/>
              <w:jc w:val="both"/>
              <w:rPr/>
            </w:pPr>
            <w:r>
              <w:rPr/>
              <w:t>- мобильные телефоны – не менее 9 шт.;</w:t>
            </w:r>
          </w:p>
          <w:p>
            <w:pPr>
              <w:pStyle w:val="Normal"/>
              <w:widowControl w:val="false"/>
              <w:jc w:val="both"/>
              <w:rPr/>
            </w:pPr>
            <w:r>
              <w:rPr/>
              <w:t xml:space="preserve">- связь с дежурным </w:t>
            </w:r>
            <w:r>
              <w:rPr>
                <w:rFonts w:eastAsia="Calibri"/>
                <w:lang w:eastAsia="en-US"/>
              </w:rPr>
              <w:t>подразделением охранной организации и соответствующей дежурной частью органов внутренних дел;</w:t>
            </w:r>
          </w:p>
          <w:p>
            <w:pPr>
              <w:pStyle w:val="Normal"/>
              <w:widowControl w:val="false"/>
              <w:jc w:val="both"/>
              <w:rPr/>
            </w:pPr>
            <w:r>
              <w:rPr/>
              <w:t>- специальные автомобили повышенной проходимости, оснащенных средствами наблюдения (бинокль), связи (радио и/или мобильной), знаками принадлежности для перевозки групп быстрого реагирования. Автотранспорт не должен быть старше 5-ти (пяти) лет - не менее 2 ед. Группа быстрого реагирования должна быть обеспечена служебным короткоствольным огнестрельным оружием не менее 1 (одной) единицы на экипаж группы быстрого реагирования, итого 2 (две) единицы служебного короткоствольного огнестрельного оружия;</w:t>
            </w:r>
          </w:p>
          <w:p>
            <w:pPr>
              <w:pStyle w:val="Normal"/>
              <w:widowControl w:val="false"/>
              <w:jc w:val="both"/>
              <w:rPr/>
            </w:pPr>
            <w:r>
              <w:rPr/>
              <w:t xml:space="preserve">- служебное огнестрельное нарезное короткоствольное оружие или </w:t>
            </w:r>
            <w:r>
              <w:rPr>
                <w:color w:val="000000"/>
              </w:rPr>
              <w:t xml:space="preserve">огнестрельное гладкоствольное длинноствольное оружие (по согласованию с заказчиком) в количестве </w:t>
            </w:r>
            <w:r>
              <w:rPr/>
              <w:t>не мене</w:t>
            </w:r>
            <w:r>
              <w:rPr>
                <w:shd w:fill="auto" w:val="clear"/>
              </w:rPr>
              <w:t>е 5 ед.;</w:t>
            </w:r>
          </w:p>
          <w:p>
            <w:pPr>
              <w:pStyle w:val="Normal"/>
              <w:widowControl w:val="false"/>
              <w:jc w:val="both"/>
              <w:rPr>
                <w:b/>
              </w:rPr>
            </w:pPr>
            <w:r>
              <w:rPr/>
              <w:t>- комната хранения оружия и специальных средств должна находиться на территории Республики Северная Осетия - Алания, для оперативного реагирования на возникновение чрезвычайных происшествий на охраняемом объекте и усиления дежурной смены в составе авто-экипажей, время прибытия на охраняемый объект не должно превышать 10 (десять) минут – в ночное время, 15 (пятнадцать) минут – в дневное время.</w:t>
            </w:r>
          </w:p>
        </w:tc>
        <w:tc>
          <w:tcPr>
            <w:tcW w:w="285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bCs/>
              </w:rPr>
            </w:pPr>
            <w:r>
              <w:rPr>
                <w:i/>
                <w:iCs/>
              </w:rPr>
              <w:t>Согласие с требованием</w:t>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bCs/>
              </w:rPr>
            </w:pPr>
            <w:r>
              <w:rPr>
                <w:b/>
                <w:bCs/>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bCs/>
              </w:rPr>
            </w:pPr>
            <w:r>
              <w:rPr>
                <w:b/>
                <w:bCs/>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1.4.</w:t>
            </w:r>
          </w:p>
        </w:tc>
        <w:tc>
          <w:tcPr>
            <w:tcW w:w="7874"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t>Требования к персоналу исполнителя</w:t>
            </w:r>
          </w:p>
        </w:tc>
        <w:tc>
          <w:tcPr>
            <w:tcW w:w="285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1.4.1</w:t>
            </w:r>
          </w:p>
        </w:tc>
        <w:tc>
          <w:tcPr>
            <w:tcW w:w="1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b/>
              </w:rPr>
            </w:pPr>
            <w:r>
              <w:rPr/>
              <w:t>Квалификация персонала исполнителя, привлекаемого к оказанию услуг</w:t>
            </w:r>
          </w:p>
        </w:tc>
        <w:tc>
          <w:tcPr>
            <w:tcW w:w="622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both"/>
              <w:rPr>
                <w:rFonts w:eastAsia="Calibri"/>
                <w:lang w:eastAsia="en-US"/>
              </w:rPr>
            </w:pPr>
            <w:r>
              <w:rPr>
                <w:rFonts w:eastAsia="Calibri"/>
                <w:lang w:eastAsia="en-US"/>
              </w:rPr>
              <w:t xml:space="preserve">В соответствии с Законом РФ от 11.03.1992 N 2487-1 "О частной детективной и охранной деятельности в Российской Федерации" исполнитель должен обеспечить Страхование жизни и здоровья работников Исполнителя, осуществляющих охрану объекта Заказчика. </w:t>
            </w:r>
          </w:p>
          <w:p>
            <w:pPr>
              <w:pStyle w:val="Normal"/>
              <w:widowControl w:val="false"/>
              <w:jc w:val="both"/>
              <w:rPr>
                <w:rFonts w:eastAsia="Calibri"/>
                <w:lang w:eastAsia="en-US"/>
              </w:rPr>
            </w:pPr>
            <w:r>
              <w:rPr>
                <w:rFonts w:eastAsia="Calibri"/>
                <w:lang w:eastAsia="en-US"/>
              </w:rPr>
              <w:t>Исполнитель должен иметь в управленческом аппарате не менее двух специально выделенных работников, проводящих проверки несения службы на объекте охраны. Соответствие установленному требованию подтверждается путем представления Исполнителем закупки в составе заявки сведений по форме «Справка о кадровых ресурсах».</w:t>
            </w:r>
          </w:p>
          <w:p>
            <w:pPr>
              <w:pStyle w:val="Normal"/>
              <w:widowControl w:val="false"/>
              <w:jc w:val="both"/>
              <w:rPr>
                <w:rFonts w:eastAsia="Calibri"/>
                <w:lang w:eastAsia="en-US"/>
              </w:rPr>
            </w:pPr>
            <w:r>
              <w:rPr/>
              <w:t xml:space="preserve">Исполнитель должен иметь в штате, и/или привлеченный по договорам гражданско-правового характера, квалифицированный персонал (охранник) не менее </w:t>
            </w:r>
            <w:r>
              <w:rPr/>
              <w:t>36</w:t>
            </w:r>
            <w:r>
              <w:rPr/>
              <w:t xml:space="preserve"> человек для качественного оказания услуг.  При этом выставляемые на объект Заказчика вооруженные охранники должны иметь 6-й разряд, удостоверение охранника нового образца, с наличием свидетельства о прохождении ежегодного квалификационного экзамена, личную карточку охранника, выданную Федеральной службой войск национальной гвардии. Соответствие установленному требованию подтверждается путем представления Исполнителем закупки в составе заявки сведений по форме «Справка о кадровых ресурсах» с приложением копий удостоверений, дипломов о повышении квалификации, личных карточек.</w:t>
            </w:r>
          </w:p>
        </w:tc>
        <w:tc>
          <w:tcPr>
            <w:tcW w:w="285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Cs/>
                <w:color w:val="000000"/>
              </w:rPr>
            </w:pPr>
            <w:r>
              <w:rPr>
                <w:i/>
                <w:iCs/>
              </w:rPr>
              <w:t>Согласие с требованием</w:t>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bCs/>
                <w:color w:val="000000"/>
              </w:rPr>
            </w:pPr>
            <w:r>
              <w:rPr>
                <w:b/>
                <w:bCs/>
                <w:color w:val="000000"/>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bCs/>
                <w:color w:val="000000"/>
              </w:rPr>
            </w:pPr>
            <w:r>
              <w:rPr>
                <w:b/>
                <w:bCs/>
                <w:color w:val="000000"/>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1.5.</w:t>
            </w:r>
          </w:p>
        </w:tc>
        <w:tc>
          <w:tcPr>
            <w:tcW w:w="7874"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b/>
              </w:rPr>
            </w:pPr>
            <w:r>
              <w:rPr>
                <w:b/>
              </w:rPr>
              <w:t>Требования к процедурам оказания услуг</w:t>
            </w:r>
          </w:p>
        </w:tc>
        <w:tc>
          <w:tcPr>
            <w:tcW w:w="285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1.5.1</w:t>
            </w:r>
          </w:p>
        </w:tc>
        <w:tc>
          <w:tcPr>
            <w:tcW w:w="1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b/>
              </w:rPr>
            </w:pPr>
            <w:r>
              <w:rPr/>
              <w:t>Организационно-технические мероприятия по допуску персонала исполнителя</w:t>
            </w:r>
          </w:p>
        </w:tc>
        <w:tc>
          <w:tcPr>
            <w:tcW w:w="622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Совместно с договором оказания услуг охраны заключить соглашение о конфиденциальности полученной от Заказчика информации по форме Приложения №1 к настоящим техническим требованиям;</w:t>
            </w:r>
          </w:p>
          <w:p>
            <w:pPr>
              <w:pStyle w:val="Normal"/>
              <w:widowControl w:val="false"/>
              <w:jc w:val="both"/>
              <w:rPr/>
            </w:pPr>
            <w:r>
              <w:rPr/>
              <w:t>Допуск персонала исполнителя для оказания услуг должен осуществляться в соответствии с «Положением о пропускном и внутриобъектовом режимах филиала ПАО «РусГидро» - «Северо-Осетинский филиал»» (Приложение №8 к Договору)».</w:t>
            </w:r>
          </w:p>
          <w:p>
            <w:pPr>
              <w:pStyle w:val="Normal"/>
              <w:widowControl w:val="false"/>
              <w:jc w:val="both"/>
              <w:rPr>
                <w:b/>
              </w:rPr>
            </w:pPr>
            <w:r>
              <w:rPr/>
              <w:t>Подготовку рабочих мест и допуск к оказанию услуг выполняет персонал заказчика.</w:t>
            </w:r>
          </w:p>
        </w:tc>
        <w:tc>
          <w:tcPr>
            <w:tcW w:w="285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i/>
                <w:iCs/>
              </w:rPr>
              <w:t>Согласие с требованием</w:t>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2.</w:t>
            </w:r>
          </w:p>
        </w:tc>
        <w:tc>
          <w:tcPr>
            <w:tcW w:w="7874"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t>Требования к результатам услуг</w:t>
            </w:r>
          </w:p>
        </w:tc>
        <w:tc>
          <w:tcPr>
            <w:tcW w:w="285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2.1.</w:t>
            </w:r>
          </w:p>
        </w:tc>
        <w:tc>
          <w:tcPr>
            <w:tcW w:w="7874"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t>Требования к документации, описывающей результат оказания услуг</w:t>
            </w:r>
          </w:p>
        </w:tc>
        <w:tc>
          <w:tcPr>
            <w:tcW w:w="285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2.1.1</w:t>
            </w:r>
          </w:p>
        </w:tc>
        <w:tc>
          <w:tcPr>
            <w:tcW w:w="1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b/>
              </w:rPr>
            </w:pPr>
            <w:r>
              <w:rPr/>
              <w:t>Результат оказания услуг</w:t>
            </w:r>
          </w:p>
        </w:tc>
        <w:tc>
          <w:tcPr>
            <w:tcW w:w="622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t xml:space="preserve">Обеспечение требований Правил по обеспечению безопасности и антитеррористической защищенности объекта </w:t>
            </w:r>
            <w:r>
              <w:rPr>
                <w:lang w:eastAsia="en-US"/>
              </w:rPr>
              <w:t xml:space="preserve">Дзауджикауская </w:t>
            </w:r>
            <w:r>
              <w:rPr/>
              <w:t>ГЭС.</w:t>
            </w:r>
          </w:p>
        </w:tc>
        <w:tc>
          <w:tcPr>
            <w:tcW w:w="285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i/>
                <w:iCs/>
              </w:rPr>
              <w:t>Согласие с требованием</w:t>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3.</w:t>
            </w:r>
          </w:p>
        </w:tc>
        <w:tc>
          <w:tcPr>
            <w:tcW w:w="7874"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t>Требования к соблюдению положений нормативной и иной обязательной для исполнителя документации, определяемой видами услуг</w:t>
            </w:r>
          </w:p>
        </w:tc>
        <w:tc>
          <w:tcPr>
            <w:tcW w:w="285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3.1.</w:t>
            </w:r>
          </w:p>
        </w:tc>
        <w:tc>
          <w:tcPr>
            <w:tcW w:w="1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b/>
              </w:rPr>
            </w:pPr>
            <w:r>
              <w:rPr/>
              <w:t>Соблюдение при выполнении работ норм и правил нормативно-технических документов</w:t>
            </w:r>
          </w:p>
        </w:tc>
        <w:tc>
          <w:tcPr>
            <w:tcW w:w="622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Услуги должны осуществляться в соответствии с национальными, отраслевыми и корпоративными (ПАО «РусГидро») нормативно-техническими документами (НТД) и нормативно-правовыми актами (НПА):</w:t>
            </w:r>
          </w:p>
          <w:p>
            <w:pPr>
              <w:pStyle w:val="Normal"/>
              <w:widowControl w:val="false"/>
              <w:tabs>
                <w:tab w:val="clear" w:pos="709"/>
                <w:tab w:val="left" w:pos="426" w:leader="none"/>
              </w:tabs>
              <w:spacing w:before="60" w:after="60"/>
              <w:jc w:val="both"/>
              <w:rPr/>
            </w:pPr>
            <w:r>
              <w:rPr/>
              <w:t>-Федеральный закон «О безопасности объектов топливно-энергетического комплекса» от 21.07.2011 года № 256-ФЗ;</w:t>
            </w:r>
          </w:p>
          <w:p>
            <w:pPr>
              <w:pStyle w:val="Normal"/>
              <w:widowControl w:val="false"/>
              <w:tabs>
                <w:tab w:val="clear" w:pos="709"/>
                <w:tab w:val="left" w:pos="426" w:leader="none"/>
              </w:tabs>
              <w:spacing w:before="60" w:after="60"/>
              <w:jc w:val="both"/>
              <w:rPr/>
            </w:pPr>
            <w:r>
              <w:rPr/>
              <w:t>-Постановление Правительства РФ от 08.12.2022 г. №2258 «Об утверждении специальных требований к частным охранным организациям, которые вправе осуществлять физическую защиту объектов топливно-энергетического комплекса в соответствии с пунктами 2 и 3 части 4 статьи 9 Федерального закона «О безопасности  объектов топливно-энергетического комплекса»;</w:t>
            </w:r>
          </w:p>
          <w:p>
            <w:pPr>
              <w:pStyle w:val="Normal"/>
              <w:widowControl w:val="false"/>
              <w:jc w:val="both"/>
              <w:rPr/>
            </w:pPr>
            <w:r>
              <w:rPr/>
              <w:t>- При оказании услуг должны выполняться все требования ПТБ, ППБ, ПТЭ и требования внутренних документов и правил, действующих на предприятии. Все проводимые работы должны быть согласованы с полномочными представителями Заказчика, список которых Заказчик предоставляет Исполнителю перед началом проводимых работ.</w:t>
            </w:r>
          </w:p>
        </w:tc>
        <w:tc>
          <w:tcPr>
            <w:tcW w:w="285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i/>
                <w:iCs/>
              </w:rPr>
              <w:t>Согласие с требованием</w:t>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r>
    </w:tbl>
    <w:p>
      <w:pPr>
        <w:sectPr>
          <w:headerReference w:type="default" r:id="rId2"/>
          <w:type w:val="nextPage"/>
          <w:pgSz w:orient="landscape" w:w="16838" w:h="11906"/>
          <w:pgMar w:left="278" w:right="992" w:gutter="0" w:header="284" w:top="1418" w:footer="0" w:bottom="851"/>
          <w:pgNumType w:fmt="decimal"/>
          <w:formProt w:val="false"/>
          <w:textDirection w:val="lrTb"/>
          <w:docGrid w:type="default" w:linePitch="360" w:charSpace="0"/>
        </w:sectPr>
      </w:pPr>
    </w:p>
    <w:p>
      <w:pPr>
        <w:pStyle w:val="Normal"/>
        <w:keepNext w:val="true"/>
        <w:numPr>
          <w:ilvl w:val="0"/>
          <w:numId w:val="0"/>
        </w:numPr>
        <w:spacing w:before="120" w:after="0"/>
        <w:ind w:hanging="0" w:left="0"/>
        <w:jc w:val="center"/>
        <w:outlineLvl w:val="0"/>
        <w:rPr>
          <w:rFonts w:eastAsia="Calibri"/>
          <w:b/>
          <w:lang w:val="x-none" w:eastAsia="x-none"/>
        </w:rPr>
      </w:pPr>
      <w:r>
        <w:rPr>
          <w:rFonts w:eastAsia="Calibri"/>
          <w:b/>
          <w:lang w:eastAsia="x-none"/>
        </w:rPr>
        <w:t xml:space="preserve">3. </w:t>
      </w:r>
      <w:r>
        <w:rPr>
          <w:rFonts w:eastAsia="Calibri"/>
          <w:b/>
          <w:lang w:val="x-none" w:eastAsia="x-none"/>
        </w:rPr>
        <w:tab/>
        <w:t>Требования к документации по ценообразованию на этапе закупки</w:t>
      </w:r>
    </w:p>
    <w:p>
      <w:pPr>
        <w:pStyle w:val="Normal"/>
        <w:keepNext w:val="true"/>
        <w:numPr>
          <w:ilvl w:val="0"/>
          <w:numId w:val="0"/>
        </w:numPr>
        <w:spacing w:before="120" w:after="0"/>
        <w:ind w:hanging="0" w:left="0"/>
        <w:jc w:val="center"/>
        <w:outlineLvl w:val="0"/>
        <w:rPr>
          <w:rFonts w:eastAsia="Calibri"/>
          <w:b/>
          <w:sz w:val="16"/>
          <w:szCs w:val="16"/>
          <w:lang w:val="x-none" w:eastAsia="x-none"/>
        </w:rPr>
      </w:pPr>
      <w:r>
        <w:rPr>
          <w:rFonts w:eastAsia="Calibri"/>
          <w:b/>
          <w:sz w:val="16"/>
          <w:szCs w:val="16"/>
          <w:lang w:val="x-none" w:eastAsia="x-none"/>
        </w:rPr>
      </w:r>
    </w:p>
    <w:p>
      <w:pPr>
        <w:pStyle w:val="Normal"/>
        <w:tabs>
          <w:tab w:val="clear" w:pos="709"/>
          <w:tab w:val="left" w:pos="567" w:leader="none"/>
        </w:tabs>
        <w:jc w:val="both"/>
        <w:rPr>
          <w:rFonts w:eastAsia="Calibri"/>
          <w:b/>
          <w:lang w:eastAsia="x-none"/>
        </w:rPr>
      </w:pPr>
      <w:r>
        <w:rPr>
          <w:rFonts w:eastAsia="Calibri"/>
          <w:color w:val="000000"/>
          <w:lang w:eastAsia="en-US"/>
        </w:rPr>
        <w:t>3.1. В обоснование стоимости своей заявки Участник предоставляет Коммерческое предложение по форме (с учетом прилагаемой к ней инструкции по заполнению), приведенной в Документации о закупке (с указанием понижающего коэффициента).</w:t>
      </w:r>
    </w:p>
    <w:p>
      <w:pPr>
        <w:pStyle w:val="Normal"/>
        <w:jc w:val="both"/>
        <w:rPr>
          <w:rFonts w:eastAsia="Calibri"/>
          <w:lang w:eastAsia="en-US"/>
        </w:rPr>
      </w:pPr>
      <w:r>
        <w:rPr>
          <w:rFonts w:eastAsia="Calibri"/>
          <w:color w:val="000000"/>
          <w:lang w:eastAsia="en-US"/>
        </w:rPr>
        <w:t>3.2. П</w:t>
      </w:r>
      <w:r>
        <w:rPr/>
        <w:t>редставить р</w:t>
      </w:r>
      <w:r>
        <w:rPr>
          <w:rFonts w:eastAsia="Calibri"/>
          <w:lang w:eastAsia="en-US"/>
        </w:rPr>
        <w:t>асчет стоимости услуг охраны объекта Заказчика</w:t>
      </w:r>
      <w:r>
        <w:rPr/>
        <w:t xml:space="preserve"> </w:t>
      </w:r>
      <w:r>
        <w:rPr>
          <w:rFonts w:eastAsia="Calibri"/>
          <w:lang w:eastAsia="en-US"/>
        </w:rPr>
        <w:t>по форме таблицы №5</w:t>
      </w:r>
      <w:r>
        <w:rPr>
          <w:rFonts w:eastAsia="Calibri"/>
          <w:bCs/>
          <w:lang w:eastAsia="en-US"/>
        </w:rPr>
        <w:t>,</w:t>
      </w:r>
      <w:r>
        <w:rPr>
          <w:rFonts w:eastAsia="Calibri"/>
          <w:lang w:eastAsia="en-US"/>
        </w:rPr>
        <w:t xml:space="preserve"> либо распорядительный документ организации, утверждающий стоимость расценки (прейскурант) услуг физической охраны. </w:t>
      </w:r>
    </w:p>
    <w:p>
      <w:pPr>
        <w:pStyle w:val="Normal"/>
        <w:tabs>
          <w:tab w:val="clear" w:pos="709"/>
          <w:tab w:val="left" w:pos="426" w:leader="none"/>
        </w:tabs>
        <w:jc w:val="both"/>
        <w:rPr>
          <w:rFonts w:eastAsia="Calibri"/>
          <w:b/>
          <w:lang w:eastAsia="x-none"/>
        </w:rPr>
      </w:pPr>
      <w:r>
        <w:rPr>
          <w:rFonts w:eastAsia="Calibri"/>
          <w:lang w:eastAsia="en-US"/>
        </w:rPr>
        <w:t>3.3.</w:t>
        <w:tab/>
        <w:t xml:space="preserve">Стоимость за единицу продукции (услуги) должна включать в себя налоги, сборы, пошлины и другие обязательные платежи, стоимость расходных материалов, используемых при оказании услуг, расходы на содержание, эксплуатацию, перебазировку спецоборудования и инструментов, и прочие расходы, связанные с оказанием услуг, предусмотренные Проектом договора (Приложение №2 к Документации о закупке)». </w:t>
      </w:r>
    </w:p>
    <w:p>
      <w:pPr>
        <w:pStyle w:val="Normal"/>
        <w:jc w:val="both"/>
        <w:rPr>
          <w:rFonts w:eastAsia="Calibri"/>
          <w:lang w:eastAsia="en-US"/>
        </w:rPr>
      </w:pPr>
      <w:r>
        <w:rPr>
          <w:rFonts w:eastAsia="Calibri"/>
          <w:lang w:eastAsia="en-US"/>
        </w:rPr>
      </w:r>
    </w:p>
    <w:p>
      <w:pPr>
        <w:pStyle w:val="Normal"/>
        <w:shd w:val="clear" w:color="auto" w:fill="FFFFFF"/>
        <w:ind w:hanging="0" w:right="14"/>
        <w:jc w:val="right"/>
        <w:rPr>
          <w:rFonts w:eastAsia="Calibri"/>
          <w:lang w:eastAsia="en-US"/>
        </w:rPr>
      </w:pPr>
      <w:r>
        <w:rPr>
          <w:rFonts w:eastAsia="Calibri"/>
          <w:lang w:eastAsia="en-US"/>
        </w:rPr>
        <w:t xml:space="preserve">                                                                                                                         </w:t>
      </w:r>
      <w:r>
        <w:rPr>
          <w:rFonts w:eastAsia="Calibri"/>
          <w:lang w:eastAsia="en-US"/>
        </w:rPr>
        <w:t>Таблица №5.</w:t>
      </w:r>
    </w:p>
    <w:tbl>
      <w:tblPr>
        <w:tblW w:w="9531"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2125"/>
        <w:gridCol w:w="1695"/>
        <w:gridCol w:w="2028"/>
        <w:gridCol w:w="1663"/>
        <w:gridCol w:w="2020"/>
      </w:tblGrid>
      <w:tr>
        <w:trPr>
          <w:trHeight w:val="300" w:hRule="atLeast"/>
        </w:trPr>
        <w:tc>
          <w:tcPr>
            <w:tcW w:w="9531" w:type="dxa"/>
            <w:gridSpan w:val="5"/>
            <w:tcBorders>
              <w:bottom w:val="single" w:sz="4" w:space="0" w:color="000000"/>
            </w:tcBorders>
            <w:vAlign w:val="center"/>
          </w:tcPr>
          <w:p>
            <w:pPr>
              <w:pStyle w:val="Normal"/>
              <w:widowControl w:val="false"/>
              <w:jc w:val="center"/>
              <w:rPr>
                <w:bCs/>
                <w:color w:val="000000"/>
              </w:rPr>
            </w:pPr>
            <w:r>
              <w:rPr>
                <w:bCs/>
                <w:color w:val="000000"/>
              </w:rPr>
              <w:t xml:space="preserve">Расчет стоимости услуг </w:t>
            </w:r>
          </w:p>
        </w:tc>
      </w:tr>
      <w:tr>
        <w:trPr>
          <w:trHeight w:val="1425" w:hRule="atLeast"/>
        </w:trPr>
        <w:tc>
          <w:tcPr>
            <w:tcW w:w="212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rPr>
            </w:pPr>
            <w:r>
              <w:rPr>
                <w:bCs/>
                <w:color w:val="000000"/>
              </w:rPr>
              <w:t>Наименование месяца</w:t>
            </w:r>
          </w:p>
        </w:tc>
        <w:tc>
          <w:tcPr>
            <w:tcW w:w="1695" w:type="dxa"/>
            <w:tcBorders>
              <w:top w:val="single" w:sz="4" w:space="0" w:color="000000"/>
              <w:bottom w:val="single" w:sz="4" w:space="0" w:color="000000"/>
              <w:right w:val="single" w:sz="4" w:space="0" w:color="000000"/>
            </w:tcBorders>
            <w:vAlign w:val="center"/>
          </w:tcPr>
          <w:p>
            <w:pPr>
              <w:pStyle w:val="Normal"/>
              <w:widowControl w:val="false"/>
              <w:jc w:val="center"/>
              <w:rPr>
                <w:bCs/>
                <w:color w:val="000000"/>
              </w:rPr>
            </w:pPr>
            <w:r>
              <w:rPr>
                <w:bCs/>
                <w:color w:val="000000"/>
              </w:rPr>
              <w:t>Количество часов охраны в сутки (час)</w:t>
            </w:r>
          </w:p>
        </w:tc>
        <w:tc>
          <w:tcPr>
            <w:tcW w:w="2028" w:type="dxa"/>
            <w:tcBorders>
              <w:top w:val="single" w:sz="4" w:space="0" w:color="000000"/>
              <w:bottom w:val="single" w:sz="4" w:space="0" w:color="000000"/>
              <w:right w:val="single" w:sz="4" w:space="0" w:color="000000"/>
            </w:tcBorders>
            <w:vAlign w:val="center"/>
          </w:tcPr>
          <w:p>
            <w:pPr>
              <w:pStyle w:val="Normal"/>
              <w:widowControl w:val="false"/>
              <w:jc w:val="center"/>
              <w:rPr>
                <w:bCs/>
                <w:color w:val="000000"/>
              </w:rPr>
            </w:pPr>
            <w:r>
              <w:rPr>
                <w:bCs/>
                <w:color w:val="000000"/>
              </w:rPr>
              <w:t>Количество часов охраны с 01.01.2026 г. по 31.12.2026 г. (час.)</w:t>
            </w:r>
          </w:p>
        </w:tc>
        <w:tc>
          <w:tcPr>
            <w:tcW w:w="1663" w:type="dxa"/>
            <w:tcBorders>
              <w:top w:val="single" w:sz="4" w:space="0" w:color="000000"/>
              <w:bottom w:val="single" w:sz="4" w:space="0" w:color="000000"/>
              <w:right w:val="single" w:sz="4" w:space="0" w:color="000000"/>
            </w:tcBorders>
            <w:vAlign w:val="center"/>
          </w:tcPr>
          <w:p>
            <w:pPr>
              <w:pStyle w:val="Normal"/>
              <w:widowControl w:val="false"/>
              <w:jc w:val="center"/>
              <w:rPr>
                <w:bCs/>
                <w:color w:val="000000"/>
              </w:rPr>
            </w:pPr>
            <w:r>
              <w:rPr>
                <w:bCs/>
                <w:color w:val="000000"/>
              </w:rPr>
              <w:t>Стоимость 1 часа охраны (руб. без НДС)</w:t>
            </w:r>
          </w:p>
        </w:tc>
        <w:tc>
          <w:tcPr>
            <w:tcW w:w="2020" w:type="dxa"/>
            <w:tcBorders>
              <w:top w:val="single" w:sz="4" w:space="0" w:color="000000"/>
              <w:bottom w:val="single" w:sz="4" w:space="0" w:color="000000"/>
              <w:right w:val="single" w:sz="4" w:space="0" w:color="000000"/>
            </w:tcBorders>
            <w:vAlign w:val="center"/>
          </w:tcPr>
          <w:p>
            <w:pPr>
              <w:pStyle w:val="Normal"/>
              <w:widowControl w:val="false"/>
              <w:jc w:val="center"/>
              <w:rPr>
                <w:bCs/>
                <w:color w:val="000000"/>
              </w:rPr>
            </w:pPr>
            <w:r>
              <w:rPr>
                <w:bCs/>
                <w:color w:val="000000"/>
              </w:rPr>
              <w:t xml:space="preserve">Всего стоимость </w:t>
            </w:r>
          </w:p>
          <w:p>
            <w:pPr>
              <w:pStyle w:val="Normal"/>
              <w:widowControl w:val="false"/>
              <w:jc w:val="center"/>
              <w:rPr>
                <w:bCs/>
                <w:color w:val="000000"/>
              </w:rPr>
            </w:pPr>
            <w:r>
              <w:rPr>
                <w:bCs/>
                <w:color w:val="000000"/>
              </w:rPr>
              <w:t>(руб. без НДС)</w:t>
            </w:r>
          </w:p>
        </w:tc>
      </w:tr>
      <w:tr>
        <w:trPr>
          <w:trHeight w:val="300" w:hRule="atLeast"/>
        </w:trPr>
        <w:tc>
          <w:tcPr>
            <w:tcW w:w="2125" w:type="dxa"/>
            <w:tcBorders>
              <w:left w:val="single" w:sz="4" w:space="0" w:color="000000"/>
              <w:bottom w:val="single" w:sz="4" w:space="0" w:color="000000"/>
              <w:right w:val="single" w:sz="4" w:space="0" w:color="000000"/>
            </w:tcBorders>
            <w:vAlign w:val="center"/>
          </w:tcPr>
          <w:p>
            <w:pPr>
              <w:pStyle w:val="Normal"/>
              <w:widowControl w:val="false"/>
              <w:jc w:val="center"/>
              <w:rPr>
                <w:bCs/>
                <w:color w:val="000000"/>
              </w:rPr>
            </w:pPr>
            <w:r>
              <w:rPr>
                <w:bCs/>
                <w:color w:val="000000"/>
              </w:rPr>
              <w:t>1</w:t>
            </w:r>
          </w:p>
        </w:tc>
        <w:tc>
          <w:tcPr>
            <w:tcW w:w="1695"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2</w:t>
            </w:r>
          </w:p>
        </w:tc>
        <w:tc>
          <w:tcPr>
            <w:tcW w:w="2028"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3</w:t>
            </w:r>
          </w:p>
        </w:tc>
        <w:tc>
          <w:tcPr>
            <w:tcW w:w="1663"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4</w:t>
            </w:r>
          </w:p>
        </w:tc>
        <w:tc>
          <w:tcPr>
            <w:tcW w:w="2020" w:type="dxa"/>
            <w:tcBorders>
              <w:bottom w:val="single" w:sz="4" w:space="0" w:color="000000"/>
              <w:right w:val="single" w:sz="4" w:space="0" w:color="000000"/>
            </w:tcBorders>
            <w:vAlign w:val="bottom"/>
          </w:tcPr>
          <w:p>
            <w:pPr>
              <w:pStyle w:val="Normal"/>
              <w:widowControl w:val="false"/>
              <w:jc w:val="center"/>
              <w:rPr>
                <w:bCs/>
                <w:color w:val="000000"/>
              </w:rPr>
            </w:pPr>
            <w:r>
              <w:rPr>
                <w:bCs/>
                <w:color w:val="000000"/>
              </w:rPr>
              <w:t>5</w:t>
            </w:r>
          </w:p>
        </w:tc>
      </w:tr>
      <w:tr>
        <w:trPr>
          <w:trHeight w:val="300" w:hRule="atLeast"/>
        </w:trPr>
        <w:tc>
          <w:tcPr>
            <w:tcW w:w="2125"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Январь</w:t>
            </w:r>
          </w:p>
        </w:tc>
        <w:tc>
          <w:tcPr>
            <w:tcW w:w="1695"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8"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663"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0" w:type="dxa"/>
            <w:tcBorders>
              <w:bottom w:val="single" w:sz="4" w:space="0" w:color="000000"/>
              <w:right w:val="single" w:sz="4" w:space="0" w:color="000000"/>
            </w:tcBorders>
            <w:vAlign w:val="bottom"/>
          </w:tcPr>
          <w:p>
            <w:pPr>
              <w:pStyle w:val="Normal"/>
              <w:widowControl w:val="false"/>
              <w:jc w:val="center"/>
              <w:rPr>
                <w:b/>
                <w:bCs/>
                <w:color w:val="000000"/>
              </w:rPr>
            </w:pPr>
            <w:r>
              <w:rPr>
                <w:b/>
                <w:bCs/>
                <w:color w:val="000000"/>
              </w:rPr>
              <w:t> </w:t>
            </w:r>
          </w:p>
        </w:tc>
      </w:tr>
      <w:tr>
        <w:trPr>
          <w:trHeight w:val="300" w:hRule="atLeast"/>
        </w:trPr>
        <w:tc>
          <w:tcPr>
            <w:tcW w:w="2125"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Февраль</w:t>
            </w:r>
          </w:p>
        </w:tc>
        <w:tc>
          <w:tcPr>
            <w:tcW w:w="1695"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8"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663"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0" w:type="dxa"/>
            <w:tcBorders>
              <w:bottom w:val="single" w:sz="4" w:space="0" w:color="000000"/>
              <w:right w:val="single" w:sz="4" w:space="0" w:color="000000"/>
            </w:tcBorders>
            <w:vAlign w:val="bottom"/>
          </w:tcPr>
          <w:p>
            <w:pPr>
              <w:pStyle w:val="Normal"/>
              <w:widowControl w:val="false"/>
              <w:jc w:val="center"/>
              <w:rPr>
                <w:b/>
                <w:bCs/>
                <w:color w:val="000000"/>
              </w:rPr>
            </w:pPr>
            <w:r>
              <w:rPr>
                <w:b/>
                <w:bCs/>
                <w:color w:val="000000"/>
              </w:rPr>
              <w:t> </w:t>
            </w:r>
          </w:p>
        </w:tc>
      </w:tr>
      <w:tr>
        <w:trPr>
          <w:trHeight w:val="300" w:hRule="atLeast"/>
        </w:trPr>
        <w:tc>
          <w:tcPr>
            <w:tcW w:w="2125"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Март</w:t>
            </w:r>
          </w:p>
        </w:tc>
        <w:tc>
          <w:tcPr>
            <w:tcW w:w="1695"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8"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663"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0" w:type="dxa"/>
            <w:tcBorders>
              <w:bottom w:val="single" w:sz="4" w:space="0" w:color="000000"/>
              <w:right w:val="single" w:sz="4" w:space="0" w:color="000000"/>
            </w:tcBorders>
            <w:vAlign w:val="bottom"/>
          </w:tcPr>
          <w:p>
            <w:pPr>
              <w:pStyle w:val="Normal"/>
              <w:widowControl w:val="false"/>
              <w:jc w:val="center"/>
              <w:rPr>
                <w:b/>
                <w:bCs/>
                <w:color w:val="000000"/>
              </w:rPr>
            </w:pPr>
            <w:r>
              <w:rPr>
                <w:b/>
                <w:bCs/>
                <w:color w:val="000000"/>
              </w:rPr>
              <w:t> </w:t>
            </w:r>
          </w:p>
        </w:tc>
      </w:tr>
      <w:tr>
        <w:trPr>
          <w:trHeight w:val="300" w:hRule="atLeast"/>
        </w:trPr>
        <w:tc>
          <w:tcPr>
            <w:tcW w:w="2125"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Апрель</w:t>
            </w:r>
          </w:p>
        </w:tc>
        <w:tc>
          <w:tcPr>
            <w:tcW w:w="1695"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8"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663"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0" w:type="dxa"/>
            <w:tcBorders>
              <w:bottom w:val="single" w:sz="4" w:space="0" w:color="000000"/>
              <w:right w:val="single" w:sz="4" w:space="0" w:color="000000"/>
            </w:tcBorders>
            <w:vAlign w:val="bottom"/>
          </w:tcPr>
          <w:p>
            <w:pPr>
              <w:pStyle w:val="Normal"/>
              <w:widowControl w:val="false"/>
              <w:jc w:val="center"/>
              <w:rPr>
                <w:b/>
                <w:bCs/>
                <w:color w:val="000000"/>
              </w:rPr>
            </w:pPr>
            <w:r>
              <w:rPr>
                <w:b/>
                <w:bCs/>
                <w:color w:val="000000"/>
              </w:rPr>
              <w:t> </w:t>
            </w:r>
          </w:p>
        </w:tc>
      </w:tr>
      <w:tr>
        <w:trPr>
          <w:trHeight w:val="300" w:hRule="atLeast"/>
        </w:trPr>
        <w:tc>
          <w:tcPr>
            <w:tcW w:w="2125"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Май</w:t>
            </w:r>
          </w:p>
        </w:tc>
        <w:tc>
          <w:tcPr>
            <w:tcW w:w="1695"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8"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663"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0" w:type="dxa"/>
            <w:tcBorders>
              <w:bottom w:val="single" w:sz="4" w:space="0" w:color="000000"/>
              <w:right w:val="single" w:sz="4" w:space="0" w:color="000000"/>
            </w:tcBorders>
            <w:vAlign w:val="bottom"/>
          </w:tcPr>
          <w:p>
            <w:pPr>
              <w:pStyle w:val="Normal"/>
              <w:widowControl w:val="false"/>
              <w:jc w:val="center"/>
              <w:rPr>
                <w:b/>
                <w:bCs/>
                <w:color w:val="000000"/>
              </w:rPr>
            </w:pPr>
            <w:r>
              <w:rPr>
                <w:b/>
                <w:bCs/>
                <w:color w:val="000000"/>
              </w:rPr>
              <w:t> </w:t>
            </w:r>
          </w:p>
        </w:tc>
      </w:tr>
      <w:tr>
        <w:trPr>
          <w:trHeight w:val="300" w:hRule="atLeast"/>
        </w:trPr>
        <w:tc>
          <w:tcPr>
            <w:tcW w:w="2125"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Июнь</w:t>
            </w:r>
          </w:p>
        </w:tc>
        <w:tc>
          <w:tcPr>
            <w:tcW w:w="1695"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8"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663"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0" w:type="dxa"/>
            <w:tcBorders>
              <w:bottom w:val="single" w:sz="4" w:space="0" w:color="000000"/>
              <w:right w:val="single" w:sz="4" w:space="0" w:color="000000"/>
            </w:tcBorders>
            <w:vAlign w:val="bottom"/>
          </w:tcPr>
          <w:p>
            <w:pPr>
              <w:pStyle w:val="Normal"/>
              <w:widowControl w:val="false"/>
              <w:jc w:val="center"/>
              <w:rPr>
                <w:b/>
                <w:bCs/>
                <w:color w:val="000000"/>
              </w:rPr>
            </w:pPr>
            <w:r>
              <w:rPr>
                <w:b/>
                <w:bCs/>
                <w:color w:val="000000"/>
              </w:rPr>
              <w:t> </w:t>
            </w:r>
          </w:p>
        </w:tc>
      </w:tr>
      <w:tr>
        <w:trPr>
          <w:trHeight w:val="300" w:hRule="atLeast"/>
        </w:trPr>
        <w:tc>
          <w:tcPr>
            <w:tcW w:w="2125"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Июль</w:t>
            </w:r>
          </w:p>
        </w:tc>
        <w:tc>
          <w:tcPr>
            <w:tcW w:w="1695"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8"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663"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0" w:type="dxa"/>
            <w:tcBorders>
              <w:bottom w:val="single" w:sz="4" w:space="0" w:color="000000"/>
              <w:right w:val="single" w:sz="4" w:space="0" w:color="000000"/>
            </w:tcBorders>
            <w:vAlign w:val="bottom"/>
          </w:tcPr>
          <w:p>
            <w:pPr>
              <w:pStyle w:val="Normal"/>
              <w:widowControl w:val="false"/>
              <w:jc w:val="center"/>
              <w:rPr>
                <w:b/>
                <w:bCs/>
                <w:color w:val="000000"/>
              </w:rPr>
            </w:pPr>
            <w:r>
              <w:rPr>
                <w:b/>
                <w:bCs/>
                <w:color w:val="000000"/>
              </w:rPr>
              <w:t> </w:t>
            </w:r>
          </w:p>
        </w:tc>
      </w:tr>
      <w:tr>
        <w:trPr>
          <w:trHeight w:val="300" w:hRule="atLeast"/>
        </w:trPr>
        <w:tc>
          <w:tcPr>
            <w:tcW w:w="2125"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Август</w:t>
            </w:r>
          </w:p>
        </w:tc>
        <w:tc>
          <w:tcPr>
            <w:tcW w:w="1695"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8"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663"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0" w:type="dxa"/>
            <w:tcBorders>
              <w:bottom w:val="single" w:sz="4" w:space="0" w:color="000000"/>
              <w:right w:val="single" w:sz="4" w:space="0" w:color="000000"/>
            </w:tcBorders>
            <w:vAlign w:val="bottom"/>
          </w:tcPr>
          <w:p>
            <w:pPr>
              <w:pStyle w:val="Normal"/>
              <w:widowControl w:val="false"/>
              <w:jc w:val="center"/>
              <w:rPr>
                <w:b/>
                <w:bCs/>
                <w:color w:val="000000"/>
              </w:rPr>
            </w:pPr>
            <w:r>
              <w:rPr>
                <w:b/>
                <w:bCs/>
                <w:color w:val="000000"/>
              </w:rPr>
              <w:t> </w:t>
            </w:r>
          </w:p>
        </w:tc>
      </w:tr>
      <w:tr>
        <w:trPr>
          <w:trHeight w:val="300" w:hRule="atLeast"/>
        </w:trPr>
        <w:tc>
          <w:tcPr>
            <w:tcW w:w="2125"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Сентябрь</w:t>
            </w:r>
          </w:p>
        </w:tc>
        <w:tc>
          <w:tcPr>
            <w:tcW w:w="1695"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2028"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1663"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2020"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r>
      <w:tr>
        <w:trPr>
          <w:trHeight w:val="300" w:hRule="atLeast"/>
        </w:trPr>
        <w:tc>
          <w:tcPr>
            <w:tcW w:w="2125"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Октябрь</w:t>
            </w:r>
          </w:p>
        </w:tc>
        <w:tc>
          <w:tcPr>
            <w:tcW w:w="1695"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2028"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1663"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2020"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r>
      <w:tr>
        <w:trPr>
          <w:trHeight w:val="300" w:hRule="atLeast"/>
        </w:trPr>
        <w:tc>
          <w:tcPr>
            <w:tcW w:w="2125"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Ноябрь</w:t>
            </w:r>
          </w:p>
        </w:tc>
        <w:tc>
          <w:tcPr>
            <w:tcW w:w="1695"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2028"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1663"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2020"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r>
      <w:tr>
        <w:trPr>
          <w:trHeight w:val="300" w:hRule="atLeast"/>
        </w:trPr>
        <w:tc>
          <w:tcPr>
            <w:tcW w:w="2125"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Декабрь</w:t>
            </w:r>
          </w:p>
        </w:tc>
        <w:tc>
          <w:tcPr>
            <w:tcW w:w="1695"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2028"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1663"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2020"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r>
      <w:tr>
        <w:trPr>
          <w:trHeight w:val="300" w:hRule="atLeast"/>
        </w:trPr>
        <w:tc>
          <w:tcPr>
            <w:tcW w:w="2125" w:type="dxa"/>
            <w:tcBorders>
              <w:left w:val="single" w:sz="4" w:space="0" w:color="000000"/>
              <w:bottom w:val="single" w:sz="4" w:space="0" w:color="000000"/>
              <w:right w:val="single" w:sz="4" w:space="0" w:color="000000"/>
            </w:tcBorders>
            <w:vAlign w:val="center"/>
          </w:tcPr>
          <w:p>
            <w:pPr>
              <w:pStyle w:val="Normal"/>
              <w:widowControl w:val="false"/>
              <w:rPr>
                <w:b/>
                <w:bCs/>
                <w:color w:val="000000"/>
              </w:rPr>
            </w:pPr>
            <w:r>
              <w:rPr>
                <w:b/>
                <w:bCs/>
                <w:color w:val="000000"/>
              </w:rPr>
              <w:t>Итого:</w:t>
            </w:r>
          </w:p>
        </w:tc>
        <w:tc>
          <w:tcPr>
            <w:tcW w:w="1695"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8"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663"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0" w:type="dxa"/>
            <w:tcBorders>
              <w:bottom w:val="single" w:sz="4" w:space="0" w:color="000000"/>
              <w:right w:val="single" w:sz="4" w:space="0" w:color="000000"/>
            </w:tcBorders>
            <w:vAlign w:val="center"/>
          </w:tcPr>
          <w:p>
            <w:pPr>
              <w:pStyle w:val="Normal"/>
              <w:widowControl w:val="false"/>
              <w:jc w:val="center"/>
              <w:rPr>
                <w:b/>
                <w:bCs/>
                <w:color w:val="000000"/>
              </w:rPr>
            </w:pPr>
            <w:r>
              <w:rPr>
                <w:b/>
                <w:bCs/>
                <w:color w:val="000000"/>
              </w:rPr>
              <w:t> </w:t>
            </w:r>
          </w:p>
        </w:tc>
      </w:tr>
    </w:tbl>
    <w:p>
      <w:pPr>
        <w:pStyle w:val="Normal"/>
        <w:suppressAutoHyphens w:val="false"/>
        <w:spacing w:before="60" w:after="0"/>
        <w:jc w:val="both"/>
        <w:rPr>
          <w:iCs/>
          <w:lang w:eastAsia="x-none"/>
        </w:rPr>
      </w:pPr>
      <w:r>
        <w:rPr>
          <w:iCs/>
          <w:lang w:eastAsia="x-none"/>
        </w:rPr>
      </w:r>
    </w:p>
    <w:p>
      <w:pPr>
        <w:pStyle w:val="Normal"/>
        <w:jc w:val="both"/>
        <w:rPr>
          <w:rFonts w:eastAsia="Calibri"/>
          <w:b/>
          <w:bCs/>
          <w:iCs/>
          <w:lang w:eastAsia="x-none"/>
        </w:rPr>
      </w:pPr>
      <w:r>
        <w:rPr>
          <w:rFonts w:eastAsia="Calibri"/>
          <w:b/>
          <w:bCs/>
          <w:iCs/>
          <w:lang w:eastAsia="x-none"/>
        </w:rPr>
      </w:r>
    </w:p>
    <w:p>
      <w:pPr>
        <w:pStyle w:val="Normal"/>
        <w:keepNext w:val="true"/>
        <w:numPr>
          <w:ilvl w:val="0"/>
          <w:numId w:val="0"/>
        </w:numPr>
        <w:spacing w:before="120" w:after="0"/>
        <w:ind w:hanging="0" w:left="0"/>
        <w:jc w:val="center"/>
        <w:outlineLvl w:val="0"/>
        <w:rPr>
          <w:rFonts w:eastAsia="Calibri"/>
          <w:b/>
          <w:lang w:eastAsia="x-none"/>
        </w:rPr>
      </w:pPr>
      <w:r>
        <w:rPr>
          <w:rFonts w:eastAsia="Calibri"/>
          <w:b/>
          <w:lang w:eastAsia="x-none"/>
        </w:rPr>
      </w:r>
    </w:p>
    <w:p>
      <w:pPr>
        <w:pStyle w:val="Normal"/>
        <w:keepNext w:val="true"/>
        <w:numPr>
          <w:ilvl w:val="0"/>
          <w:numId w:val="0"/>
        </w:numPr>
        <w:spacing w:before="120" w:after="0"/>
        <w:ind w:hanging="0" w:left="0"/>
        <w:jc w:val="center"/>
        <w:outlineLvl w:val="0"/>
        <w:rPr>
          <w:rFonts w:eastAsia="Calibri"/>
          <w:b/>
          <w:lang w:eastAsia="x-none"/>
        </w:rPr>
      </w:pPr>
      <w:r>
        <w:rPr>
          <w:rFonts w:eastAsia="Calibri"/>
          <w:b/>
          <w:lang w:eastAsia="x-none"/>
        </w:rPr>
      </w:r>
    </w:p>
    <w:p>
      <w:pPr>
        <w:pStyle w:val="Normal"/>
        <w:keepNext w:val="true"/>
        <w:numPr>
          <w:ilvl w:val="0"/>
          <w:numId w:val="0"/>
        </w:numPr>
        <w:spacing w:before="120" w:after="0"/>
        <w:ind w:hanging="0" w:left="0"/>
        <w:jc w:val="center"/>
        <w:outlineLvl w:val="0"/>
        <w:rPr>
          <w:rFonts w:eastAsia="Calibri"/>
          <w:b/>
          <w:lang w:eastAsia="x-none"/>
        </w:rPr>
      </w:pPr>
      <w:r>
        <w:rPr>
          <w:rFonts w:eastAsia="Calibri"/>
          <w:b/>
          <w:lang w:eastAsia="x-none"/>
        </w:rPr>
      </w:r>
    </w:p>
    <w:p>
      <w:pPr>
        <w:pStyle w:val="Normal"/>
        <w:keepNext w:val="true"/>
        <w:numPr>
          <w:ilvl w:val="0"/>
          <w:numId w:val="0"/>
        </w:numPr>
        <w:spacing w:before="120" w:after="0"/>
        <w:ind w:hanging="0" w:left="0"/>
        <w:jc w:val="center"/>
        <w:outlineLvl w:val="0"/>
        <w:rPr>
          <w:rFonts w:eastAsia="Calibri"/>
          <w:b/>
          <w:lang w:eastAsia="x-none"/>
        </w:rPr>
      </w:pPr>
      <w:r>
        <w:rPr>
          <w:rFonts w:eastAsia="Calibri"/>
          <w:b/>
          <w:lang w:eastAsia="x-none"/>
        </w:rPr>
      </w:r>
    </w:p>
    <w:p>
      <w:pPr>
        <w:pStyle w:val="Normal"/>
        <w:keepNext w:val="true"/>
        <w:numPr>
          <w:ilvl w:val="0"/>
          <w:numId w:val="0"/>
        </w:numPr>
        <w:spacing w:before="120" w:after="0"/>
        <w:ind w:hanging="0" w:left="0"/>
        <w:jc w:val="center"/>
        <w:outlineLvl w:val="0"/>
        <w:rPr>
          <w:rFonts w:eastAsia="Calibri"/>
          <w:b/>
          <w:lang w:eastAsia="x-none"/>
        </w:rPr>
      </w:pPr>
      <w:r>
        <w:rPr>
          <w:rFonts w:eastAsia="Calibri"/>
          <w:b/>
          <w:lang w:eastAsia="x-none"/>
        </w:rPr>
      </w:r>
    </w:p>
    <w:p>
      <w:pPr>
        <w:pStyle w:val="Normal"/>
        <w:keepNext w:val="true"/>
        <w:numPr>
          <w:ilvl w:val="0"/>
          <w:numId w:val="0"/>
        </w:numPr>
        <w:spacing w:before="120" w:after="0"/>
        <w:ind w:hanging="0" w:left="0"/>
        <w:jc w:val="center"/>
        <w:outlineLvl w:val="0"/>
        <w:rPr>
          <w:rFonts w:eastAsia="Calibri"/>
          <w:b/>
          <w:lang w:eastAsia="x-none"/>
        </w:rPr>
      </w:pPr>
      <w:r>
        <w:rPr>
          <w:rFonts w:eastAsia="Calibri"/>
          <w:b/>
          <w:lang w:eastAsia="x-none"/>
        </w:rPr>
      </w:r>
    </w:p>
    <w:p>
      <w:pPr>
        <w:pStyle w:val="Normal"/>
        <w:keepNext w:val="true"/>
        <w:numPr>
          <w:ilvl w:val="0"/>
          <w:numId w:val="0"/>
        </w:numPr>
        <w:spacing w:before="120" w:after="0"/>
        <w:ind w:hanging="0" w:left="0"/>
        <w:jc w:val="center"/>
        <w:outlineLvl w:val="0"/>
        <w:rPr>
          <w:rFonts w:eastAsia="Calibri"/>
          <w:b/>
          <w:lang w:eastAsia="x-none"/>
        </w:rPr>
      </w:pPr>
      <w:r>
        <w:rPr>
          <w:rFonts w:eastAsia="Calibri"/>
          <w:b/>
          <w:lang w:eastAsia="x-none"/>
        </w:rPr>
      </w:r>
    </w:p>
    <w:p>
      <w:pPr>
        <w:pStyle w:val="Normal"/>
        <w:keepNext w:val="true"/>
        <w:numPr>
          <w:ilvl w:val="0"/>
          <w:numId w:val="0"/>
        </w:numPr>
        <w:spacing w:before="120" w:after="0"/>
        <w:ind w:hanging="0" w:left="0"/>
        <w:jc w:val="center"/>
        <w:outlineLvl w:val="0"/>
        <w:rPr>
          <w:rFonts w:eastAsia="Calibri"/>
          <w:b/>
          <w:lang w:eastAsia="x-none"/>
        </w:rPr>
      </w:pPr>
      <w:r>
        <w:rPr>
          <w:rFonts w:eastAsia="Calibri"/>
          <w:b/>
          <w:lang w:eastAsia="x-none"/>
        </w:rPr>
      </w:r>
    </w:p>
    <w:p>
      <w:pPr>
        <w:pStyle w:val="Normal"/>
        <w:rPr>
          <w:rFonts w:eastAsia="Calibri"/>
          <w:b/>
          <w:lang w:eastAsia="x-none"/>
        </w:rPr>
      </w:pPr>
      <w:r>
        <w:rPr>
          <w:rFonts w:eastAsia="Calibri"/>
          <w:b/>
          <w:lang w:eastAsia="x-none"/>
        </w:rPr>
      </w:r>
      <w:r>
        <w:br w:type="page"/>
      </w:r>
    </w:p>
    <w:p>
      <w:pPr>
        <w:pStyle w:val="Normal"/>
        <w:keepNext w:val="true"/>
        <w:numPr>
          <w:ilvl w:val="0"/>
          <w:numId w:val="0"/>
        </w:numPr>
        <w:spacing w:before="120" w:after="0"/>
        <w:ind w:hanging="0" w:left="0"/>
        <w:jc w:val="center"/>
        <w:outlineLvl w:val="0"/>
        <w:rPr>
          <w:rFonts w:eastAsia="Calibri"/>
          <w:b/>
          <w:lang w:val="x-none" w:eastAsia="x-none"/>
        </w:rPr>
      </w:pPr>
      <w:r>
        <w:rPr>
          <w:rFonts w:eastAsia="Calibri"/>
          <w:b/>
          <w:lang w:eastAsia="x-none"/>
        </w:rPr>
        <w:t xml:space="preserve">4. </w:t>
      </w:r>
      <w:bookmarkStart w:id="0" w:name="_Toc54647836"/>
      <w:bookmarkStart w:id="1" w:name="_Toc54643138"/>
      <w:bookmarkStart w:id="2" w:name="_Toc54618152"/>
      <w:bookmarkStart w:id="3" w:name="_Toc54279845"/>
      <w:r>
        <w:rPr>
          <w:rFonts w:eastAsia="Calibri"/>
          <w:b/>
          <w:lang w:val="x-none" w:eastAsia="x-none"/>
        </w:rPr>
        <w:t>Требования к документации по ценообразованию на этапе заключения</w:t>
      </w:r>
      <w:r>
        <w:rPr>
          <w:rFonts w:eastAsia="Calibri"/>
          <w:b/>
          <w:lang w:eastAsia="x-none"/>
        </w:rPr>
        <w:t xml:space="preserve"> (исполнения)</w:t>
      </w:r>
      <w:r>
        <w:rPr>
          <w:rFonts w:eastAsia="Calibri"/>
          <w:b/>
          <w:lang w:val="x-none" w:eastAsia="x-none"/>
        </w:rPr>
        <w:t xml:space="preserve"> договора</w:t>
      </w:r>
      <w:bookmarkEnd w:id="0"/>
      <w:bookmarkEnd w:id="1"/>
      <w:bookmarkEnd w:id="2"/>
      <w:bookmarkEnd w:id="3"/>
    </w:p>
    <w:p>
      <w:pPr>
        <w:pStyle w:val="Normal"/>
        <w:keepNext w:val="true"/>
        <w:numPr>
          <w:ilvl w:val="0"/>
          <w:numId w:val="0"/>
        </w:numPr>
        <w:spacing w:before="120" w:after="0"/>
        <w:ind w:hanging="0" w:left="0"/>
        <w:jc w:val="center"/>
        <w:outlineLvl w:val="0"/>
        <w:rPr>
          <w:rFonts w:eastAsia="Calibri"/>
          <w:b/>
          <w:sz w:val="4"/>
          <w:szCs w:val="4"/>
          <w:lang w:val="x-none" w:eastAsia="x-none"/>
        </w:rPr>
      </w:pPr>
      <w:r>
        <w:rPr>
          <w:rFonts w:eastAsia="Calibri"/>
          <w:b/>
          <w:sz w:val="4"/>
          <w:szCs w:val="4"/>
          <w:lang w:val="x-none" w:eastAsia="x-none"/>
        </w:rPr>
      </w:r>
    </w:p>
    <w:p>
      <w:pPr>
        <w:pStyle w:val="Normal"/>
        <w:numPr>
          <w:ilvl w:val="1"/>
          <w:numId w:val="7"/>
        </w:numPr>
        <w:suppressAutoHyphens w:val="false"/>
        <w:spacing w:before="0" w:after="120"/>
        <w:ind w:hanging="0" w:left="0"/>
        <w:jc w:val="both"/>
        <w:rPr>
          <w:iCs/>
          <w:lang w:eastAsia="x-none"/>
        </w:rPr>
      </w:pPr>
      <w:r>
        <w:rPr>
          <w:iCs/>
          <w:lang w:eastAsia="x-none"/>
        </w:rPr>
        <w:t>По результатам настоящей закупки заключается договор с ценой, равной начальной (максимальной) цене договора, установленной в Документации о закупке (с указанием понижающего коэффициента), предложенными в заявке Победителем.</w:t>
      </w:r>
    </w:p>
    <w:p>
      <w:pPr>
        <w:pStyle w:val="Normal"/>
        <w:suppressAutoHyphens w:val="false"/>
        <w:jc w:val="both"/>
        <w:rPr>
          <w:iCs/>
          <w:lang w:eastAsia="x-none"/>
        </w:rPr>
      </w:pPr>
      <w:r>
        <w:rPr>
          <w:iCs/>
          <w:lang w:eastAsia="x-none"/>
        </w:rPr>
        <w:t xml:space="preserve">4.2. </w:t>
      </w:r>
      <w:r>
        <w:rPr>
          <w:iCs/>
          <w:lang w:val="x-none" w:eastAsia="x-none"/>
        </w:rPr>
        <w:t>Порядок формировани</w:t>
      </w:r>
      <w:r>
        <w:rPr>
          <w:iCs/>
        </w:rPr>
        <w:t>я</w:t>
      </w:r>
      <w:r>
        <w:rPr>
          <w:iCs/>
          <w:lang w:val="x-none" w:eastAsia="x-none"/>
        </w:rPr>
        <w:t xml:space="preserve"> </w:t>
      </w:r>
      <w:r>
        <w:rPr>
          <w:iCs/>
          <w:lang w:eastAsia="x-none"/>
        </w:rPr>
        <w:t xml:space="preserve">на этапе исполнения договора </w:t>
      </w:r>
      <w:r>
        <w:rPr>
          <w:iCs/>
          <w:lang w:val="x-none" w:eastAsia="x-none"/>
        </w:rPr>
        <w:t>стоимост</w:t>
      </w:r>
      <w:r>
        <w:rPr>
          <w:iCs/>
        </w:rPr>
        <w:t>и</w:t>
      </w:r>
      <w:r>
        <w:rPr>
          <w:iCs/>
          <w:lang w:val="x-none" w:eastAsia="x-none"/>
        </w:rPr>
        <w:t xml:space="preserve"> </w:t>
      </w:r>
      <w:r>
        <w:rPr>
          <w:iCs/>
          <w:lang w:eastAsia="x-none"/>
        </w:rPr>
        <w:t>выполняемых услуг</w:t>
      </w:r>
      <w:r>
        <w:rPr>
          <w:iCs/>
          <w:lang w:val="x-none" w:eastAsia="x-none"/>
        </w:rPr>
        <w:t xml:space="preserve"> </w:t>
      </w:r>
      <w:r>
        <w:rPr>
          <w:iCs/>
          <w:lang w:eastAsia="x-none"/>
        </w:rPr>
        <w:t xml:space="preserve">по заявке заказчика </w:t>
      </w:r>
      <w:r>
        <w:rPr>
          <w:iCs/>
        </w:rPr>
        <w:t>установлен в Проекте договора (Приложение № 2 к Документации о закупке)».</w:t>
      </w:r>
    </w:p>
    <w:p>
      <w:pPr>
        <w:pStyle w:val="Normal"/>
        <w:ind w:firstLine="284"/>
        <w:jc w:val="both"/>
        <w:rPr>
          <w:rFonts w:eastAsia="Calibri"/>
          <w:b/>
          <w:bCs/>
          <w:iCs/>
          <w:sz w:val="16"/>
          <w:szCs w:val="16"/>
          <w:lang w:val="x-none" w:eastAsia="x-none"/>
        </w:rPr>
      </w:pPr>
      <w:r>
        <w:rPr>
          <w:rFonts w:eastAsia="Calibri"/>
          <w:b/>
          <w:bCs/>
          <w:iCs/>
          <w:sz w:val="16"/>
          <w:szCs w:val="16"/>
          <w:lang w:val="x-none" w:eastAsia="x-none"/>
        </w:rPr>
      </w:r>
    </w:p>
    <w:p>
      <w:pPr>
        <w:pStyle w:val="Normal"/>
        <w:spacing w:before="0" w:after="0"/>
        <w:ind w:firstLine="426"/>
        <w:contextualSpacing/>
        <w:jc w:val="center"/>
        <w:rPr>
          <w:rFonts w:eastAsia="Calibri"/>
          <w:b/>
          <w:lang w:eastAsia="x-none"/>
        </w:rPr>
      </w:pPr>
      <w:r>
        <w:rPr>
          <w:rFonts w:eastAsia="Calibri"/>
          <w:b/>
        </w:rPr>
        <w:t xml:space="preserve">4. </w:t>
      </w:r>
      <w:r>
        <w:rPr>
          <w:b/>
        </w:rPr>
        <w:t>Приложения</w:t>
      </w:r>
    </w:p>
    <w:p>
      <w:pPr>
        <w:pStyle w:val="Normal"/>
        <w:spacing w:before="0" w:after="0"/>
        <w:ind w:firstLine="426"/>
        <w:contextualSpacing/>
        <w:jc w:val="center"/>
        <w:rPr>
          <w:b/>
          <w:sz w:val="12"/>
          <w:szCs w:val="12"/>
        </w:rPr>
      </w:pPr>
      <w:r>
        <w:rPr>
          <w:b/>
          <w:sz w:val="12"/>
          <w:szCs w:val="12"/>
        </w:rPr>
      </w:r>
    </w:p>
    <w:p>
      <w:pPr>
        <w:pStyle w:val="Normal"/>
        <w:jc w:val="both"/>
        <w:rPr>
          <w:rFonts w:eastAsia="Calibri"/>
          <w:b/>
          <w:lang w:eastAsia="x-none"/>
        </w:rPr>
      </w:pPr>
      <w:r>
        <w:rPr/>
        <w:t>Приложение № 1. Соглашение о конфиденциальности</w:t>
      </w:r>
      <w:r>
        <w:rPr>
          <w:bCs/>
        </w:rPr>
        <w:t>.</w:t>
      </w:r>
    </w:p>
    <w:p>
      <w:pPr>
        <w:pStyle w:val="Normal"/>
        <w:jc w:val="both"/>
        <w:rPr>
          <w:rFonts w:eastAsia="Calibri"/>
          <w:b/>
          <w:lang w:eastAsia="x-none"/>
        </w:rPr>
      </w:pPr>
      <w:r>
        <w:rPr/>
        <w:t xml:space="preserve">Приложение №2. Анкета. </w:t>
      </w:r>
    </w:p>
    <w:p>
      <w:pPr>
        <w:pStyle w:val="Normal"/>
        <w:jc w:val="both"/>
        <w:rPr>
          <w:rFonts w:eastAsia="Calibri"/>
          <w:b/>
          <w:lang w:eastAsia="x-none"/>
        </w:rPr>
      </w:pPr>
      <w:r>
        <w:rPr/>
        <w:t>Приложение №3. Согласие на обработку персональных данных.</w:t>
      </w:r>
    </w:p>
    <w:p>
      <w:pPr>
        <w:pStyle w:val="Normal"/>
        <w:jc w:val="both"/>
        <w:rPr>
          <w:rFonts w:eastAsia="Calibri"/>
          <w:b/>
          <w:lang w:eastAsia="x-none"/>
        </w:rPr>
      </w:pPr>
      <w:r>
        <w:rPr>
          <w:bCs/>
        </w:rPr>
        <w:t>Приложение №4. Дислокация постов охраны.</w:t>
      </w:r>
    </w:p>
    <w:p>
      <w:pPr>
        <w:pStyle w:val="Normal"/>
        <w:jc w:val="both"/>
        <w:rPr>
          <w:bCs/>
        </w:rPr>
      </w:pPr>
      <w:r>
        <w:rPr>
          <w:bCs/>
        </w:rPr>
      </w:r>
    </w:p>
    <w:p>
      <w:pPr>
        <w:pStyle w:val="Normal"/>
        <w:jc w:val="both"/>
        <w:rPr>
          <w:lang w:eastAsia="en-US"/>
        </w:rPr>
      </w:pPr>
      <w:r>
        <w:rPr>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sz w:val="22"/>
          <w:szCs w:val="22"/>
          <w:lang w:eastAsia="en-US"/>
        </w:rPr>
      </w:pPr>
      <w:r>
        <w:rPr>
          <w:rFonts w:eastAsia="Calibri"/>
          <w:bCs/>
          <w:sz w:val="22"/>
          <w:szCs w:val="22"/>
          <w:lang w:eastAsia="en-US"/>
        </w:rPr>
        <w:t>Приложение №1</w:t>
      </w:r>
    </w:p>
    <w:p>
      <w:pPr>
        <w:pStyle w:val="Normal"/>
        <w:ind w:hanging="0" w:left="5812"/>
        <w:jc w:val="right"/>
        <w:rPr>
          <w:rFonts w:eastAsia="Calibri"/>
          <w:sz w:val="22"/>
          <w:szCs w:val="22"/>
          <w:lang w:eastAsia="en-US"/>
        </w:rPr>
      </w:pPr>
      <w:r>
        <w:rPr>
          <w:rFonts w:eastAsia="Calibri"/>
          <w:sz w:val="22"/>
          <w:szCs w:val="22"/>
          <w:lang w:eastAsia="en-US"/>
        </w:rPr>
        <w:t xml:space="preserve">к Техническим требованиям </w:t>
      </w:r>
    </w:p>
    <w:p>
      <w:pPr>
        <w:pStyle w:val="Normal"/>
        <w:ind w:hanging="0" w:left="5812"/>
        <w:jc w:val="right"/>
        <w:rPr>
          <w:rFonts w:eastAsia="Calibri"/>
          <w:lang w:eastAsia="en-US"/>
        </w:rPr>
      </w:pPr>
      <w:r>
        <w:rPr>
          <w:rFonts w:eastAsia="Calibri"/>
          <w:lang w:eastAsia="en-US"/>
        </w:rPr>
      </w:r>
    </w:p>
    <w:p>
      <w:pPr>
        <w:pStyle w:val="Normal"/>
        <w:jc w:val="center"/>
        <w:rPr>
          <w:rFonts w:eastAsia="Calibri"/>
          <w:b/>
          <w:lang w:eastAsia="en-US"/>
        </w:rPr>
      </w:pPr>
      <w:r>
        <w:rPr>
          <w:rFonts w:eastAsia="Calibri"/>
          <w:b/>
          <w:lang w:eastAsia="en-US"/>
        </w:rPr>
        <w:t>СОГЛАШЕНИЕ</w:t>
      </w:r>
    </w:p>
    <w:p>
      <w:pPr>
        <w:pStyle w:val="Normal"/>
        <w:jc w:val="center"/>
        <w:rPr>
          <w:rFonts w:eastAsia="Calibri"/>
          <w:b/>
          <w:lang w:eastAsia="en-US"/>
        </w:rPr>
      </w:pPr>
      <w:r>
        <w:rPr>
          <w:rFonts w:eastAsia="Calibri"/>
          <w:b/>
          <w:lang w:eastAsia="en-US"/>
        </w:rPr>
        <w:t>О КОНФИДЕНЦИАЛЬНОСТИ</w:t>
      </w:r>
    </w:p>
    <w:p>
      <w:pPr>
        <w:pStyle w:val="Normal"/>
        <w:ind w:hanging="0" w:right="-2"/>
        <w:jc w:val="center"/>
        <w:rPr>
          <w:rFonts w:eastAsia="Calibri"/>
          <w:lang w:eastAsia="en-US"/>
        </w:rPr>
      </w:pPr>
      <w:r>
        <w:rPr>
          <w:rFonts w:eastAsia="Calibri"/>
          <w:lang w:eastAsia="en-US"/>
        </w:rPr>
        <w:t>г. Владикавказ________                                             «___» ___________ 20___г.</w:t>
      </w:r>
    </w:p>
    <w:p>
      <w:pPr>
        <w:pStyle w:val="Normal"/>
        <w:ind w:firstLine="709" w:right="68"/>
        <w:jc w:val="center"/>
        <w:rPr>
          <w:rFonts w:eastAsia="Calibri"/>
          <w:lang w:eastAsia="en-US"/>
        </w:rPr>
      </w:pPr>
      <w:r>
        <w:rPr>
          <w:rFonts w:eastAsia="Calibri"/>
          <w:lang w:eastAsia="en-US"/>
        </w:rPr>
      </w:r>
    </w:p>
    <w:p>
      <w:pPr>
        <w:pStyle w:val="Normal"/>
        <w:ind w:firstLine="708"/>
        <w:jc w:val="both"/>
        <w:rPr>
          <w:rFonts w:eastAsia="Calibri"/>
          <w:b/>
          <w:lang w:eastAsia="x-none"/>
        </w:rPr>
      </w:pPr>
      <w:r>
        <w:rPr>
          <w:b/>
          <w:lang w:eastAsia="en-US"/>
        </w:rPr>
        <w:t>Публичное акционерное общество «Федеральная гидрогенерирующая компания - РусГидро» (ПАО «РусГидро»)</w:t>
      </w:r>
      <w:r>
        <w:rPr>
          <w:lang w:eastAsia="en-US"/>
        </w:rPr>
        <w:t xml:space="preserve"> (далее – «Передающая сторона»), в лице ______________________________, с одной стороны, и _________________________________________________________ (далее – «Принимающая сторона»), в лице _______________________, действующего на основании _____________________________________, с другой стороны,</w:t>
      </w:r>
    </w:p>
    <w:p>
      <w:pPr>
        <w:pStyle w:val="Normal"/>
        <w:ind w:firstLine="709"/>
        <w:jc w:val="both"/>
        <w:rPr>
          <w:lang w:eastAsia="en-US"/>
        </w:rPr>
      </w:pPr>
      <w:r>
        <w:rPr>
          <w:lang w:eastAsia="en-US"/>
        </w:rPr>
        <w:t>совместно в дальнейшем именуемые «Стороны», а по отдельности – «Сторона», заключили настоящее Соглашение о нижеследующем:</w:t>
      </w:r>
    </w:p>
    <w:p>
      <w:pPr>
        <w:pStyle w:val="Normal"/>
        <w:ind w:firstLine="709" w:right="68"/>
        <w:jc w:val="both"/>
        <w:rPr>
          <w:rFonts w:eastAsia="Calibri"/>
          <w:b/>
          <w:u w:val="single"/>
          <w:lang w:eastAsia="en-US"/>
        </w:rPr>
      </w:pPr>
      <w:r>
        <w:rPr>
          <w:rFonts w:eastAsia="Calibri"/>
          <w:b/>
          <w:u w:val="single"/>
          <w:lang w:eastAsia="en-US"/>
        </w:rPr>
      </w:r>
    </w:p>
    <w:p>
      <w:pPr>
        <w:pStyle w:val="Normal"/>
        <w:numPr>
          <w:ilvl w:val="0"/>
          <w:numId w:val="2"/>
        </w:numPr>
        <w:tabs>
          <w:tab w:val="clear" w:pos="709"/>
          <w:tab w:val="left" w:pos="284" w:leader="none"/>
        </w:tabs>
        <w:ind w:hanging="0" w:left="0"/>
        <w:jc w:val="center"/>
        <w:rPr>
          <w:b/>
          <w:lang w:eastAsia="en-US"/>
        </w:rPr>
      </w:pPr>
      <w:r>
        <w:rPr>
          <w:b/>
          <w:lang w:eastAsia="en-US"/>
        </w:rPr>
        <w:t>ПРЕДМЕТ СОГЛАШЕНИЯ</w:t>
      </w:r>
    </w:p>
    <w:p>
      <w:pPr>
        <w:pStyle w:val="Normal"/>
        <w:numPr>
          <w:ilvl w:val="1"/>
          <w:numId w:val="2"/>
        </w:numPr>
        <w:tabs>
          <w:tab w:val="clear" w:pos="709"/>
          <w:tab w:val="left" w:pos="1276" w:leader="none"/>
        </w:tabs>
        <w:ind w:firstLine="567" w:left="0"/>
        <w:jc w:val="both"/>
        <w:rPr>
          <w:lang w:eastAsia="en-US"/>
        </w:rPr>
      </w:pPr>
      <w:r>
        <w:rPr>
          <w:lang w:eastAsia="en-US"/>
        </w:rPr>
        <w:t>Предметом настоящего Соглашения является порядок и условия использования и защиты конфиденциальности информации, указанной в пунктах 1.3. и 1.6. Соглашения, передаваемой Передающей стороной Принимающей стороне после заключения настоящего Соглашения (далее – «Информация»).</w:t>
      </w:r>
    </w:p>
    <w:p>
      <w:pPr>
        <w:pStyle w:val="Normal"/>
        <w:numPr>
          <w:ilvl w:val="1"/>
          <w:numId w:val="2"/>
        </w:numPr>
        <w:tabs>
          <w:tab w:val="clear" w:pos="709"/>
          <w:tab w:val="left" w:pos="1276" w:leader="none"/>
        </w:tabs>
        <w:ind w:firstLine="567" w:left="0"/>
        <w:jc w:val="both"/>
        <w:rPr>
          <w:lang w:eastAsia="en-US"/>
        </w:rPr>
      </w:pPr>
      <w:r>
        <w:rPr>
          <w:lang w:eastAsia="en-US"/>
        </w:rPr>
        <w:t>К информации, документам и сведениям, составляющим государственную тайну, настоящее Соглашение не применяется.</w:t>
      </w:r>
    </w:p>
    <w:p>
      <w:pPr>
        <w:pStyle w:val="Normal"/>
        <w:numPr>
          <w:ilvl w:val="1"/>
          <w:numId w:val="2"/>
        </w:numPr>
        <w:tabs>
          <w:tab w:val="clear" w:pos="709"/>
          <w:tab w:val="left" w:pos="1276" w:leader="none"/>
        </w:tabs>
        <w:ind w:firstLine="567" w:left="0"/>
        <w:jc w:val="both"/>
        <w:rPr>
          <w:lang w:eastAsia="en-US"/>
        </w:rPr>
      </w:pPr>
      <w:r>
        <w:rPr>
          <w:lang w:eastAsia="en-US"/>
        </w:rPr>
        <w:t>Под Информацией для целей настоящего Соглашения понимается любая информация, передаваемая Передающей стороной Принимающей стороне в устной либо документарной форме, в виде электронного файла, а также в любом другом виде в процессе проведения переговоров, заключения каких-либо договоров и соглашений или исполнения таких договоров и соглашений между Сторонами, и подлежащая защите по настоящему Соглашению, в отношении которой соблюдаются следующие условия:</w:t>
      </w:r>
    </w:p>
    <w:p>
      <w:pPr>
        <w:pStyle w:val="Normal"/>
        <w:numPr>
          <w:ilvl w:val="0"/>
          <w:numId w:val="3"/>
        </w:numPr>
        <w:tabs>
          <w:tab w:val="clear" w:pos="709"/>
          <w:tab w:val="left" w:pos="851" w:leader="none"/>
          <w:tab w:val="left" w:pos="1276" w:leader="none"/>
        </w:tabs>
        <w:ind w:firstLine="709" w:left="0"/>
        <w:jc w:val="both"/>
        <w:rPr>
          <w:rFonts w:eastAsia="Calibri"/>
          <w:b/>
          <w:lang w:eastAsia="x-none"/>
        </w:rPr>
      </w:pPr>
      <w:r>
        <w:rPr/>
        <w:t>данная Информация имеет действительную или потенциальную коммерческую ценность для Передающей стороны в силу неизвестности ее третьим лицам;</w:t>
      </w:r>
    </w:p>
    <w:p>
      <w:pPr>
        <w:pStyle w:val="Normal"/>
        <w:numPr>
          <w:ilvl w:val="0"/>
          <w:numId w:val="3"/>
        </w:numPr>
        <w:tabs>
          <w:tab w:val="clear" w:pos="709"/>
          <w:tab w:val="left" w:pos="851" w:leader="none"/>
          <w:tab w:val="left" w:pos="1276" w:leader="none"/>
        </w:tabs>
        <w:ind w:firstLine="709" w:left="0"/>
        <w:jc w:val="both"/>
        <w:rPr>
          <w:rFonts w:eastAsia="Calibri"/>
          <w:b/>
          <w:lang w:eastAsia="x-none"/>
        </w:rPr>
      </w:pPr>
      <w:r>
        <w:rPr/>
        <w:t xml:space="preserve">данная Информация не относится к категории общедоступной или обязательной к раскрытию Передающей стороной в соответствии с законодательством Российской Федерации. </w:t>
      </w:r>
    </w:p>
    <w:p>
      <w:pPr>
        <w:pStyle w:val="Normal"/>
        <w:numPr>
          <w:ilvl w:val="1"/>
          <w:numId w:val="2"/>
        </w:numPr>
        <w:tabs>
          <w:tab w:val="clear" w:pos="709"/>
          <w:tab w:val="left" w:pos="1276" w:leader="none"/>
        </w:tabs>
        <w:ind w:firstLine="567" w:left="0"/>
        <w:jc w:val="both"/>
        <w:rPr>
          <w:lang w:eastAsia="en-US"/>
        </w:rPr>
      </w:pPr>
      <w:r>
        <w:rPr>
          <w:lang w:eastAsia="en-US"/>
        </w:rPr>
        <w:t>На документ, содержащий Информацию, Передающей стороной может быть нанесен гриф «Коммерческая тайна» с указанием обладателя этой информации.</w:t>
      </w:r>
    </w:p>
    <w:p>
      <w:pPr>
        <w:pStyle w:val="Normal"/>
        <w:numPr>
          <w:ilvl w:val="1"/>
          <w:numId w:val="2"/>
        </w:numPr>
        <w:tabs>
          <w:tab w:val="clear" w:pos="709"/>
          <w:tab w:val="left" w:pos="1276" w:leader="none"/>
        </w:tabs>
        <w:ind w:firstLine="567" w:left="0"/>
        <w:jc w:val="both"/>
        <w:rPr>
          <w:lang w:eastAsia="en-US"/>
        </w:rPr>
      </w:pPr>
      <w:r>
        <w:rPr>
          <w:lang w:eastAsia="en-U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 а также может быть передана устно.</w:t>
      </w:r>
    </w:p>
    <w:p>
      <w:pPr>
        <w:pStyle w:val="Normal"/>
        <w:numPr>
          <w:ilvl w:val="1"/>
          <w:numId w:val="2"/>
        </w:numPr>
        <w:tabs>
          <w:tab w:val="clear" w:pos="709"/>
          <w:tab w:val="left" w:pos="1276" w:leader="none"/>
        </w:tabs>
        <w:ind w:firstLine="567" w:left="0"/>
        <w:jc w:val="both"/>
        <w:rPr>
          <w:lang w:eastAsia="en-US"/>
        </w:rPr>
      </w:pPr>
      <w:r>
        <w:rPr>
          <w:lang w:eastAsia="en-US"/>
        </w:rPr>
        <w:t>Информация, подлежащая сохранению в тайне и неразглашению в соответствии с настоящим Соглашением, включает в себя, без ограничения приведенным перечнем:</w:t>
      </w:r>
    </w:p>
    <w:p>
      <w:pPr>
        <w:pStyle w:val="Normal"/>
        <w:numPr>
          <w:ilvl w:val="2"/>
          <w:numId w:val="2"/>
        </w:numPr>
        <w:tabs>
          <w:tab w:val="clear" w:pos="709"/>
          <w:tab w:val="left" w:pos="1276" w:leader="none"/>
        </w:tabs>
        <w:ind w:firstLine="1141" w:left="0"/>
        <w:jc w:val="both"/>
        <w:rPr>
          <w:lang w:eastAsia="en-US"/>
        </w:rPr>
      </w:pPr>
      <w:r>
        <w:rPr>
          <w:lang w:eastAsia="en-US"/>
        </w:rPr>
        <w:t>финансовую отчетность;</w:t>
      </w:r>
    </w:p>
    <w:p>
      <w:pPr>
        <w:pStyle w:val="Normal"/>
        <w:numPr>
          <w:ilvl w:val="2"/>
          <w:numId w:val="2"/>
        </w:numPr>
        <w:tabs>
          <w:tab w:val="clear" w:pos="709"/>
          <w:tab w:val="left" w:pos="1276" w:leader="none"/>
        </w:tabs>
        <w:ind w:firstLine="1141" w:left="0"/>
        <w:jc w:val="both"/>
        <w:rPr>
          <w:lang w:eastAsia="en-US"/>
        </w:rPr>
      </w:pPr>
      <w:r>
        <w:rPr>
          <w:lang w:eastAsia="en-US"/>
        </w:rPr>
        <w:t>учетные регистры бухгалтерского учета;</w:t>
      </w:r>
    </w:p>
    <w:p>
      <w:pPr>
        <w:pStyle w:val="Normal"/>
        <w:numPr>
          <w:ilvl w:val="2"/>
          <w:numId w:val="2"/>
        </w:numPr>
        <w:tabs>
          <w:tab w:val="clear" w:pos="709"/>
          <w:tab w:val="left" w:pos="1276" w:leader="none"/>
        </w:tabs>
        <w:ind w:firstLine="1141" w:left="0"/>
        <w:jc w:val="both"/>
        <w:rPr>
          <w:lang w:eastAsia="en-US"/>
        </w:rPr>
      </w:pPr>
      <w:r>
        <w:rPr>
          <w:lang w:eastAsia="en-US"/>
        </w:rPr>
        <w:t>бизнес-планы;</w:t>
      </w:r>
    </w:p>
    <w:p>
      <w:pPr>
        <w:pStyle w:val="Normal"/>
        <w:numPr>
          <w:ilvl w:val="2"/>
          <w:numId w:val="2"/>
        </w:numPr>
        <w:tabs>
          <w:tab w:val="clear" w:pos="709"/>
          <w:tab w:val="left" w:pos="1276" w:leader="none"/>
        </w:tabs>
        <w:ind w:firstLine="1141" w:left="0"/>
        <w:jc w:val="both"/>
        <w:rPr>
          <w:lang w:eastAsia="en-US"/>
        </w:rPr>
      </w:pPr>
      <w:r>
        <w:rPr>
          <w:lang w:eastAsia="en-US"/>
        </w:rPr>
        <w:t>договоры и соглашения, заключаемые или заключенные непосредственно Передающей стороной либо в её пользу, а также информацию и сведения, содержащиеся в данных договорах и соглашениях;</w:t>
      </w:r>
    </w:p>
    <w:p>
      <w:pPr>
        <w:pStyle w:val="Normal"/>
        <w:numPr>
          <w:ilvl w:val="2"/>
          <w:numId w:val="2"/>
        </w:numPr>
        <w:tabs>
          <w:tab w:val="clear" w:pos="709"/>
          <w:tab w:val="left" w:pos="1276" w:leader="none"/>
        </w:tabs>
        <w:ind w:firstLine="1141" w:left="0"/>
        <w:jc w:val="both"/>
        <w:rPr>
          <w:lang w:eastAsia="en-US"/>
        </w:rPr>
      </w:pPr>
      <w:r>
        <w:rPr>
          <w:lang w:eastAsia="en-US"/>
        </w:rPr>
        <w:t>сведения о финансовых, правовых, организационных и других взаимоотношениях между Передающей стороной и ее аффилированными лицами или контрагентами;</w:t>
      </w:r>
    </w:p>
    <w:p>
      <w:pPr>
        <w:pStyle w:val="Normal"/>
        <w:numPr>
          <w:ilvl w:val="2"/>
          <w:numId w:val="2"/>
        </w:numPr>
        <w:tabs>
          <w:tab w:val="clear" w:pos="709"/>
          <w:tab w:val="left" w:pos="1276" w:leader="none"/>
        </w:tabs>
        <w:ind w:firstLine="1141" w:left="0"/>
        <w:jc w:val="both"/>
        <w:rPr>
          <w:lang w:eastAsia="en-US"/>
        </w:rPr>
      </w:pPr>
      <w:r>
        <w:rPr>
          <w:lang w:eastAsia="en-US"/>
        </w:rPr>
        <w:t>сведения о находящихся на регистрации товарных знаках Передающей стороны, а также об объектах интеллектуальной собственности Передающей стороны, сведения о которых не являются опубликованными;</w:t>
      </w:r>
    </w:p>
    <w:p>
      <w:pPr>
        <w:pStyle w:val="Normal"/>
        <w:numPr>
          <w:ilvl w:val="2"/>
          <w:numId w:val="2"/>
        </w:numPr>
        <w:tabs>
          <w:tab w:val="clear" w:pos="709"/>
          <w:tab w:val="left" w:pos="1276" w:leader="none"/>
        </w:tabs>
        <w:ind w:firstLine="1141" w:left="0"/>
        <w:jc w:val="both"/>
        <w:rPr>
          <w:lang w:eastAsia="en-US"/>
        </w:rPr>
      </w:pPr>
      <w:r>
        <w:rPr>
          <w:lang w:eastAsia="en-US"/>
        </w:rPr>
        <w:t>паспортные и анкетные данные физических лиц, являющихся акционерами Передающей стороны, ее аффилированных лиц и контрагентов и/или работающих в органах управления или иных органах Передающей стороны и ее аффилированных лиц;</w:t>
      </w:r>
    </w:p>
    <w:p>
      <w:pPr>
        <w:pStyle w:val="Normal"/>
        <w:numPr>
          <w:ilvl w:val="2"/>
          <w:numId w:val="2"/>
        </w:numPr>
        <w:tabs>
          <w:tab w:val="clear" w:pos="709"/>
          <w:tab w:val="left" w:pos="1276" w:leader="none"/>
        </w:tabs>
        <w:ind w:firstLine="1141" w:left="0"/>
        <w:jc w:val="both"/>
        <w:rPr>
          <w:lang w:eastAsia="en-US"/>
        </w:rPr>
      </w:pPr>
      <w:r>
        <w:rPr>
          <w:lang w:eastAsia="en-US"/>
        </w:rPr>
        <w:t>сведения о поставщиках оборудования, сырья и материалов, а также сведения о покупателях продукции и их аффилированных лицах;</w:t>
      </w:r>
    </w:p>
    <w:p>
      <w:pPr>
        <w:pStyle w:val="Normal"/>
        <w:numPr>
          <w:ilvl w:val="2"/>
          <w:numId w:val="2"/>
        </w:numPr>
        <w:tabs>
          <w:tab w:val="clear" w:pos="709"/>
          <w:tab w:val="left" w:pos="1276" w:leader="none"/>
        </w:tabs>
        <w:ind w:firstLine="1141" w:left="0"/>
        <w:jc w:val="both"/>
        <w:rPr>
          <w:lang w:eastAsia="en-US"/>
        </w:rPr>
      </w:pPr>
      <w:r>
        <w:rPr>
          <w:lang w:eastAsia="en-US"/>
        </w:rPr>
        <w:t>сведения об объемах производства и/или реализации продукции и услуг Передающей стороны или ее аффилированных лиц;</w:t>
      </w:r>
    </w:p>
    <w:p>
      <w:pPr>
        <w:pStyle w:val="Normal"/>
        <w:numPr>
          <w:ilvl w:val="2"/>
          <w:numId w:val="2"/>
        </w:numPr>
        <w:tabs>
          <w:tab w:val="clear" w:pos="709"/>
          <w:tab w:val="left" w:pos="1276" w:leader="none"/>
        </w:tabs>
        <w:ind w:firstLine="1141" w:left="0"/>
        <w:jc w:val="both"/>
        <w:rPr>
          <w:lang w:eastAsia="en-US"/>
        </w:rPr>
      </w:pPr>
      <w:r>
        <w:rPr>
          <w:lang w:eastAsia="en-US"/>
        </w:rPr>
        <w:t>результаты анализа, оценки, оказания иных услуг, подготовленные Принимающей стороной согласно договорам и соглашениям, заключенным с Передающей стороной, а также наличие таких договоров (соглашений) и их условия.</w:t>
      </w:r>
    </w:p>
    <w:p>
      <w:pPr>
        <w:pStyle w:val="Normal"/>
        <w:numPr>
          <w:ilvl w:val="1"/>
          <w:numId w:val="2"/>
        </w:numPr>
        <w:tabs>
          <w:tab w:val="clear" w:pos="709"/>
          <w:tab w:val="left" w:pos="1276" w:leader="none"/>
        </w:tabs>
        <w:ind w:firstLine="567" w:left="0"/>
        <w:jc w:val="both"/>
        <w:rPr>
          <w:lang w:eastAsia="en-US"/>
        </w:rPr>
      </w:pPr>
      <w:r>
        <w:rPr>
          <w:lang w:eastAsia="en-US"/>
        </w:rPr>
        <w:t>К Информации, подлежащей защите и неразглашению в соответствии с настоящим Соглашением, не относится следующая информация:</w:t>
      </w:r>
    </w:p>
    <w:p>
      <w:pPr>
        <w:pStyle w:val="Normal"/>
        <w:numPr>
          <w:ilvl w:val="2"/>
          <w:numId w:val="2"/>
        </w:numPr>
        <w:tabs>
          <w:tab w:val="clear" w:pos="709"/>
          <w:tab w:val="left" w:pos="1276" w:leader="none"/>
        </w:tabs>
        <w:ind w:firstLine="1141" w:left="0"/>
        <w:jc w:val="both"/>
        <w:rPr>
          <w:lang w:eastAsia="en-US"/>
        </w:rPr>
      </w:pPr>
      <w:r>
        <w:rPr>
          <w:lang w:eastAsia="en-US"/>
        </w:rPr>
        <w:t>сведения, содержащиеся в сообщениях и отчетах, официально опубликованных Передающей стороной или ее аффилированными лицами в соответствии с требованиями о раскрытии информации, установленными законодательством Российской Федерации;</w:t>
      </w:r>
    </w:p>
    <w:p>
      <w:pPr>
        <w:pStyle w:val="Normal"/>
        <w:numPr>
          <w:ilvl w:val="2"/>
          <w:numId w:val="2"/>
        </w:numPr>
        <w:tabs>
          <w:tab w:val="clear" w:pos="709"/>
          <w:tab w:val="left" w:pos="1276" w:leader="none"/>
        </w:tabs>
        <w:ind w:firstLine="1141" w:left="0"/>
        <w:jc w:val="both"/>
        <w:rPr>
          <w:lang w:eastAsia="en-US"/>
        </w:rPr>
      </w:pPr>
      <w:r>
        <w:rPr>
          <w:lang w:eastAsia="en-US"/>
        </w:rPr>
        <w:t>сведения, содержащиеся в официальных отчетах, сообщениях, пресс-релизах, а также рекламных сообщениях Передающей стороны или ее аффилированных лиц;</w:t>
      </w:r>
    </w:p>
    <w:p>
      <w:pPr>
        <w:pStyle w:val="Normal"/>
        <w:numPr>
          <w:ilvl w:val="2"/>
          <w:numId w:val="2"/>
        </w:numPr>
        <w:tabs>
          <w:tab w:val="clear" w:pos="709"/>
          <w:tab w:val="left" w:pos="1276" w:leader="none"/>
        </w:tabs>
        <w:ind w:firstLine="1141" w:left="0"/>
        <w:jc w:val="both"/>
        <w:rPr>
          <w:lang w:eastAsia="en-US"/>
        </w:rPr>
      </w:pPr>
      <w:r>
        <w:rPr>
          <w:lang w:eastAsia="en-US"/>
        </w:rPr>
        <w:t>сведения, опубликованные в средствах массовой информации по инициативе третьих лиц в соответствии с законодательством Российской Федерации;</w:t>
      </w:r>
    </w:p>
    <w:p>
      <w:pPr>
        <w:pStyle w:val="Normal"/>
        <w:numPr>
          <w:ilvl w:val="2"/>
          <w:numId w:val="2"/>
        </w:numPr>
        <w:tabs>
          <w:tab w:val="clear" w:pos="709"/>
          <w:tab w:val="left" w:pos="1276" w:leader="none"/>
        </w:tabs>
        <w:ind w:firstLine="1141" w:left="0"/>
        <w:jc w:val="both"/>
        <w:rPr>
          <w:lang w:eastAsia="en-US"/>
        </w:rPr>
      </w:pPr>
      <w:r>
        <w:rPr>
          <w:lang w:eastAsia="en-US"/>
        </w:rPr>
        <w:t>сведения, в отношении которых Передающая сторона дала предварительное письменное согласие на передачу Информации третьим лицам;</w:t>
      </w:r>
    </w:p>
    <w:p>
      <w:pPr>
        <w:pStyle w:val="Normal"/>
        <w:numPr>
          <w:ilvl w:val="2"/>
          <w:numId w:val="2"/>
        </w:numPr>
        <w:tabs>
          <w:tab w:val="clear" w:pos="709"/>
          <w:tab w:val="left" w:pos="1276" w:leader="none"/>
        </w:tabs>
        <w:ind w:firstLine="1141" w:left="0"/>
        <w:jc w:val="both"/>
        <w:rPr>
          <w:lang w:eastAsia="en-US"/>
        </w:rPr>
      </w:pPr>
      <w:r>
        <w:rPr>
          <w:lang w:eastAsia="en-US"/>
        </w:rPr>
        <w:t>сведения, которые должны быть раскрыты в соответствии с законодательством Российской Федерации по предъявлению законного требования правоохранительным, судебным, надзорным или иным компетентным органом, с уведомлением Передающей стороны о наличии такого требования;</w:t>
      </w:r>
    </w:p>
    <w:p>
      <w:pPr>
        <w:pStyle w:val="Normal"/>
        <w:numPr>
          <w:ilvl w:val="2"/>
          <w:numId w:val="2"/>
        </w:numPr>
        <w:tabs>
          <w:tab w:val="clear" w:pos="709"/>
          <w:tab w:val="left" w:pos="1276" w:leader="none"/>
        </w:tabs>
        <w:ind w:firstLine="1141" w:left="0"/>
        <w:jc w:val="both"/>
        <w:rPr>
          <w:lang w:eastAsia="en-US"/>
        </w:rPr>
      </w:pPr>
      <w:r>
        <w:rPr>
          <w:lang w:eastAsia="en-US"/>
        </w:rPr>
        <w:t>сведения, которые не могут являться конфиденциальной информацией в соответствии с действующим законодательством Российской Федерации.</w:t>
      </w:r>
    </w:p>
    <w:p>
      <w:pPr>
        <w:pStyle w:val="Normal"/>
        <w:numPr>
          <w:ilvl w:val="0"/>
          <w:numId w:val="2"/>
        </w:numPr>
        <w:tabs>
          <w:tab w:val="clear" w:pos="709"/>
          <w:tab w:val="left" w:pos="284" w:leader="none"/>
        </w:tabs>
        <w:ind w:hanging="0" w:left="0"/>
        <w:jc w:val="both"/>
        <w:rPr>
          <w:b/>
          <w:lang w:eastAsia="en-US"/>
        </w:rPr>
      </w:pPr>
      <w:r>
        <w:rPr>
          <w:b/>
          <w:lang w:eastAsia="en-US"/>
        </w:rPr>
        <w:t>ОБЯЗАТЕЛЬСТВА СТОРОН</w:t>
      </w:r>
    </w:p>
    <w:p>
      <w:pPr>
        <w:pStyle w:val="Normal"/>
        <w:numPr>
          <w:ilvl w:val="1"/>
          <w:numId w:val="2"/>
        </w:numPr>
        <w:tabs>
          <w:tab w:val="clear" w:pos="709"/>
          <w:tab w:val="left" w:pos="1276" w:leader="none"/>
        </w:tabs>
        <w:ind w:firstLine="567" w:left="0"/>
        <w:jc w:val="both"/>
        <w:rPr>
          <w:lang w:eastAsia="en-US"/>
        </w:rPr>
      </w:pPr>
      <w:r>
        <w:rPr>
          <w:lang w:eastAsia="en-US"/>
        </w:rPr>
        <w:t>Принимающая сторона обязуется 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Передающей стороны, если иное не предусмотрено законодательством Российской Федерации.</w:t>
      </w:r>
    </w:p>
    <w:p>
      <w:pPr>
        <w:pStyle w:val="Normal"/>
        <w:numPr>
          <w:ilvl w:val="1"/>
          <w:numId w:val="2"/>
        </w:numPr>
        <w:tabs>
          <w:tab w:val="clear" w:pos="709"/>
          <w:tab w:val="left" w:pos="1276" w:leader="none"/>
        </w:tabs>
        <w:ind w:firstLine="567" w:left="0"/>
        <w:jc w:val="both"/>
        <w:rPr>
          <w:lang w:eastAsia="en-US"/>
        </w:rPr>
      </w:pPr>
      <w:r>
        <w:rPr>
          <w:lang w:eastAsia="en-US"/>
        </w:rPr>
        <w:t>Для защиты Информации Принимающая сторона обязуется принимать меры предосторожности, обычно используемые для защиты такого рода информации в деловом обороте, однако, если в организации Принимающей стороны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Принимающая сторона обязана использовать в отношении защиты Информации, обычно используемые ею меры защиты. Принимающая сторона обязана безусловно обеспечить защиту Информации в течение срока действия настоящего Соглашения и в течение 5 (пяти) лет после прекращения его действия.</w:t>
      </w:r>
    </w:p>
    <w:p>
      <w:pPr>
        <w:pStyle w:val="Normal"/>
        <w:numPr>
          <w:ilvl w:val="1"/>
          <w:numId w:val="2"/>
        </w:numPr>
        <w:tabs>
          <w:tab w:val="clear" w:pos="709"/>
          <w:tab w:val="left" w:pos="1276" w:leader="none"/>
        </w:tabs>
        <w:ind w:firstLine="567" w:left="0"/>
        <w:jc w:val="both"/>
        <w:rPr>
          <w:lang w:eastAsia="en-US"/>
        </w:rPr>
      </w:pPr>
      <w:r>
        <w:rPr>
          <w:lang w:eastAsia="en-US"/>
        </w:rPr>
        <w:t>Принимающая сторона обязуется:</w:t>
      </w:r>
    </w:p>
    <w:p>
      <w:pPr>
        <w:pStyle w:val="Normal"/>
        <w:numPr>
          <w:ilvl w:val="2"/>
          <w:numId w:val="2"/>
        </w:numPr>
        <w:tabs>
          <w:tab w:val="clear" w:pos="709"/>
          <w:tab w:val="left" w:pos="1276" w:leader="none"/>
        </w:tabs>
        <w:ind w:firstLine="1141" w:left="0"/>
        <w:jc w:val="both"/>
        <w:rPr>
          <w:lang w:eastAsia="en-US"/>
        </w:rPr>
      </w:pPr>
      <w:r>
        <w:rPr>
          <w:lang w:eastAsia="en-US"/>
        </w:rPr>
        <w:t>использовать Информацию исключительно для целей, для которых она был предоставлена;</w:t>
      </w:r>
    </w:p>
    <w:p>
      <w:pPr>
        <w:pStyle w:val="Normal"/>
        <w:numPr>
          <w:ilvl w:val="2"/>
          <w:numId w:val="2"/>
        </w:numPr>
        <w:tabs>
          <w:tab w:val="clear" w:pos="709"/>
          <w:tab w:val="left" w:pos="1276" w:leader="none"/>
        </w:tabs>
        <w:ind w:firstLine="1141" w:left="0"/>
        <w:jc w:val="both"/>
        <w:rPr>
          <w:lang w:eastAsia="en-US"/>
        </w:rPr>
      </w:pPr>
      <w:r>
        <w:rPr>
          <w:lang w:eastAsia="en-US"/>
        </w:rPr>
        <w:t>не осуществлять действий (бездействия), результатом которых может быть несанкционированное раскрытие Информации третьим лицам;</w:t>
      </w:r>
    </w:p>
    <w:p>
      <w:pPr>
        <w:pStyle w:val="Normal"/>
        <w:numPr>
          <w:ilvl w:val="2"/>
          <w:numId w:val="2"/>
        </w:numPr>
        <w:tabs>
          <w:tab w:val="clear" w:pos="709"/>
          <w:tab w:val="left" w:pos="1276" w:leader="none"/>
        </w:tabs>
        <w:ind w:firstLine="1141" w:left="0"/>
        <w:jc w:val="both"/>
        <w:rPr>
          <w:lang w:eastAsia="en-US"/>
        </w:rPr>
      </w:pPr>
      <w:r>
        <w:rPr>
          <w:lang w:eastAsia="en-U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Передающую сторону, а также обеспечить ей содействие, которое потребует Передающая сторона для предотвращения несанкционированного раскрытия;</w:t>
      </w:r>
    </w:p>
    <w:p>
      <w:pPr>
        <w:pStyle w:val="Normal"/>
        <w:numPr>
          <w:ilvl w:val="2"/>
          <w:numId w:val="2"/>
        </w:numPr>
        <w:tabs>
          <w:tab w:val="clear" w:pos="709"/>
          <w:tab w:val="left" w:pos="1276" w:leader="none"/>
        </w:tabs>
        <w:ind w:firstLine="1141" w:left="0"/>
        <w:jc w:val="both"/>
        <w:rPr>
          <w:rFonts w:eastAsia="Calibri"/>
          <w:b/>
          <w:lang w:eastAsia="x-none"/>
        </w:rPr>
      </w:pPr>
      <w:r>
        <w:rPr>
          <w:lang w:eastAsia="en-US"/>
        </w:rPr>
        <w:t>по требованию Передающей стороны уничтожить всю Информацию, которую будет невозможно передать Передающей стороне по ее запросу или которая будет находиться на технических средствах Принимающей стороны. При этом Передающая сторона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w:t>
      </w:r>
    </w:p>
    <w:p>
      <w:pPr>
        <w:pStyle w:val="Normal"/>
        <w:numPr>
          <w:ilvl w:val="2"/>
          <w:numId w:val="2"/>
        </w:numPr>
        <w:tabs>
          <w:tab w:val="clear" w:pos="709"/>
          <w:tab w:val="left" w:pos="1276" w:leader="none"/>
        </w:tabs>
        <w:ind w:firstLine="1141" w:left="0"/>
        <w:jc w:val="both"/>
        <w:rPr>
          <w:lang w:eastAsia="en-US"/>
        </w:rPr>
      </w:pPr>
      <w:r>
        <w:rPr>
          <w:lang w:eastAsia="en-US"/>
        </w:rPr>
        <w:t>раскрывать Информацию только своим сотрудникам и акционерам, членам Совета Директоров и аудиторам только в случае служебной необходимости в объеме, требуемом для исполнения Сторонами своих обязательств по отношению друг к другу или требуемом для исполнения такими лицами своих обязанностей, оставаясь ответственной за действия таких лиц, как за свои собственные;</w:t>
      </w:r>
    </w:p>
    <w:p>
      <w:pPr>
        <w:pStyle w:val="Normal"/>
        <w:numPr>
          <w:ilvl w:val="2"/>
          <w:numId w:val="2"/>
        </w:numPr>
        <w:tabs>
          <w:tab w:val="clear" w:pos="709"/>
          <w:tab w:val="left" w:pos="1276" w:leader="none"/>
        </w:tabs>
        <w:ind w:firstLine="1141" w:left="0"/>
        <w:jc w:val="both"/>
        <w:rPr>
          <w:lang w:eastAsia="en-US"/>
        </w:rPr>
      </w:pPr>
      <w:r>
        <w:rPr>
          <w:lang w:eastAsia="en-US"/>
        </w:rPr>
        <w:t>не разглашать третьим лицам факта передачи или получения Информации.</w:t>
      </w:r>
    </w:p>
    <w:p>
      <w:pPr>
        <w:pStyle w:val="Normal"/>
        <w:tabs>
          <w:tab w:val="clear" w:pos="709"/>
          <w:tab w:val="left" w:pos="567" w:leader="none"/>
        </w:tabs>
        <w:jc w:val="both"/>
        <w:rPr>
          <w:lang w:eastAsia="en-US"/>
        </w:rPr>
      </w:pPr>
      <w:r>
        <w:rPr>
          <w:lang w:eastAsia="en-US"/>
        </w:rPr>
      </w:r>
    </w:p>
    <w:p>
      <w:pPr>
        <w:pStyle w:val="Normal"/>
        <w:numPr>
          <w:ilvl w:val="0"/>
          <w:numId w:val="2"/>
        </w:numPr>
        <w:tabs>
          <w:tab w:val="clear" w:pos="709"/>
          <w:tab w:val="left" w:pos="284" w:leader="none"/>
        </w:tabs>
        <w:ind w:hanging="0" w:left="0"/>
        <w:jc w:val="both"/>
        <w:rPr>
          <w:b/>
          <w:lang w:eastAsia="en-US"/>
        </w:rPr>
      </w:pPr>
      <w:r>
        <w:rPr>
          <w:b/>
          <w:lang w:eastAsia="en-US"/>
        </w:rPr>
        <w:t xml:space="preserve">ОТВЕТСТВЕННОСТЬ СТОРОН </w:t>
      </w:r>
    </w:p>
    <w:p>
      <w:pPr>
        <w:pStyle w:val="Normal"/>
        <w:numPr>
          <w:ilvl w:val="1"/>
          <w:numId w:val="2"/>
        </w:numPr>
        <w:tabs>
          <w:tab w:val="clear" w:pos="709"/>
          <w:tab w:val="left" w:pos="1276" w:leader="none"/>
        </w:tabs>
        <w:ind w:firstLine="567" w:left="0"/>
        <w:jc w:val="both"/>
        <w:rPr>
          <w:lang w:eastAsia="en-US"/>
        </w:rPr>
      </w:pPr>
      <w:r>
        <w:rPr>
          <w:lang w:eastAsia="en-US"/>
        </w:rPr>
        <w:t>Сторона, нарушившая условия настоящего Соглашения, возмещает другой Стороне все понесенные расходы и убытки, вызванные таким нарушением, в течение 10 (десяти) календарных дней с даты получения соответствующего требования.</w:t>
      </w:r>
    </w:p>
    <w:p>
      <w:pPr>
        <w:pStyle w:val="Normal"/>
        <w:ind w:firstLine="567" w:right="68"/>
        <w:jc w:val="both"/>
        <w:rPr>
          <w:rFonts w:eastAsia="Calibri"/>
          <w:b/>
          <w:u w:val="single"/>
          <w:lang w:eastAsia="en-US"/>
        </w:rPr>
      </w:pPr>
      <w:r>
        <w:rPr>
          <w:rFonts w:eastAsia="Calibri"/>
          <w:b/>
          <w:u w:val="single"/>
          <w:lang w:eastAsia="en-US"/>
        </w:rPr>
      </w:r>
    </w:p>
    <w:p>
      <w:pPr>
        <w:pStyle w:val="Normal"/>
        <w:numPr>
          <w:ilvl w:val="0"/>
          <w:numId w:val="2"/>
        </w:numPr>
        <w:tabs>
          <w:tab w:val="clear" w:pos="709"/>
          <w:tab w:val="left" w:pos="284" w:leader="none"/>
        </w:tabs>
        <w:ind w:firstLine="567" w:left="0"/>
        <w:jc w:val="both"/>
        <w:rPr>
          <w:b/>
          <w:lang w:eastAsia="en-US"/>
        </w:rPr>
      </w:pPr>
      <w:r>
        <w:rPr>
          <w:b/>
          <w:lang w:eastAsia="en-US"/>
        </w:rPr>
        <w:t>СРОК ДЕЙСТВИЯ СОГЛАШЕНИЯ</w:t>
      </w:r>
    </w:p>
    <w:p>
      <w:pPr>
        <w:pStyle w:val="Normal"/>
        <w:numPr>
          <w:ilvl w:val="1"/>
          <w:numId w:val="2"/>
        </w:numPr>
        <w:tabs>
          <w:tab w:val="clear" w:pos="709"/>
          <w:tab w:val="left" w:pos="1276" w:leader="none"/>
        </w:tabs>
        <w:ind w:firstLine="567" w:left="0"/>
        <w:jc w:val="both"/>
        <w:rPr>
          <w:lang w:eastAsia="en-US"/>
        </w:rPr>
      </w:pPr>
      <w:r>
        <w:rPr>
          <w:lang w:eastAsia="en-US"/>
        </w:rPr>
        <w:t>Настоящее Соглашение вступает в силу с даты подписания и действует в течение 3 (трех) лет.</w:t>
      </w:r>
    </w:p>
    <w:p>
      <w:pPr>
        <w:pStyle w:val="Normal"/>
        <w:tabs>
          <w:tab w:val="clear" w:pos="709"/>
          <w:tab w:val="left" w:pos="567" w:leader="none"/>
        </w:tabs>
        <w:jc w:val="both"/>
        <w:rPr>
          <w:lang w:eastAsia="en-US"/>
        </w:rPr>
      </w:pPr>
      <w:r>
        <w:rPr>
          <w:lang w:eastAsia="en-US"/>
        </w:rPr>
      </w:r>
    </w:p>
    <w:p>
      <w:pPr>
        <w:pStyle w:val="Normal"/>
        <w:numPr>
          <w:ilvl w:val="0"/>
          <w:numId w:val="2"/>
        </w:numPr>
        <w:tabs>
          <w:tab w:val="clear" w:pos="709"/>
          <w:tab w:val="left" w:pos="284" w:leader="none"/>
        </w:tabs>
        <w:ind w:hanging="0" w:left="0"/>
        <w:jc w:val="both"/>
        <w:rPr>
          <w:b/>
          <w:bCs/>
          <w:lang w:eastAsia="en-US"/>
        </w:rPr>
      </w:pPr>
      <w:r>
        <w:rPr>
          <w:b/>
          <w:bCs/>
          <w:lang w:eastAsia="en-US"/>
        </w:rPr>
        <w:t>ИНСАЙДЕРСКАЯ ОГОВОРКА</w:t>
      </w:r>
    </w:p>
    <w:p>
      <w:pPr>
        <w:pStyle w:val="Normal"/>
        <w:tabs>
          <w:tab w:val="clear" w:pos="709"/>
          <w:tab w:val="left" w:pos="0" w:leader="none"/>
        </w:tabs>
        <w:ind w:firstLine="567"/>
        <w:jc w:val="both"/>
        <w:rPr>
          <w:lang w:eastAsia="en-US"/>
        </w:rPr>
      </w:pPr>
      <w:r>
        <w:rPr>
          <w:lang w:eastAsia="en-US"/>
        </w:rPr>
        <w:t>5.1. Под инсайдерской информацией (далее – «Инсайдерская информация») для целей Договора понимается любая информация, передаваемая Передающей стороной  в устной либо документарной форме Принимающей стороне, в виде электронного файла, в любом другом виде, а также полученная Принимающей стороной самостоятельно в ходе визитов на место оказания услуг/выполнения работ, иную территорию Предающей стороны в процессе проведения переговоров, заключения и исполнения Договора, в отношении которой соблюдаются следующие условия:</w:t>
      </w:r>
    </w:p>
    <w:p>
      <w:pPr>
        <w:pStyle w:val="Normal"/>
        <w:ind w:firstLine="567"/>
        <w:jc w:val="both"/>
        <w:rPr>
          <w:bCs/>
          <w:lang w:eastAsia="en-US"/>
        </w:rPr>
      </w:pPr>
      <w:r>
        <w:rPr>
          <w:bCs/>
          <w:lang w:eastAsia="en-US"/>
        </w:rPr>
        <w:t xml:space="preserve">- данная Инсайдерская информация не относится к категории общедоступной или обязательной к раскрытию Передающей стороной в соответствии с законодательством Российской Федерации; </w:t>
      </w:r>
    </w:p>
    <w:p>
      <w:pPr>
        <w:pStyle w:val="Normal"/>
        <w:ind w:firstLine="567"/>
        <w:jc w:val="both"/>
        <w:rPr>
          <w:bCs/>
          <w:lang w:eastAsia="en-US"/>
        </w:rPr>
      </w:pPr>
      <w:r>
        <w:rPr>
          <w:bCs/>
          <w:lang w:eastAsia="en-US"/>
        </w:rPr>
        <w:t xml:space="preserve">- распространение или раскрытие данной Инсайдерской информации может оказать существенное влияние на цены эмиссионных ценных бумаг Передающей стороны; </w:t>
      </w:r>
    </w:p>
    <w:p>
      <w:pPr>
        <w:pStyle w:val="Normal"/>
        <w:ind w:firstLine="567"/>
        <w:jc w:val="both"/>
        <w:rPr>
          <w:bCs/>
          <w:lang w:eastAsia="en-US"/>
        </w:rPr>
      </w:pPr>
      <w:r>
        <w:rPr>
          <w:bCs/>
          <w:lang w:eastAsia="en-US"/>
        </w:rPr>
        <w:t>- данная Инсайдерская информация относится к информации, включенной в перечень инсайдерской информации, указанный в статье 3 Федерального закона Российской Федерации от 27.07.2010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w:t>
      </w:r>
    </w:p>
    <w:p>
      <w:pPr>
        <w:pStyle w:val="Normal"/>
        <w:tabs>
          <w:tab w:val="clear" w:pos="709"/>
          <w:tab w:val="left" w:pos="0" w:leader="none"/>
        </w:tabs>
        <w:ind w:firstLine="567"/>
        <w:jc w:val="both"/>
        <w:rPr>
          <w:lang w:eastAsia="en-US"/>
        </w:rPr>
      </w:pPr>
      <w:r>
        <w:rPr>
          <w:lang w:eastAsia="en-US"/>
        </w:rPr>
        <w:t xml:space="preserve">5.2. В отношении Инсайдерской информации Принимающая сторона обязуется незамедлительно, но в любом случае не позднее следующего рабочего дня после получения Принимающей стороны доступа к любой Инсайдерской информации предоставить Передающей стороне список сотрудников Принимающей стороны, субисполнителей и иных лиц, которые получат доступ к Инсайдерской информации в целях исполнения обязательств по Договору, а также подтвердить тот факт, что указанные лица приняли на себя обязательство об исполнении законодательства Российской Федерации о противодействии неправомерному использованию инсайдерской информации Передающей стороны по форме, размещенной на официальном сайте ПАО «РусГидро» в сети Интернет. </w:t>
      </w:r>
    </w:p>
    <w:p>
      <w:pPr>
        <w:pStyle w:val="Normal"/>
        <w:tabs>
          <w:tab w:val="clear" w:pos="709"/>
          <w:tab w:val="left" w:pos="0" w:leader="none"/>
        </w:tabs>
        <w:ind w:firstLine="567"/>
        <w:jc w:val="both"/>
        <w:rPr>
          <w:lang w:eastAsia="en-US"/>
        </w:rPr>
      </w:pPr>
      <w:r>
        <w:rPr>
          <w:lang w:eastAsia="en-US"/>
        </w:rPr>
        <w:t>5.3. Принимающая сторона также обязуется уведомлять Передающую сторону о совершаемых сделках с ценными бумагами Передающей стороны в соответствии с требованиями законодательства Российской Федерации и Положения об инсайдерской информации Передающей стороны размещенного на официальном сайте ПАО «РусГидро» в сети Интернет.</w:t>
      </w:r>
    </w:p>
    <w:p>
      <w:pPr>
        <w:pStyle w:val="Normal"/>
        <w:tabs>
          <w:tab w:val="clear" w:pos="709"/>
          <w:tab w:val="left" w:pos="0" w:leader="none"/>
        </w:tabs>
        <w:ind w:firstLine="567"/>
        <w:jc w:val="both"/>
        <w:rPr>
          <w:lang w:eastAsia="en-US"/>
        </w:rPr>
      </w:pPr>
      <w:r>
        <w:rPr>
          <w:lang w:eastAsia="en-US"/>
        </w:rPr>
      </w:r>
    </w:p>
    <w:p>
      <w:pPr>
        <w:pStyle w:val="Normal"/>
        <w:tabs>
          <w:tab w:val="clear" w:pos="709"/>
          <w:tab w:val="left" w:pos="0" w:leader="none"/>
        </w:tabs>
        <w:jc w:val="both"/>
        <w:rPr>
          <w:lang w:eastAsia="en-US"/>
        </w:rPr>
      </w:pPr>
      <w:r>
        <w:rPr>
          <w:lang w:eastAsia="en-US"/>
        </w:rPr>
      </w:r>
    </w:p>
    <w:p>
      <w:pPr>
        <w:pStyle w:val="Normal"/>
        <w:numPr>
          <w:ilvl w:val="0"/>
          <w:numId w:val="2"/>
        </w:numPr>
        <w:tabs>
          <w:tab w:val="clear" w:pos="709"/>
          <w:tab w:val="left" w:pos="284" w:leader="none"/>
        </w:tabs>
        <w:ind w:hanging="0" w:left="0"/>
        <w:jc w:val="both"/>
        <w:rPr>
          <w:b/>
          <w:lang w:eastAsia="en-US"/>
        </w:rPr>
      </w:pPr>
      <w:r>
        <w:rPr>
          <w:b/>
          <w:lang w:eastAsia="en-US"/>
        </w:rPr>
        <w:t>РАЗРЕШЕНИЕ СПОРОВ</w:t>
      </w:r>
    </w:p>
    <w:p>
      <w:pPr>
        <w:pStyle w:val="Normal"/>
        <w:numPr>
          <w:ilvl w:val="1"/>
          <w:numId w:val="2"/>
        </w:numPr>
        <w:tabs>
          <w:tab w:val="clear" w:pos="709"/>
          <w:tab w:val="left" w:pos="1276" w:leader="none"/>
        </w:tabs>
        <w:ind w:firstLine="567" w:left="0"/>
        <w:jc w:val="both"/>
        <w:rPr>
          <w:lang w:eastAsia="en-US"/>
        </w:rPr>
      </w:pPr>
      <w:r>
        <w:rPr>
          <w:lang w:eastAsia="en-US"/>
        </w:rPr>
        <w:t>Все споры из Соглашения, в том числе связанные с его заключением, изменением, исполнением, нарушением, прекращением и действительностью, Стороны будут стремиться решать путем переговоров.</w:t>
      </w:r>
    </w:p>
    <w:p>
      <w:pPr>
        <w:pStyle w:val="Normal"/>
        <w:numPr>
          <w:ilvl w:val="1"/>
          <w:numId w:val="2"/>
        </w:numPr>
        <w:tabs>
          <w:tab w:val="clear" w:pos="709"/>
          <w:tab w:val="left" w:pos="1276" w:leader="none"/>
        </w:tabs>
        <w:ind w:firstLine="567" w:left="0"/>
        <w:jc w:val="both"/>
        <w:rPr>
          <w:lang w:eastAsia="en-US"/>
        </w:rPr>
      </w:pPr>
      <w:r>
        <w:rPr>
          <w:lang w:eastAsia="en-US"/>
        </w:rPr>
        <w:t>При невозможности разрешения спора, указанного в п. 6.1. Соглашения, путем переговоров в течение 30 (тридцати) календарных дней с даты его возникновения, спор разрешается в Арбитражном суде в соответствии с материальным правом Российской Федерации.</w:t>
      </w:r>
    </w:p>
    <w:p>
      <w:pPr>
        <w:pStyle w:val="Normal"/>
        <w:tabs>
          <w:tab w:val="clear" w:pos="709"/>
          <w:tab w:val="left" w:pos="567" w:leader="none"/>
        </w:tabs>
        <w:jc w:val="both"/>
        <w:rPr>
          <w:lang w:eastAsia="en-US"/>
        </w:rPr>
      </w:pPr>
      <w:r>
        <w:rPr>
          <w:lang w:eastAsia="en-US"/>
        </w:rPr>
      </w:r>
    </w:p>
    <w:p>
      <w:pPr>
        <w:pStyle w:val="Normal"/>
        <w:numPr>
          <w:ilvl w:val="0"/>
          <w:numId w:val="2"/>
        </w:numPr>
        <w:tabs>
          <w:tab w:val="clear" w:pos="709"/>
          <w:tab w:val="left" w:pos="284" w:leader="none"/>
        </w:tabs>
        <w:ind w:hanging="0" w:left="0"/>
        <w:jc w:val="both"/>
        <w:rPr>
          <w:b/>
          <w:lang w:eastAsia="en-US"/>
        </w:rPr>
      </w:pPr>
      <w:r>
        <w:rPr>
          <w:b/>
          <w:lang w:eastAsia="en-US"/>
        </w:rPr>
        <w:t>ПРОЧИЕ УСЛОВИЯ</w:t>
      </w:r>
    </w:p>
    <w:p>
      <w:pPr>
        <w:pStyle w:val="Normal"/>
        <w:numPr>
          <w:ilvl w:val="1"/>
          <w:numId w:val="2"/>
        </w:numPr>
        <w:tabs>
          <w:tab w:val="clear" w:pos="709"/>
          <w:tab w:val="left" w:pos="1276" w:leader="none"/>
        </w:tabs>
        <w:ind w:firstLine="567" w:left="0"/>
        <w:jc w:val="both"/>
        <w:rPr>
          <w:lang w:eastAsia="en-US"/>
        </w:rPr>
      </w:pPr>
      <w:r>
        <w:rPr>
          <w:lang w:eastAsia="en-US"/>
        </w:rPr>
        <w:t>Все приложения, изменения и дополнения к настоящему Соглашению действительны при условии, что они совершены в письменной форме в виде единого документа и подписаны обеими Сторонами. Приложения, изменения и дополнения, оформленные надлежащим образом, являются неотъемлемой частью настоящего Соглашения.</w:t>
      </w:r>
    </w:p>
    <w:p>
      <w:pPr>
        <w:pStyle w:val="Normal"/>
        <w:numPr>
          <w:ilvl w:val="1"/>
          <w:numId w:val="2"/>
        </w:numPr>
        <w:tabs>
          <w:tab w:val="clear" w:pos="709"/>
          <w:tab w:val="left" w:pos="1276" w:leader="none"/>
        </w:tabs>
        <w:ind w:firstLine="567" w:left="0"/>
        <w:jc w:val="both"/>
        <w:rPr>
          <w:lang w:eastAsia="en-US"/>
        </w:rPr>
      </w:pPr>
      <w:r>
        <w:rPr>
          <w:lang w:eastAsia="en-US"/>
        </w:rPr>
        <w:t>Передача прав и обязанностей по настоящему Соглашению третьим лицам осуществляется путем письменной договоренности Сторон.</w:t>
      </w:r>
    </w:p>
    <w:p>
      <w:pPr>
        <w:pStyle w:val="Normal"/>
        <w:numPr>
          <w:ilvl w:val="1"/>
          <w:numId w:val="2"/>
        </w:numPr>
        <w:tabs>
          <w:tab w:val="clear" w:pos="709"/>
          <w:tab w:val="left" w:pos="1276" w:leader="none"/>
        </w:tabs>
        <w:ind w:firstLine="567" w:left="0"/>
        <w:jc w:val="both"/>
        <w:rPr>
          <w:lang w:eastAsia="en-US"/>
        </w:rPr>
      </w:pPr>
      <w:r>
        <w:rPr>
          <w:lang w:eastAsia="en-US"/>
        </w:rPr>
        <w:t>Настоящее Соглашение составлено в двух оригинальных экземплярах, имеющих равную юридическую силу, по одному экземпляру для каждой из Сторон.</w:t>
      </w:r>
    </w:p>
    <w:p>
      <w:pPr>
        <w:pStyle w:val="Normal"/>
        <w:numPr>
          <w:ilvl w:val="1"/>
          <w:numId w:val="2"/>
        </w:numPr>
        <w:tabs>
          <w:tab w:val="clear" w:pos="709"/>
          <w:tab w:val="left" w:pos="1276" w:leader="none"/>
        </w:tabs>
        <w:ind w:firstLine="567" w:left="0"/>
        <w:jc w:val="both"/>
        <w:rPr>
          <w:lang w:eastAsia="en-US"/>
        </w:rPr>
      </w:pPr>
      <w:r>
        <w:rPr>
          <w:lang w:eastAsia="en-US"/>
        </w:rPr>
        <w:t>Передача Информации, содержащей сведения ограниченного доступа осуществляется по акту приема-передачи.</w:t>
      </w:r>
    </w:p>
    <w:p>
      <w:pPr>
        <w:pStyle w:val="Normal"/>
        <w:tabs>
          <w:tab w:val="clear" w:pos="709"/>
          <w:tab w:val="left" w:pos="1276" w:leader="none"/>
        </w:tabs>
        <w:jc w:val="both"/>
        <w:rPr>
          <w:lang w:eastAsia="en-US"/>
        </w:rPr>
      </w:pPr>
      <w:r>
        <w:rPr>
          <w:lang w:eastAsia="en-US"/>
        </w:rPr>
      </w:r>
    </w:p>
    <w:p>
      <w:pPr>
        <w:pStyle w:val="Normal"/>
        <w:numPr>
          <w:ilvl w:val="0"/>
          <w:numId w:val="2"/>
        </w:numPr>
        <w:tabs>
          <w:tab w:val="clear" w:pos="709"/>
          <w:tab w:val="left" w:pos="284" w:leader="none"/>
        </w:tabs>
        <w:ind w:hanging="0" w:left="0"/>
        <w:jc w:val="both"/>
        <w:rPr>
          <w:b/>
          <w:lang w:eastAsia="en-US"/>
        </w:rPr>
      </w:pPr>
      <w:r>
        <w:rPr>
          <w:b/>
          <w:lang w:eastAsia="en-US"/>
        </w:rPr>
        <w:t>ЮРИДИЧЕСКИЕ АДРЕСА И РЕКВИЗИТЫ СТОРОН:</w:t>
      </w:r>
    </w:p>
    <w:p>
      <w:pPr>
        <w:pStyle w:val="Normal"/>
        <w:jc w:val="both"/>
        <w:rPr>
          <w:b/>
          <w:lang w:eastAsia="en-US"/>
        </w:rPr>
      </w:pPr>
      <w:r>
        <w:rPr>
          <w:b/>
          <w:lang w:eastAsia="en-US"/>
        </w:rPr>
      </w:r>
    </w:p>
    <w:tbl>
      <w:tblPr>
        <w:tblW w:w="960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638"/>
        <w:gridCol w:w="4967"/>
      </w:tblGrid>
      <w:tr>
        <w:trPr/>
        <w:tc>
          <w:tcPr>
            <w:tcW w:w="4638" w:type="dxa"/>
            <w:tcBorders/>
          </w:tcPr>
          <w:p>
            <w:pPr>
              <w:pStyle w:val="Normal"/>
              <w:widowControl w:val="false"/>
              <w:ind w:hanging="0" w:right="68"/>
              <w:jc w:val="both"/>
              <w:rPr>
                <w:rFonts w:eastAsia="Calibri"/>
                <w:b/>
                <w:lang w:eastAsia="en-US"/>
              </w:rPr>
            </w:pPr>
            <w:r>
              <w:rPr>
                <w:rFonts w:eastAsia="Calibri"/>
                <w:b/>
                <w:lang w:eastAsia="en-US"/>
              </w:rPr>
              <w:t>Передающая сторона:</w:t>
            </w:r>
          </w:p>
          <w:p>
            <w:pPr>
              <w:pStyle w:val="Normal"/>
              <w:widowControl w:val="false"/>
              <w:ind w:hanging="0" w:right="68"/>
              <w:jc w:val="both"/>
              <w:rPr>
                <w:rFonts w:eastAsia="Calibri"/>
                <w:b/>
                <w:lang w:eastAsia="en-US"/>
              </w:rPr>
            </w:pPr>
            <w:r>
              <w:rPr>
                <w:rFonts w:eastAsia="Calibri"/>
                <w:b/>
                <w:lang w:eastAsia="en-US"/>
              </w:rPr>
            </w:r>
          </w:p>
        </w:tc>
        <w:tc>
          <w:tcPr>
            <w:tcW w:w="4967" w:type="dxa"/>
            <w:tcBorders/>
          </w:tcPr>
          <w:p>
            <w:pPr>
              <w:pStyle w:val="Normal"/>
              <w:widowControl w:val="false"/>
              <w:ind w:firstLine="709" w:right="68"/>
              <w:jc w:val="both"/>
              <w:rPr>
                <w:rFonts w:eastAsia="Calibri"/>
                <w:b/>
                <w:lang w:eastAsia="en-US"/>
              </w:rPr>
            </w:pPr>
            <w:r>
              <w:rPr>
                <w:rFonts w:eastAsia="Calibri"/>
                <w:b/>
                <w:lang w:eastAsia="en-US"/>
              </w:rPr>
              <w:t>Принимающая сторона:</w:t>
            </w:r>
          </w:p>
          <w:p>
            <w:pPr>
              <w:pStyle w:val="Normal"/>
              <w:widowControl w:val="false"/>
              <w:ind w:firstLine="709" w:right="68"/>
              <w:jc w:val="both"/>
              <w:rPr>
                <w:rFonts w:eastAsia="Calibri"/>
                <w:b/>
                <w:lang w:eastAsia="en-US"/>
              </w:rPr>
            </w:pPr>
            <w:r>
              <w:rPr>
                <w:rFonts w:eastAsia="Calibri"/>
                <w:b/>
                <w:lang w:eastAsia="en-US"/>
              </w:rPr>
            </w:r>
          </w:p>
        </w:tc>
      </w:tr>
      <w:tr>
        <w:trPr/>
        <w:tc>
          <w:tcPr>
            <w:tcW w:w="4638" w:type="dxa"/>
            <w:tcBorders/>
          </w:tcPr>
          <w:p>
            <w:pPr>
              <w:pStyle w:val="Normal"/>
              <w:widowControl w:val="false"/>
              <w:ind w:hanging="0" w:right="115"/>
              <w:jc w:val="both"/>
              <w:rPr>
                <w:rFonts w:eastAsia="Calibri"/>
                <w:lang w:eastAsia="en-US"/>
              </w:rPr>
            </w:pPr>
            <w:r>
              <w:rPr>
                <w:rFonts w:eastAsia="Calibri"/>
                <w:lang w:eastAsia="en-US"/>
              </w:rPr>
              <w:t>_____________________</w:t>
            </w:r>
          </w:p>
          <w:p>
            <w:pPr>
              <w:pStyle w:val="Normal"/>
              <w:widowControl w:val="false"/>
              <w:ind w:firstLine="709" w:right="115"/>
              <w:jc w:val="both"/>
              <w:rPr>
                <w:rFonts w:eastAsia="Calibri"/>
                <w:lang w:eastAsia="en-US"/>
              </w:rPr>
            </w:pPr>
            <w:r>
              <w:rPr>
                <w:rFonts w:eastAsia="Calibri"/>
                <w:lang w:eastAsia="en-US"/>
              </w:rPr>
            </w:r>
          </w:p>
          <w:p>
            <w:pPr>
              <w:pStyle w:val="Normal"/>
              <w:widowControl w:val="false"/>
              <w:ind w:hanging="0" w:right="115"/>
              <w:jc w:val="both"/>
              <w:rPr>
                <w:rFonts w:eastAsia="Calibri"/>
                <w:lang w:eastAsia="en-US"/>
              </w:rPr>
            </w:pPr>
            <w:r>
              <w:rPr>
                <w:rFonts w:eastAsia="Calibri"/>
                <w:lang w:eastAsia="en-US"/>
              </w:rPr>
              <w:t>_____________/________________/</w:t>
            </w:r>
          </w:p>
        </w:tc>
        <w:tc>
          <w:tcPr>
            <w:tcW w:w="4967" w:type="dxa"/>
            <w:tcBorders/>
          </w:tcPr>
          <w:p>
            <w:pPr>
              <w:pStyle w:val="Normal"/>
              <w:widowControl w:val="false"/>
              <w:ind w:hanging="0" w:right="115"/>
              <w:jc w:val="both"/>
              <w:rPr>
                <w:rFonts w:eastAsia="Calibri"/>
                <w:lang w:eastAsia="en-US"/>
              </w:rPr>
            </w:pPr>
            <w:r>
              <w:rPr>
                <w:rFonts w:eastAsia="Calibri"/>
                <w:lang w:eastAsia="en-US"/>
              </w:rPr>
              <w:t>_______________________________</w:t>
            </w:r>
          </w:p>
          <w:p>
            <w:pPr>
              <w:pStyle w:val="Normal"/>
              <w:widowControl w:val="false"/>
              <w:ind w:hanging="0" w:right="115"/>
              <w:jc w:val="both"/>
              <w:rPr>
                <w:rFonts w:eastAsia="Calibri"/>
                <w:lang w:eastAsia="en-US"/>
              </w:rPr>
            </w:pPr>
            <w:r>
              <w:rPr>
                <w:rFonts w:eastAsia="Calibri"/>
                <w:lang w:eastAsia="en-US"/>
              </w:rPr>
            </w:r>
          </w:p>
          <w:p>
            <w:pPr>
              <w:pStyle w:val="Normal"/>
              <w:widowControl w:val="false"/>
              <w:ind w:hanging="0" w:right="115"/>
              <w:jc w:val="both"/>
              <w:rPr>
                <w:rFonts w:eastAsia="Calibri"/>
                <w:lang w:eastAsia="en-US"/>
              </w:rPr>
            </w:pPr>
            <w:r>
              <w:rPr>
                <w:rFonts w:eastAsia="Calibri"/>
                <w:lang w:eastAsia="en-US"/>
              </w:rPr>
              <w:t>________________/_______________/</w:t>
            </w:r>
          </w:p>
        </w:tc>
      </w:tr>
    </w:tbl>
    <w:p>
      <w:pPr>
        <w:pStyle w:val="Normal"/>
        <w:ind w:hanging="0" w:left="4536"/>
        <w:jc w:val="right"/>
        <w:rPr>
          <w:rFonts w:eastAsia="Calibri"/>
          <w:sz w:val="22"/>
          <w:szCs w:val="22"/>
          <w:lang w:eastAsia="en-US"/>
        </w:rPr>
      </w:pPr>
      <w:r>
        <w:br w:type="page"/>
      </w:r>
      <w:r>
        <w:rPr>
          <w:rFonts w:eastAsia="Calibri"/>
          <w:sz w:val="22"/>
          <w:szCs w:val="22"/>
          <w:lang w:eastAsia="en-US"/>
        </w:rPr>
        <w:t>Приложение №2</w:t>
      </w:r>
    </w:p>
    <w:p>
      <w:pPr>
        <w:pStyle w:val="Normal"/>
        <w:ind w:hanging="0" w:left="5812"/>
        <w:jc w:val="right"/>
        <w:rPr>
          <w:rFonts w:eastAsia="Calibri"/>
          <w:sz w:val="22"/>
          <w:szCs w:val="22"/>
          <w:lang w:eastAsia="en-US"/>
        </w:rPr>
      </w:pPr>
      <w:r>
        <w:rPr>
          <w:rFonts w:eastAsia="Calibri"/>
          <w:sz w:val="22"/>
          <w:szCs w:val="22"/>
          <w:lang w:eastAsia="en-US"/>
        </w:rPr>
        <w:t xml:space="preserve">к Техническим требованиям </w:t>
      </w:r>
    </w:p>
    <w:p>
      <w:pPr>
        <w:pStyle w:val="Normal"/>
        <w:ind w:hanging="0" w:left="5812"/>
        <w:jc w:val="right"/>
        <w:rPr>
          <w:rFonts w:eastAsia="Calibri"/>
          <w:lang w:eastAsia="en-US"/>
        </w:rPr>
      </w:pPr>
      <w:r>
        <w:rPr>
          <w:rFonts w:eastAsia="Calibri"/>
          <w:lang w:eastAsia="en-US"/>
        </w:rPr>
      </w:r>
    </w:p>
    <w:p>
      <w:pPr>
        <w:pStyle w:val="Normal"/>
        <w:jc w:val="center"/>
        <w:rPr>
          <w:rFonts w:eastAsia="Calibri"/>
          <w:b/>
          <w:lang w:eastAsia="en-US"/>
        </w:rPr>
      </w:pPr>
      <w:r>
        <w:rPr>
          <w:rFonts w:eastAsia="Calibri"/>
          <w:b/>
          <w:lang w:eastAsia="en-US"/>
        </w:rPr>
        <w:t>АНКЕТА (форма)</w:t>
      </w:r>
    </w:p>
    <w:tbl>
      <w:tblPr>
        <w:tblW w:w="970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7903"/>
        <w:gridCol w:w="1801"/>
      </w:tblGrid>
      <w:tr>
        <w:trPr/>
        <w:tc>
          <w:tcPr>
            <w:tcW w:w="7903" w:type="dxa"/>
            <w:tcBorders>
              <w:right w:val="single" w:sz="4" w:space="0" w:color="000000"/>
            </w:tcBorders>
          </w:tcPr>
          <w:p>
            <w:pPr>
              <w:pStyle w:val="Normal"/>
              <w:widowControl w:val="false"/>
              <w:rPr>
                <w:rFonts w:eastAsia="Calibri"/>
                <w:lang w:eastAsia="en-US"/>
              </w:rPr>
            </w:pPr>
            <w:r>
              <w:rPr>
                <w:rFonts w:eastAsia="Calibri"/>
                <w:lang w:eastAsia="en-US"/>
              </w:rPr>
            </w:r>
          </w:p>
          <w:p>
            <w:pPr>
              <w:pStyle w:val="Normal"/>
              <w:widowControl w:val="false"/>
              <w:numPr>
                <w:ilvl w:val="0"/>
                <w:numId w:val="4"/>
              </w:numPr>
              <w:tabs>
                <w:tab w:val="clear" w:pos="709"/>
                <w:tab w:val="left" w:pos="284" w:leader="none"/>
              </w:tabs>
              <w:ind w:hanging="720" w:left="720"/>
              <w:rPr>
                <w:rFonts w:eastAsia="Calibri"/>
                <w:lang w:eastAsia="en-US"/>
              </w:rPr>
            </w:pPr>
            <w:r>
              <w:rPr>
                <w:rFonts w:eastAsia="Calibri"/>
                <w:lang w:eastAsia="en-US"/>
              </w:rPr>
              <w:t>Фамилия      ______________________________________________</w:t>
            </w:r>
          </w:p>
          <w:p>
            <w:pPr>
              <w:pStyle w:val="Normal"/>
              <w:widowControl w:val="false"/>
              <w:rPr>
                <w:rFonts w:eastAsia="Calibri"/>
                <w:lang w:eastAsia="en-US"/>
              </w:rPr>
            </w:pPr>
            <w:r>
              <w:rPr>
                <w:rFonts w:eastAsia="Calibri"/>
                <w:lang w:eastAsia="en-US"/>
              </w:rPr>
              <w:t>Имя                   ______________________________________________</w:t>
            </w:r>
          </w:p>
          <w:p>
            <w:pPr>
              <w:pStyle w:val="Normal"/>
              <w:widowControl w:val="false"/>
              <w:rPr>
                <w:rFonts w:eastAsia="Calibri"/>
                <w:lang w:eastAsia="en-US"/>
              </w:rPr>
            </w:pPr>
            <w:r>
              <w:rPr>
                <w:rFonts w:eastAsia="Calibri"/>
                <w:lang w:eastAsia="en-US"/>
              </w:rPr>
              <w:t>Отчество           ______________________________________________</w:t>
            </w:r>
          </w:p>
          <w:p>
            <w:pPr>
              <w:pStyle w:val="Normal"/>
              <w:widowControl w:val="false"/>
              <w:rPr>
                <w:rFonts w:eastAsia="Calibri"/>
                <w:lang w:eastAsia="en-US"/>
              </w:rPr>
            </w:pPr>
            <w:r>
              <w:rPr>
                <w:rFonts w:eastAsia="Calibri"/>
                <w:lang w:eastAsia="en-US"/>
              </w:rPr>
              <w:t>Должность __________________________________________________</w:t>
            </w:r>
          </w:p>
          <w:p>
            <w:pPr>
              <w:pStyle w:val="Normal"/>
              <w:widowControl w:val="false"/>
              <w:rPr>
                <w:rFonts w:eastAsia="Calibri"/>
                <w:lang w:eastAsia="en-US"/>
              </w:rPr>
            </w:pPr>
            <w:r>
              <w:rPr>
                <w:rFonts w:eastAsia="Calibri"/>
                <w:lang w:eastAsia="en-US"/>
              </w:rPr>
              <w:t>Организация _________________________________________________</w:t>
            </w:r>
          </w:p>
          <w:p>
            <w:pPr>
              <w:pStyle w:val="Normal"/>
              <w:widowControl w:val="false"/>
              <w:rPr>
                <w:rFonts w:eastAsia="Calibri"/>
                <w:lang w:eastAsia="en-US"/>
              </w:rPr>
            </w:pPr>
            <w:r>
              <w:rPr>
                <w:rFonts w:eastAsia="Calibri"/>
                <w:lang w:eastAsia="en-US"/>
              </w:rPr>
              <w:t>_______________________________________________________________</w:t>
            </w:r>
          </w:p>
        </w:tc>
        <w:tc>
          <w:tcPr>
            <w:tcW w:w="18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eastAsia="Calibri"/>
                <w:lang w:eastAsia="en-US"/>
              </w:rPr>
            </w:pPr>
            <w:r>
              <w:rPr>
                <w:rFonts w:eastAsia="Calibri"/>
                <w:lang w:eastAsia="en-US"/>
              </w:rPr>
              <w:t>Место</w:t>
            </w:r>
          </w:p>
          <w:p>
            <w:pPr>
              <w:pStyle w:val="Normal"/>
              <w:widowControl w:val="false"/>
              <w:jc w:val="center"/>
              <w:rPr>
                <w:rFonts w:eastAsia="Calibri"/>
                <w:lang w:eastAsia="en-US"/>
              </w:rPr>
            </w:pPr>
            <w:r>
              <w:rPr>
                <w:rFonts w:eastAsia="Calibri"/>
                <w:lang w:eastAsia="en-US"/>
              </w:rPr>
              <w:t>для</w:t>
            </w:r>
          </w:p>
          <w:p>
            <w:pPr>
              <w:pStyle w:val="Normal"/>
              <w:widowControl w:val="false"/>
              <w:jc w:val="center"/>
              <w:rPr>
                <w:rFonts w:eastAsia="Calibri"/>
                <w:lang w:eastAsia="en-US"/>
              </w:rPr>
            </w:pPr>
            <w:r>
              <w:rPr>
                <w:rFonts w:eastAsia="Calibri"/>
                <w:lang w:eastAsia="en-US"/>
              </w:rPr>
              <w:t>фотографии</w:t>
            </w:r>
          </w:p>
        </w:tc>
      </w:tr>
    </w:tbl>
    <w:p>
      <w:pPr>
        <w:pStyle w:val="Normal"/>
        <w:rPr>
          <w:rFonts w:eastAsia="Calibri"/>
          <w:lang w:eastAsia="en-US"/>
        </w:rPr>
      </w:pPr>
      <w:r>
        <w:rPr>
          <w:rFonts w:eastAsia="Calibri"/>
          <w:lang w:eastAsia="en-US"/>
        </w:rPr>
        <w:t>2. Изменялась ли фамилия, имя или отчество, если да, то указать их, а также когда, где и по какой причине ___________________________________________________________________</w:t>
      </w:r>
    </w:p>
    <w:p>
      <w:pPr>
        <w:pStyle w:val="Normal"/>
        <w:rPr>
          <w:rFonts w:eastAsia="Calibri"/>
          <w:lang w:eastAsia="en-US"/>
        </w:rPr>
      </w:pPr>
      <w:r>
        <w:rPr>
          <w:rFonts w:eastAsia="Calibri"/>
          <w:lang w:eastAsia="en-US"/>
        </w:rPr>
        <w:t>3. Число, месяц и год рождения  ____________________________________________________</w:t>
      </w:r>
    </w:p>
    <w:p>
      <w:pPr>
        <w:pStyle w:val="Normal"/>
        <w:rPr>
          <w:rFonts w:eastAsia="Calibri"/>
          <w:lang w:eastAsia="en-US"/>
        </w:rPr>
      </w:pPr>
      <w:r>
        <w:rPr>
          <w:rFonts w:eastAsia="Calibri"/>
          <w:lang w:eastAsia="en-US"/>
        </w:rPr>
        <w:t>4. Место рождения _______________________________________________________________</w:t>
      </w:r>
    </w:p>
    <w:p>
      <w:pPr>
        <w:pStyle w:val="Normal"/>
        <w:rPr>
          <w:rFonts w:eastAsia="Calibri"/>
          <w:lang w:eastAsia="en-US"/>
        </w:rPr>
      </w:pPr>
      <w:r>
        <w:rPr>
          <w:rFonts w:eastAsia="Calibri"/>
          <w:lang w:eastAsia="en-US"/>
        </w:rPr>
        <w:t>________________________________________________________________________________</w:t>
      </w:r>
    </w:p>
    <w:p>
      <w:pPr>
        <w:pStyle w:val="Normal"/>
        <w:jc w:val="center"/>
        <w:rPr>
          <w:rFonts w:eastAsia="Calibri"/>
          <w:i/>
          <w:i/>
          <w:vertAlign w:val="superscript"/>
          <w:lang w:eastAsia="en-US"/>
        </w:rPr>
      </w:pPr>
      <w:r>
        <w:rPr>
          <w:rFonts w:eastAsia="Calibri"/>
          <w:i/>
          <w:vertAlign w:val="superscript"/>
          <w:lang w:eastAsia="en-US"/>
        </w:rPr>
        <w:t>(населенный пункт, район, область, край, республика)</w:t>
      </w:r>
    </w:p>
    <w:p>
      <w:pPr>
        <w:pStyle w:val="Normal"/>
        <w:rPr>
          <w:rFonts w:eastAsia="Calibri"/>
          <w:lang w:eastAsia="en-US"/>
        </w:rPr>
      </w:pPr>
      <w:r>
        <w:rPr>
          <w:rFonts w:eastAsia="Calibri"/>
          <w:lang w:eastAsia="en-US"/>
        </w:rPr>
        <w:t>5. Гражданство__________________________________________________________________</w:t>
      </w:r>
    </w:p>
    <w:p>
      <w:pPr>
        <w:pStyle w:val="Normal"/>
        <w:ind w:hanging="0" w:left="1560"/>
        <w:jc w:val="center"/>
        <w:rPr>
          <w:rFonts w:eastAsia="Calibri"/>
          <w:i/>
          <w:i/>
          <w:vertAlign w:val="superscript"/>
          <w:lang w:eastAsia="en-US"/>
        </w:rPr>
      </w:pPr>
      <w:r>
        <w:rPr>
          <w:rFonts w:eastAsia="Calibri"/>
          <w:i/>
          <w:vertAlign w:val="superscript"/>
          <w:lang w:eastAsia="en-US"/>
        </w:rPr>
        <w:t>(если изменялось, то указать, когда и по какой причине)</w:t>
      </w:r>
    </w:p>
    <w:p>
      <w:pPr>
        <w:pStyle w:val="Normal"/>
        <w:rPr>
          <w:rFonts w:eastAsia="Calibri"/>
          <w:lang w:eastAsia="en-US"/>
        </w:rPr>
      </w:pPr>
      <w:r>
        <w:rPr>
          <w:rFonts w:eastAsia="Calibri"/>
          <w:lang w:eastAsia="en-US"/>
        </w:rPr>
        <w:t>6. Образование, специальность и квалификация по диплому ____________________________</w:t>
      </w:r>
    </w:p>
    <w:p>
      <w:pPr>
        <w:pStyle w:val="Normal"/>
        <w:rPr>
          <w:rFonts w:eastAsia="Calibri"/>
          <w:lang w:eastAsia="en-US"/>
        </w:rPr>
      </w:pPr>
      <w:r>
        <w:rPr>
          <w:rFonts w:eastAsia="Calibri"/>
          <w:lang w:eastAsia="en-US"/>
        </w:rPr>
        <w:t>________________________________________________________________________________</w:t>
      </w:r>
    </w:p>
    <w:p>
      <w:pPr>
        <w:pStyle w:val="Normal"/>
        <w:jc w:val="center"/>
        <w:rPr>
          <w:rFonts w:eastAsia="Calibri"/>
          <w:i/>
          <w:i/>
          <w:vertAlign w:val="superscript"/>
          <w:lang w:eastAsia="en-US"/>
        </w:rPr>
      </w:pPr>
      <w:r>
        <w:rPr>
          <w:rFonts w:eastAsia="Calibri"/>
          <w:i/>
          <w:vertAlign w:val="superscript"/>
          <w:lang w:eastAsia="en-US"/>
        </w:rPr>
        <w:t>(когда и какие учебные заведения окончили)</w:t>
      </w:r>
    </w:p>
    <w:p>
      <w:pPr>
        <w:pStyle w:val="Normal"/>
        <w:rPr>
          <w:rFonts w:eastAsia="Calibri"/>
          <w:lang w:eastAsia="en-US"/>
        </w:rPr>
      </w:pPr>
      <w:r>
        <w:rPr>
          <w:rFonts w:eastAsia="Calibri"/>
          <w:lang w:eastAsia="en-US"/>
        </w:rPr>
        <w:t>7. Адрес фактического места жительства: ____________________________________________</w:t>
      </w:r>
    </w:p>
    <w:p>
      <w:pPr>
        <w:pStyle w:val="Normal"/>
        <w:rPr>
          <w:rFonts w:eastAsia="Calibri"/>
          <w:lang w:eastAsia="en-US"/>
        </w:rPr>
      </w:pPr>
      <w:r>
        <w:rPr>
          <w:rFonts w:eastAsia="Calibri"/>
          <w:lang w:eastAsia="en-US"/>
        </w:rPr>
        <w:t>________________________________________________________________________________</w:t>
      </w:r>
    </w:p>
    <w:p>
      <w:pPr>
        <w:pStyle w:val="Normal"/>
        <w:rPr>
          <w:rFonts w:eastAsia="Calibri"/>
          <w:lang w:eastAsia="en-US"/>
        </w:rPr>
      </w:pPr>
      <w:r>
        <w:rPr>
          <w:rFonts w:eastAsia="Calibri"/>
          <w:lang w:eastAsia="en-US"/>
        </w:rPr>
        <w:t>9. Адрес регистрации по месту жительства и/или месту пребывания: ________________________________________________________________________________</w:t>
      </w:r>
    </w:p>
    <w:p>
      <w:pPr>
        <w:pStyle w:val="Normal"/>
        <w:rPr>
          <w:rFonts w:eastAsia="Calibri"/>
          <w:lang w:eastAsia="en-US"/>
        </w:rPr>
      </w:pPr>
      <w:r>
        <w:rPr>
          <w:rFonts w:eastAsia="Calibri"/>
          <w:lang w:eastAsia="en-US"/>
        </w:rPr>
        <w:t>10. Паспорт или документ, его заменяющий __________________________________________</w:t>
      </w:r>
    </w:p>
    <w:p>
      <w:pPr>
        <w:pStyle w:val="Normal"/>
        <w:rPr>
          <w:rFonts w:eastAsia="Calibri"/>
          <w:lang w:eastAsia="en-US"/>
        </w:rPr>
      </w:pPr>
      <w:r>
        <w:rPr>
          <w:rFonts w:eastAsia="Calibri"/>
          <w:lang w:eastAsia="en-US"/>
        </w:rPr>
        <w:t>________________________________________________________________________________</w:t>
      </w:r>
    </w:p>
    <w:p>
      <w:pPr>
        <w:pStyle w:val="Normal"/>
        <w:jc w:val="center"/>
        <w:rPr>
          <w:rFonts w:eastAsia="Calibri"/>
          <w:i/>
          <w:i/>
          <w:vertAlign w:val="superscript"/>
          <w:lang w:eastAsia="en-US"/>
        </w:rPr>
      </w:pPr>
      <w:r>
        <w:rPr>
          <w:rFonts w:eastAsia="Calibri"/>
          <w:i/>
          <w:vertAlign w:val="superscript"/>
          <w:lang w:eastAsia="en-US"/>
        </w:rPr>
        <w:t>(номер, серия, кем и когда выдан)</w:t>
      </w:r>
    </w:p>
    <w:p>
      <w:pPr>
        <w:pStyle w:val="Normal"/>
        <w:ind w:firstLine="567"/>
        <w:jc w:val="both"/>
        <w:rPr>
          <w:rFonts w:eastAsia="Calibri"/>
          <w:sz w:val="23"/>
          <w:szCs w:val="23"/>
          <w:lang w:eastAsia="en-US"/>
        </w:rPr>
      </w:pPr>
      <w:r>
        <w:rPr>
          <w:rFonts w:eastAsia="Calibri"/>
          <w:sz w:val="23"/>
          <w:szCs w:val="23"/>
          <w:lang w:eastAsia="en-US"/>
        </w:rPr>
        <w:t>Настоящим, в соответствии с Федеральным законом от 27.07.2006 №152 «О персональных данных» даю согласие филиалу ПАО «РусГидро» - «Северо-Осетинский филиал», расположенному по адресу: Российская Федерация, РСО-Алания, г. Владикавказ, ул. В.Абаева, 63, на обработку моих персональных данных, а именно: фамилия, имя, отчество, фотография, дата рождения, адрес фактического места жительства, адреса регистрации по месту жительства, сведения об образовании, профессии (должности), сведения о месте работы, паспортных данных.</w:t>
      </w:r>
    </w:p>
    <w:p>
      <w:pPr>
        <w:pStyle w:val="Normal"/>
        <w:ind w:firstLine="567"/>
        <w:jc w:val="both"/>
        <w:rPr>
          <w:rFonts w:eastAsia="Calibri"/>
          <w:sz w:val="23"/>
          <w:szCs w:val="23"/>
          <w:lang w:eastAsia="en-US"/>
        </w:rPr>
      </w:pPr>
      <w:r>
        <w:rPr>
          <w:rFonts w:eastAsia="Calibri"/>
          <w:sz w:val="23"/>
          <w:szCs w:val="23"/>
          <w:lang w:eastAsia="en-US"/>
        </w:rPr>
        <w:t>Целью обработки персональных данных работников подрядных организаций и посетителей Филиала является обеспечение пропускного режима.</w:t>
      </w:r>
    </w:p>
    <w:p>
      <w:pPr>
        <w:pStyle w:val="Normal"/>
        <w:ind w:firstLine="567"/>
        <w:jc w:val="both"/>
        <w:rPr>
          <w:rFonts w:eastAsia="Calibri"/>
          <w:sz w:val="23"/>
          <w:szCs w:val="23"/>
          <w:lang w:eastAsia="en-US"/>
        </w:rPr>
      </w:pPr>
      <w:r>
        <w:rPr>
          <w:rFonts w:eastAsia="Calibri"/>
          <w:sz w:val="23"/>
          <w:szCs w:val="23"/>
          <w:lang w:eastAsia="en-US"/>
        </w:rPr>
        <w:t>Подписывая данную анкету даю согласие на совершение следующих действий (операций) с моими персональными данными: сбор, систематизацию, накопление, хранение, уточнение (обновление, изменение), использование, передачу (в том числе предоставление определенному кругу третьих лиц для достижения вышеуказанных целей), блокирование, удаление, уничтожение, осуществляемых как с использованием средств автоматизации (автоматизированная обработка), так и без использования таких средств (неавтоматизированная обработка).</w:t>
      </w:r>
    </w:p>
    <w:p>
      <w:pPr>
        <w:pStyle w:val="Normal"/>
        <w:ind w:firstLine="567"/>
        <w:jc w:val="both"/>
        <w:rPr>
          <w:rFonts w:eastAsia="Calibri"/>
          <w:sz w:val="23"/>
          <w:szCs w:val="23"/>
          <w:lang w:eastAsia="en-US"/>
        </w:rPr>
      </w:pPr>
      <w:r>
        <w:rPr>
          <w:rFonts w:eastAsia="Calibri"/>
          <w:sz w:val="23"/>
          <w:szCs w:val="23"/>
          <w:lang w:eastAsia="en-US"/>
        </w:rPr>
        <w:t>Я подтверждаю, что ознакомлен с требованиями законодательства Российской Федерации, устанавливающими порядок обработки персональных данных, а также с моими правами и обязанностями в этой области.</w:t>
      </w:r>
    </w:p>
    <w:p>
      <w:pPr>
        <w:pStyle w:val="Normal"/>
        <w:ind w:firstLine="567"/>
        <w:jc w:val="both"/>
        <w:rPr>
          <w:rFonts w:eastAsia="Calibri"/>
          <w:sz w:val="23"/>
          <w:szCs w:val="23"/>
          <w:lang w:eastAsia="en-US"/>
        </w:rPr>
      </w:pPr>
      <w:r>
        <w:rPr>
          <w:rFonts w:eastAsia="Calibri"/>
          <w:sz w:val="23"/>
          <w:szCs w:val="23"/>
          <w:lang w:eastAsia="en-US"/>
        </w:rPr>
        <w:t>Согласие вступает в силу со дня его подписания на период не менее чем срок хранения документов, установленных архивным законодательством. Согласие (анкета) может быть отозвано мною в любое время на основании моего письменного заявления.</w:t>
      </w:r>
    </w:p>
    <w:p>
      <w:pPr>
        <w:pStyle w:val="Normal"/>
        <w:ind w:firstLine="567"/>
        <w:rPr>
          <w:rFonts w:eastAsia="Calibri"/>
          <w:b/>
          <w:i/>
          <w:i/>
          <w:sz w:val="23"/>
          <w:szCs w:val="23"/>
          <w:lang w:eastAsia="en-US"/>
        </w:rPr>
      </w:pPr>
      <w:r>
        <w:rPr>
          <w:rFonts w:eastAsia="Calibri"/>
          <w:b/>
          <w:i/>
          <w:sz w:val="23"/>
          <w:szCs w:val="23"/>
          <w:lang w:eastAsia="en-US"/>
        </w:rPr>
        <w:t>Я подтверждаю, что вся информация, указанная мною в настоящей анкете, предоставлена добровольно и является достоверной.</w:t>
      </w:r>
    </w:p>
    <w:p>
      <w:pPr>
        <w:pStyle w:val="Normal"/>
        <w:rPr>
          <w:rFonts w:eastAsia="Calibri"/>
          <w:lang w:eastAsia="en-US"/>
        </w:rPr>
      </w:pPr>
      <w:r>
        <w:rPr>
          <w:rFonts w:eastAsia="Calibri"/>
          <w:lang w:eastAsia="en-US"/>
        </w:rPr>
        <w:t>_____________________________</w:t>
        <w:tab/>
        <w:t xml:space="preserve">  </w:t>
        <w:tab/>
        <w:tab/>
        <w:tab/>
        <w:tab/>
        <w:tab/>
        <w:t>____________________</w:t>
      </w:r>
    </w:p>
    <w:p>
      <w:pPr>
        <w:pStyle w:val="Normal"/>
        <w:rPr>
          <w:rFonts w:eastAsia="Calibri"/>
          <w:lang w:eastAsia="en-US"/>
        </w:rPr>
      </w:pPr>
      <w:r>
        <w:rPr>
          <w:rFonts w:eastAsia="Calibri"/>
          <w:vertAlign w:val="superscript"/>
          <w:lang w:eastAsia="en-US"/>
        </w:rPr>
        <w:t xml:space="preserve">                                                                 </w:t>
      </w:r>
      <w:r>
        <w:rPr>
          <w:rFonts w:eastAsia="Calibri"/>
          <w:vertAlign w:val="superscript"/>
          <w:lang w:eastAsia="en-US"/>
        </w:rPr>
        <w:t>(ФИО)</w:t>
        <w:tab/>
        <w:t xml:space="preserve">                                                                                                    </w:t>
        <w:tab/>
        <w:tab/>
        <w:tab/>
      </w:r>
      <w:r>
        <w:rPr>
          <w:rFonts w:eastAsia="Calibri"/>
          <w:lang w:eastAsia="en-US"/>
        </w:rPr>
        <w:t xml:space="preserve"> «___» ___________ 20__ г.</w:t>
      </w:r>
    </w:p>
    <w:p>
      <w:pPr>
        <w:pStyle w:val="Normal"/>
        <w:rPr>
          <w:rFonts w:eastAsia="Calibri"/>
          <w:vertAlign w:val="superscript"/>
          <w:lang w:eastAsia="en-US"/>
        </w:rPr>
      </w:pPr>
      <w:r>
        <w:rPr>
          <w:rFonts w:eastAsia="Calibri"/>
          <w:vertAlign w:val="superscript"/>
          <w:lang w:eastAsia="en-US"/>
        </w:rPr>
      </w:r>
      <w:r>
        <w:br w:type="page"/>
      </w:r>
    </w:p>
    <w:p>
      <w:pPr>
        <w:pStyle w:val="Normal"/>
        <w:ind w:hanging="0" w:left="4536"/>
        <w:jc w:val="right"/>
        <w:rPr>
          <w:rFonts w:eastAsia="Calibri"/>
          <w:sz w:val="22"/>
          <w:szCs w:val="22"/>
          <w:lang w:eastAsia="en-US"/>
        </w:rPr>
      </w:pPr>
      <w:r>
        <w:rPr>
          <w:rFonts w:eastAsia="Calibri"/>
          <w:sz w:val="22"/>
          <w:szCs w:val="22"/>
          <w:lang w:eastAsia="en-US"/>
        </w:rPr>
        <w:t>Приложение №3</w:t>
      </w:r>
    </w:p>
    <w:p>
      <w:pPr>
        <w:pStyle w:val="Normal"/>
        <w:ind w:hanging="0" w:left="5812"/>
        <w:jc w:val="right"/>
        <w:rPr>
          <w:rFonts w:eastAsia="Calibri"/>
          <w:sz w:val="22"/>
          <w:szCs w:val="22"/>
          <w:lang w:eastAsia="en-US"/>
        </w:rPr>
      </w:pPr>
      <w:r>
        <w:rPr>
          <w:rFonts w:eastAsia="Calibri"/>
          <w:sz w:val="22"/>
          <w:szCs w:val="22"/>
          <w:lang w:eastAsia="en-US"/>
        </w:rPr>
        <w:t xml:space="preserve">к Техническим требованиям </w:t>
      </w:r>
    </w:p>
    <w:p>
      <w:pPr>
        <w:pStyle w:val="Normal"/>
        <w:ind w:hanging="0" w:left="5812"/>
        <w:jc w:val="right"/>
        <w:rPr>
          <w:rFonts w:eastAsia="Calibri"/>
          <w:b/>
          <w:lang w:eastAsia="en-US"/>
        </w:rPr>
      </w:pPr>
      <w:r>
        <w:rPr>
          <w:rFonts w:eastAsia="Calibri"/>
          <w:b/>
          <w:lang w:eastAsia="en-US"/>
        </w:rPr>
      </w:r>
    </w:p>
    <w:p>
      <w:pPr>
        <w:pStyle w:val="Normal"/>
        <w:numPr>
          <w:ilvl w:val="0"/>
          <w:numId w:val="0"/>
        </w:numPr>
        <w:ind w:hanging="0" w:left="0"/>
        <w:jc w:val="center"/>
        <w:outlineLvl w:val="0"/>
        <w:rPr>
          <w:rFonts w:eastAsia="Calibri"/>
          <w:b/>
          <w:lang w:eastAsia="en-US"/>
        </w:rPr>
      </w:pPr>
      <w:r>
        <w:rPr>
          <w:rFonts w:eastAsia="Calibri"/>
          <w:b/>
          <w:lang w:eastAsia="en-US"/>
        </w:rPr>
        <w:t>Согласие на обработку персональных данных (форма)</w:t>
      </w:r>
    </w:p>
    <w:p>
      <w:pPr>
        <w:pStyle w:val="Normal"/>
        <w:numPr>
          <w:ilvl w:val="0"/>
          <w:numId w:val="0"/>
        </w:numPr>
        <w:ind w:hanging="0" w:left="0"/>
        <w:outlineLvl w:val="0"/>
        <w:rPr>
          <w:rFonts w:eastAsia="Calibri"/>
          <w:b/>
          <w:lang w:eastAsia="en-US"/>
        </w:rPr>
      </w:pPr>
      <w:r>
        <w:rPr>
          <w:rFonts w:eastAsia="Calibri"/>
          <w:b/>
          <w:lang w:eastAsia="en-US"/>
        </w:rPr>
      </w:r>
    </w:p>
    <w:p>
      <w:pPr>
        <w:pStyle w:val="Normal"/>
        <w:rPr>
          <w:rFonts w:eastAsia="Calibri"/>
          <w:lang w:eastAsia="en-US"/>
        </w:rPr>
      </w:pPr>
      <w:r>
        <w:rPr>
          <w:rFonts w:eastAsia="Calibri"/>
          <w:lang w:eastAsia="en-US"/>
        </w:rPr>
      </w:r>
    </w:p>
    <w:p>
      <w:pPr>
        <w:pStyle w:val="Normal"/>
        <w:widowControl w:val="false"/>
        <w:textAlignment w:val="baseline"/>
        <w:rPr>
          <w:rFonts w:eastAsia="Calibri"/>
          <w:b/>
          <w:lang w:eastAsia="x-none"/>
        </w:rPr>
      </w:pPr>
      <w:bookmarkStart w:id="4" w:name="_Toc371578780"/>
      <w:bookmarkStart w:id="5" w:name="_Toc371577629"/>
      <w:r>
        <w:rPr>
          <w:rFonts w:eastAsia="Calibri"/>
          <w:lang w:eastAsia="en-US"/>
        </w:rPr>
        <w:t>Я,____________________________________________________________</w:t>
      </w:r>
      <w:bookmarkEnd w:id="4"/>
      <w:bookmarkEnd w:id="5"/>
      <w:r>
        <w:rPr>
          <w:rFonts w:eastAsia="Calibri"/>
          <w:lang w:eastAsia="en-US"/>
        </w:rPr>
        <w:t>__________________</w:t>
      </w:r>
    </w:p>
    <w:p>
      <w:pPr>
        <w:pStyle w:val="Normal"/>
        <w:widowControl w:val="false"/>
        <w:jc w:val="center"/>
        <w:textAlignment w:val="baseline"/>
        <w:rPr>
          <w:rFonts w:eastAsia="Calibri"/>
          <w:vertAlign w:val="superscript"/>
          <w:lang w:eastAsia="en-US"/>
        </w:rPr>
      </w:pPr>
      <w:bookmarkStart w:id="6" w:name="_Toc371578781"/>
      <w:bookmarkStart w:id="7" w:name="_Toc371577630"/>
      <w:r>
        <w:rPr>
          <w:rFonts w:eastAsia="Calibri"/>
          <w:vertAlign w:val="superscript"/>
          <w:lang w:eastAsia="en-US"/>
        </w:rPr>
        <w:t>(полностью фамилия, имя, отчество)</w:t>
      </w:r>
      <w:bookmarkEnd w:id="6"/>
      <w:bookmarkEnd w:id="7"/>
    </w:p>
    <w:p>
      <w:pPr>
        <w:pStyle w:val="Normal"/>
        <w:widowControl w:val="false"/>
        <w:jc w:val="center"/>
        <w:textAlignment w:val="baseline"/>
        <w:rPr>
          <w:rFonts w:eastAsia="Calibri"/>
          <w:b/>
          <w:lang w:eastAsia="x-none"/>
        </w:rPr>
      </w:pPr>
      <w:bookmarkStart w:id="8" w:name="_Toc371578782"/>
      <w:bookmarkStart w:id="9" w:name="_Toc371577631"/>
      <w:r>
        <w:rPr>
          <w:rFonts w:eastAsia="Calibri"/>
          <w:lang w:eastAsia="en-US"/>
        </w:rPr>
        <w:t>__________________________________________________________________</w:t>
      </w:r>
      <w:bookmarkEnd w:id="8"/>
      <w:bookmarkEnd w:id="9"/>
      <w:r>
        <w:rPr>
          <w:rFonts w:eastAsia="Calibri"/>
          <w:lang w:eastAsia="en-US"/>
        </w:rPr>
        <w:t>__________________</w:t>
      </w:r>
    </w:p>
    <w:p>
      <w:pPr>
        <w:pStyle w:val="Normal"/>
        <w:widowControl w:val="false"/>
        <w:jc w:val="center"/>
        <w:textAlignment w:val="baseline"/>
        <w:rPr>
          <w:rFonts w:eastAsia="Calibri"/>
          <w:vertAlign w:val="superscript"/>
          <w:lang w:eastAsia="en-US"/>
        </w:rPr>
      </w:pPr>
      <w:bookmarkStart w:id="10" w:name="_Toc371578783"/>
      <w:bookmarkStart w:id="11" w:name="_Toc371577632"/>
      <w:r>
        <w:rPr>
          <w:rFonts w:eastAsia="Calibri"/>
          <w:vertAlign w:val="superscript"/>
          <w:lang w:eastAsia="en-US"/>
        </w:rPr>
        <w:t>(дата, месяц, год и место рождения)</w:t>
      </w:r>
      <w:bookmarkEnd w:id="10"/>
      <w:bookmarkEnd w:id="11"/>
    </w:p>
    <w:p>
      <w:pPr>
        <w:pStyle w:val="Normal"/>
        <w:widowControl w:val="false"/>
        <w:jc w:val="center"/>
        <w:textAlignment w:val="baseline"/>
        <w:rPr>
          <w:rFonts w:eastAsia="Calibri"/>
          <w:lang w:eastAsia="en-US"/>
        </w:rPr>
      </w:pPr>
      <w:bookmarkStart w:id="12" w:name="_Toc371578786"/>
      <w:bookmarkStart w:id="13" w:name="_Toc371577635"/>
      <w:r>
        <w:rPr>
          <w:rFonts w:eastAsia="Calibri"/>
          <w:lang w:eastAsia="en-US"/>
        </w:rPr>
        <w:t>____________________________________________________________________________________</w:t>
      </w:r>
    </w:p>
    <w:p>
      <w:pPr>
        <w:pStyle w:val="Normal"/>
        <w:widowControl w:val="false"/>
        <w:jc w:val="center"/>
        <w:textAlignment w:val="baseline"/>
        <w:rPr>
          <w:rFonts w:eastAsia="Calibri"/>
          <w:b/>
          <w:lang w:eastAsia="x-none"/>
        </w:rPr>
      </w:pPr>
      <w:r>
        <w:rPr>
          <w:rFonts w:eastAsia="Calibri"/>
          <w:vertAlign w:val="superscript"/>
          <w:lang w:eastAsia="en-US"/>
        </w:rPr>
        <w:t xml:space="preserve">(основной документ, удостоверяющий личность, с указанием серии, номера, даты выдачи, </w:t>
      </w:r>
      <w:r>
        <w:rPr>
          <w:rFonts w:eastAsia="Calibri"/>
          <w:lang w:eastAsia="en-US"/>
        </w:rPr>
        <w:t>____________________________________________________________________________________</w:t>
      </w:r>
      <w:bookmarkEnd w:id="12"/>
      <w:bookmarkEnd w:id="13"/>
      <w:r>
        <w:rPr>
          <w:rFonts w:eastAsia="Calibri"/>
          <w:lang w:eastAsia="en-US"/>
        </w:rPr>
        <w:t>_</w:t>
      </w:r>
    </w:p>
    <w:p>
      <w:pPr>
        <w:pStyle w:val="Normal"/>
        <w:widowControl w:val="false"/>
        <w:jc w:val="center"/>
        <w:textAlignment w:val="baseline"/>
        <w:rPr>
          <w:rFonts w:eastAsia="Calibri"/>
          <w:vertAlign w:val="superscript"/>
          <w:lang w:eastAsia="en-US"/>
        </w:rPr>
      </w:pPr>
      <w:bookmarkStart w:id="14" w:name="_Toc371578787"/>
      <w:bookmarkStart w:id="15" w:name="_Toc371577636"/>
      <w:r>
        <w:rPr>
          <w:rFonts w:eastAsia="Calibri"/>
          <w:vertAlign w:val="superscript"/>
          <w:lang w:eastAsia="en-US"/>
        </w:rPr>
        <w:t>выдавшего органа, кода подразделения)</w:t>
      </w:r>
      <w:bookmarkEnd w:id="14"/>
      <w:bookmarkEnd w:id="15"/>
    </w:p>
    <w:p>
      <w:pPr>
        <w:pStyle w:val="Normal"/>
        <w:widowControl w:val="false"/>
        <w:jc w:val="center"/>
        <w:textAlignment w:val="baseline"/>
        <w:rPr>
          <w:rFonts w:eastAsia="Calibri"/>
          <w:lang w:eastAsia="en-US"/>
        </w:rPr>
      </w:pPr>
      <w:bookmarkStart w:id="16" w:name="_Toc371578788"/>
      <w:bookmarkStart w:id="17" w:name="_Toc371577637"/>
      <w:r>
        <w:rPr>
          <w:rFonts w:eastAsia="Calibri"/>
          <w:lang w:eastAsia="en-US"/>
        </w:rPr>
        <w:t>____________________________________________________________________________________,</w:t>
      </w:r>
      <w:bookmarkEnd w:id="16"/>
      <w:bookmarkEnd w:id="17"/>
    </w:p>
    <w:p>
      <w:pPr>
        <w:pStyle w:val="Normal"/>
        <w:widowControl w:val="false"/>
        <w:jc w:val="center"/>
        <w:textAlignment w:val="baseline"/>
        <w:rPr>
          <w:rFonts w:eastAsia="Calibri"/>
          <w:vertAlign w:val="superscript"/>
          <w:lang w:eastAsia="en-US"/>
        </w:rPr>
      </w:pPr>
      <w:bookmarkStart w:id="18" w:name="_Toc371578789"/>
      <w:bookmarkStart w:id="19" w:name="_Toc371577638"/>
      <w:r>
        <w:rPr>
          <w:rFonts w:eastAsia="Calibri"/>
          <w:vertAlign w:val="superscript"/>
          <w:lang w:eastAsia="en-US"/>
        </w:rPr>
        <w:t>(зарегистрированный по адресу)</w:t>
      </w:r>
      <w:bookmarkEnd w:id="18"/>
      <w:bookmarkEnd w:id="19"/>
    </w:p>
    <w:p>
      <w:pPr>
        <w:pStyle w:val="Normal"/>
        <w:widowControl w:val="false"/>
        <w:jc w:val="both"/>
        <w:textAlignment w:val="baseline"/>
        <w:rPr>
          <w:rFonts w:eastAsia="Calibri"/>
          <w:b/>
          <w:lang w:eastAsia="x-none"/>
        </w:rPr>
      </w:pPr>
      <w:bookmarkStart w:id="20" w:name="_Toc371578790"/>
      <w:bookmarkStart w:id="21" w:name="_Toc371577639"/>
      <w:r>
        <w:rPr>
          <w:rFonts w:eastAsia="Calibri"/>
          <w:lang w:eastAsia="en-US"/>
        </w:rPr>
        <w:t xml:space="preserve">в соответствии с законодательством Российской Федерации, в том числе Федеральным законом от 27.07.2006 № 152-ФЗ «О персональных данных», даю свое согласие </w:t>
      </w:r>
      <w:r>
        <w:rPr>
          <w:rFonts w:eastAsia="Calibri"/>
          <w:i/>
          <w:lang w:eastAsia="en-US"/>
        </w:rPr>
        <w:t xml:space="preserve">ПАО «__________________» (сокращенное наименование: _____________, место нахождения: </w:t>
      </w:r>
      <w:r>
        <w:rPr>
          <w:rFonts w:eastAsia="Calibri"/>
          <w:i/>
          <w:shd w:fill="BFBFBF" w:val="clear"/>
          <w:lang w:eastAsia="en-US"/>
        </w:rPr>
        <w:t>680000, г. Хабаровск ул. Фрунзе, д. 49, ИНН: 1234567899 - пример</w:t>
      </w:r>
      <w:r>
        <w:rPr>
          <w:rFonts w:eastAsia="Calibri"/>
          <w:i/>
          <w:lang w:eastAsia="en-US"/>
        </w:rPr>
        <w:t>)</w:t>
      </w:r>
      <w:r>
        <w:rPr>
          <w:rFonts w:eastAsia="Calibri"/>
          <w:lang w:eastAsia="en-US"/>
        </w:rPr>
        <w:t xml:space="preserve"> </w:t>
      </w:r>
      <w:bookmarkStart w:id="22" w:name="Par0"/>
      <w:bookmarkEnd w:id="22"/>
      <w:r>
        <w:rPr>
          <w:rFonts w:eastAsia="Calibri"/>
          <w:lang w:eastAsia="en-US"/>
        </w:rPr>
        <w:t>на обработку персональных данных, включая сбор, запись, систематизацию, накопление, хранение, уточнение (обновление, изменение), извлечение, использование, передачу (предоставление, доступ), блокирование, удаление, уничтожение, следующих категорий персональных данных в документальной и/или электронной форме: фамилия, имя, отчество, дата, месяц, год и место рождения, пол, гражданство, адрес регистрации/места жительства, основной документ, удостоверяющий личность (серия, номер, дата выдачи, выдавший орган), номер телефона, адрес электронной почты.</w:t>
      </w:r>
    </w:p>
    <w:p>
      <w:pPr>
        <w:pStyle w:val="Normal"/>
        <w:widowControl w:val="false"/>
        <w:ind w:firstLine="709"/>
        <w:textAlignment w:val="baseline"/>
        <w:rPr>
          <w:rFonts w:eastAsia="Calibri"/>
          <w:lang w:eastAsia="en-US"/>
        </w:rPr>
      </w:pPr>
      <w:r>
        <w:rPr>
          <w:rFonts w:eastAsia="Calibri"/>
          <w:lang w:eastAsia="en-US"/>
        </w:rPr>
        <w:t>Согласие дается мною для следующих целей:</w:t>
      </w:r>
    </w:p>
    <w:p>
      <w:pPr>
        <w:pStyle w:val="Normal"/>
        <w:widowControl w:val="false"/>
        <w:ind w:firstLine="709"/>
        <w:jc w:val="both"/>
        <w:textAlignment w:val="baseline"/>
        <w:rPr>
          <w:rFonts w:eastAsia="Calibri"/>
          <w:lang w:eastAsia="en-US"/>
        </w:rPr>
      </w:pPr>
      <w:r>
        <w:rPr>
          <w:rFonts w:eastAsia="Calibri"/>
          <w:lang w:eastAsia="en-US"/>
        </w:rPr>
        <w:t>•</w:t>
      </w:r>
      <w:r>
        <w:rPr>
          <w:rFonts w:eastAsia="Calibri"/>
          <w:lang w:eastAsia="en-US"/>
        </w:rPr>
        <w:tab/>
        <w:t>обеспечение соблюдения законов и иных нормативных правовых актов Российской Федерации по обеспечению безопасности на объектах топливно-энергетического комплекса;</w:t>
      </w:r>
    </w:p>
    <w:p>
      <w:pPr>
        <w:pStyle w:val="Normal"/>
        <w:widowControl w:val="false"/>
        <w:ind w:firstLine="709"/>
        <w:jc w:val="both"/>
        <w:textAlignment w:val="baseline"/>
        <w:rPr>
          <w:rFonts w:eastAsia="Calibri"/>
          <w:lang w:eastAsia="en-US"/>
        </w:rPr>
      </w:pPr>
      <w:r>
        <w:rPr>
          <w:rFonts w:eastAsia="Calibri"/>
          <w:lang w:eastAsia="en-US"/>
        </w:rPr>
        <w:t>•</w:t>
      </w:r>
      <w:r>
        <w:rPr>
          <w:rFonts w:eastAsia="Calibri"/>
          <w:lang w:eastAsia="en-US"/>
        </w:rPr>
        <w:tab/>
        <w:t>предоставление (передачи) сведений в органы ФСБ и МВД России с целью осуществления проверочных мероприятий для обеспечения безопасности на объектах топливно-энергетического комплекса, необходимых для выполнения моей трудовой функции.</w:t>
      </w:r>
      <w:bookmarkEnd w:id="20"/>
      <w:bookmarkEnd w:id="21"/>
    </w:p>
    <w:p>
      <w:pPr>
        <w:pStyle w:val="Normal"/>
        <w:widowControl w:val="false"/>
        <w:ind w:firstLine="709"/>
        <w:jc w:val="both"/>
        <w:textAlignment w:val="baseline"/>
        <w:rPr>
          <w:rFonts w:eastAsia="Calibri"/>
          <w:lang w:eastAsia="en-US"/>
        </w:rPr>
      </w:pPr>
      <w:r>
        <w:rPr>
          <w:rFonts w:eastAsia="Calibri"/>
          <w:lang w:eastAsia="en-US"/>
        </w:rPr>
        <w:t xml:space="preserve">Согласие действует на срок до «____» _________ 20___ г. и может быть отозвано в письменной форме субъектом персональных данных в указанный срок его действия. </w:t>
      </w:r>
    </w:p>
    <w:p>
      <w:pPr>
        <w:pStyle w:val="Normal"/>
        <w:widowControl w:val="false"/>
        <w:textAlignment w:val="baseline"/>
        <w:rPr>
          <w:rFonts w:eastAsia="Calibri"/>
          <w:lang w:eastAsia="en-US"/>
        </w:rPr>
      </w:pPr>
      <w:r>
        <w:rPr>
          <w:rFonts w:eastAsia="Calibri"/>
          <w:lang w:eastAsia="en-US"/>
        </w:rPr>
      </w:r>
    </w:p>
    <w:p>
      <w:pPr>
        <w:pStyle w:val="Normal"/>
        <w:spacing w:before="0" w:after="0"/>
        <w:ind w:hanging="0" w:left="720"/>
        <w:contextualSpacing/>
        <w:rPr>
          <w:rFonts w:eastAsia="Calibri"/>
          <w:lang w:eastAsia="en-US"/>
        </w:rPr>
      </w:pPr>
      <w:r>
        <w:rPr>
          <w:rFonts w:eastAsia="Calibri"/>
          <w:lang w:eastAsia="en-US"/>
        </w:rPr>
      </w:r>
    </w:p>
    <w:p>
      <w:pPr>
        <w:pStyle w:val="Normal"/>
        <w:spacing w:before="0" w:after="0"/>
        <w:ind w:hanging="0" w:left="720"/>
        <w:contextualSpacing/>
        <w:rPr>
          <w:rFonts w:eastAsia="Calibri"/>
          <w:lang w:eastAsia="en-US"/>
        </w:rPr>
      </w:pPr>
      <w:r>
        <w:rPr>
          <w:rFonts w:eastAsia="Calibri"/>
          <w:lang w:eastAsia="en-US"/>
        </w:rPr>
      </w:r>
    </w:p>
    <w:p>
      <w:pPr>
        <w:pStyle w:val="Normal"/>
        <w:spacing w:before="0" w:after="0"/>
        <w:contextualSpacing/>
        <w:rPr>
          <w:rFonts w:eastAsia="Calibri"/>
          <w:lang w:eastAsia="en-US"/>
        </w:rPr>
      </w:pPr>
      <w:bookmarkStart w:id="23" w:name="_Toc371578799"/>
      <w:bookmarkStart w:id="24" w:name="_Toc371577648"/>
      <w:r>
        <w:rPr>
          <w:rFonts w:eastAsia="Calibri"/>
          <w:lang w:eastAsia="en-US"/>
        </w:rPr>
        <w:t xml:space="preserve">______________                                                     </w:t>
        <w:tab/>
        <w:tab/>
        <w:tab/>
        <w:t>___________________________</w:t>
      </w:r>
      <w:bookmarkEnd w:id="23"/>
      <w:bookmarkEnd w:id="24"/>
    </w:p>
    <w:p>
      <w:pPr>
        <w:pStyle w:val="Normal"/>
        <w:rPr>
          <w:rFonts w:eastAsia="Calibri"/>
          <w:b/>
          <w:lang w:eastAsia="x-none"/>
        </w:rPr>
      </w:pPr>
      <w:r>
        <w:rPr>
          <w:rFonts w:eastAsia="Calibri"/>
          <w:vertAlign w:val="superscript"/>
          <w:lang w:eastAsia="en-US"/>
        </w:rPr>
        <w:t xml:space="preserve">         </w:t>
      </w:r>
      <w:r>
        <w:rPr>
          <w:rFonts w:eastAsia="Calibri"/>
          <w:vertAlign w:val="superscript"/>
          <w:lang w:eastAsia="en-US"/>
        </w:rPr>
        <w:t>(дата)</w:t>
        <w:tab/>
        <w:tab/>
        <w:tab/>
        <w:tab/>
        <w:tab/>
        <w:tab/>
        <w:t xml:space="preserve">                                             </w:t>
        <w:tab/>
        <w:tab/>
        <w:t>(подпись)</w:t>
      </w:r>
      <w:r>
        <w:rPr>
          <w:rFonts w:eastAsia="Calibri"/>
        </w:rPr>
        <w:t xml:space="preserve"> </w:t>
      </w:r>
    </w:p>
    <w:p>
      <w:pPr>
        <w:pStyle w:val="Normal"/>
        <w:rPr>
          <w:rFonts w:eastAsia="Calibri"/>
        </w:rPr>
      </w:pPr>
      <w:r>
        <w:rPr>
          <w:rFonts w:eastAsia="Calibri"/>
        </w:rPr>
      </w:r>
    </w:p>
    <w:p>
      <w:pPr>
        <w:pStyle w:val="Normal"/>
        <w:rPr>
          <w:rFonts w:eastAsia="Calibri"/>
        </w:rPr>
      </w:pPr>
      <w:r>
        <w:rPr>
          <w:rFonts w:eastAsia="Calibri"/>
        </w:rPr>
      </w:r>
    </w:p>
    <w:p>
      <w:pPr>
        <w:pStyle w:val="Normal"/>
        <w:rPr>
          <w:rFonts w:eastAsia="Calibri"/>
        </w:rPr>
      </w:pPr>
      <w:r>
        <w:rPr>
          <w:rFonts w:eastAsia="Calibri"/>
        </w:rPr>
      </w:r>
      <w:r>
        <w:br w:type="page"/>
      </w:r>
    </w:p>
    <w:p>
      <w:pPr>
        <w:pStyle w:val="Normal"/>
        <w:ind w:hanging="0" w:left="4536"/>
        <w:jc w:val="right"/>
        <w:rPr>
          <w:rFonts w:eastAsia="Calibri"/>
          <w:b/>
          <w:sz w:val="22"/>
          <w:szCs w:val="22"/>
          <w:lang w:eastAsia="x-none"/>
        </w:rPr>
      </w:pPr>
      <w:r>
        <w:rPr>
          <w:rFonts w:eastAsia="Calibri"/>
          <w:sz w:val="22"/>
          <w:szCs w:val="22"/>
          <w:lang w:eastAsia="en-US"/>
        </w:rPr>
        <w:t>Приложение №4</w:t>
      </w:r>
    </w:p>
    <w:p>
      <w:pPr>
        <w:pStyle w:val="Normal"/>
        <w:ind w:hanging="0" w:left="5812"/>
        <w:jc w:val="right"/>
        <w:rPr>
          <w:rFonts w:eastAsia="Calibri"/>
          <w:sz w:val="22"/>
          <w:szCs w:val="22"/>
          <w:lang w:eastAsia="en-US"/>
        </w:rPr>
      </w:pPr>
      <w:r>
        <w:rPr>
          <w:rFonts w:eastAsia="Calibri"/>
          <w:sz w:val="22"/>
          <w:szCs w:val="22"/>
          <w:lang w:eastAsia="en-US"/>
        </w:rPr>
        <w:t xml:space="preserve">к Техническим требованиям </w:t>
      </w:r>
    </w:p>
    <w:p>
      <w:pPr>
        <w:pStyle w:val="Normal"/>
        <w:ind w:hanging="0" w:left="5812"/>
        <w:jc w:val="right"/>
        <w:rPr>
          <w:rFonts w:eastAsia="Calibri"/>
          <w:b/>
          <w:sz w:val="12"/>
          <w:szCs w:val="12"/>
          <w:lang w:eastAsia="x-none"/>
        </w:rPr>
      </w:pPr>
      <w:r>
        <w:rPr>
          <w:rFonts w:eastAsia="Calibri"/>
          <w:b/>
          <w:sz w:val="12"/>
          <w:szCs w:val="12"/>
          <w:lang w:eastAsia="x-none"/>
        </w:rPr>
      </w:r>
    </w:p>
    <w:p>
      <w:pPr>
        <w:pStyle w:val="Normal"/>
        <w:rPr>
          <w:rFonts w:eastAsia="Calibri"/>
        </w:rPr>
      </w:pPr>
      <w:r>
        <w:rPr>
          <w:rFonts w:eastAsia="Calibri"/>
        </w:rPr>
      </w:r>
    </w:p>
    <w:p>
      <w:pPr>
        <w:pStyle w:val="Normal"/>
        <w:jc w:val="center"/>
        <w:rPr>
          <w:rFonts w:eastAsia="Calibri"/>
        </w:rPr>
      </w:pPr>
      <w:r>
        <w:rPr>
          <w:rFonts w:eastAsia="Calibri"/>
        </w:rPr>
        <w:t xml:space="preserve">Дислокация постов по охране объекта </w:t>
      </w:r>
    </w:p>
    <w:p>
      <w:pPr>
        <w:pStyle w:val="Normal"/>
        <w:jc w:val="center"/>
        <w:rPr>
          <w:rFonts w:eastAsia="Calibri"/>
        </w:rPr>
      </w:pPr>
      <w:r>
        <w:rPr>
          <w:rFonts w:eastAsia="Calibri"/>
        </w:rPr>
        <w:t>филиала ПАО «РусГидро» - «Северо-Осетинский филиал»</w:t>
      </w:r>
    </w:p>
    <w:p>
      <w:pPr>
        <w:pStyle w:val="Normal"/>
        <w:jc w:val="center"/>
        <w:rPr>
          <w:rFonts w:eastAsia="Calibri"/>
        </w:rPr>
      </w:pPr>
      <w:r>
        <w:rPr>
          <w:rFonts w:eastAsia="Calibri"/>
        </w:rPr>
      </w:r>
    </w:p>
    <w:p>
      <w:pPr>
        <w:pStyle w:val="Normal"/>
        <w:rPr>
          <w:rFonts w:eastAsia="Calibri"/>
          <w:b/>
        </w:rPr>
      </w:pPr>
      <w:r>
        <w:rPr>
          <w:rFonts w:eastAsia="Calibri"/>
          <w:b/>
        </w:rPr>
        <w:t>1. Дзауджикауская ГЭС:</w:t>
      </w:r>
    </w:p>
    <w:p>
      <w:pPr>
        <w:pStyle w:val="Normal"/>
        <w:rPr>
          <w:rFonts w:eastAsia="Calibri"/>
          <w:sz w:val="6"/>
          <w:szCs w:val="6"/>
        </w:rPr>
      </w:pPr>
      <w:r>
        <w:rPr>
          <w:rFonts w:eastAsia="Calibri"/>
          <w:sz w:val="6"/>
          <w:szCs w:val="6"/>
        </w:rPr>
      </w:r>
    </w:p>
    <w:tbl>
      <w:tblPr>
        <w:tblW w:w="979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101"/>
        <w:gridCol w:w="2863"/>
        <w:gridCol w:w="1953"/>
        <w:gridCol w:w="1267"/>
        <w:gridCol w:w="2614"/>
      </w:tblGrid>
      <w:tr>
        <w:trPr>
          <w:trHeight w:val="764" w:hRule="atLeast"/>
        </w:trPr>
        <w:tc>
          <w:tcPr>
            <w:tcW w:w="11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 xml:space="preserve">№ </w:t>
            </w:r>
            <w:r>
              <w:rPr>
                <w:sz w:val="22"/>
                <w:szCs w:val="22"/>
              </w:rPr>
              <w:t>поста</w:t>
            </w:r>
          </w:p>
        </w:tc>
        <w:tc>
          <w:tcPr>
            <w:tcW w:w="28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sz w:val="22"/>
                <w:szCs w:val="22"/>
              </w:rPr>
            </w:pPr>
            <w:r>
              <w:rPr>
                <w:bCs/>
                <w:sz w:val="22"/>
                <w:szCs w:val="22"/>
              </w:rPr>
              <w:t>Месторасположение поста,  зона его ответственности</w:t>
            </w:r>
          </w:p>
        </w:tc>
        <w:tc>
          <w:tcPr>
            <w:tcW w:w="19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Режим службы поста</w:t>
            </w:r>
          </w:p>
        </w:tc>
        <w:tc>
          <w:tcPr>
            <w:tcW w:w="12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Численность постовых</w:t>
            </w:r>
          </w:p>
        </w:tc>
        <w:tc>
          <w:tcPr>
            <w:tcW w:w="261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Оснащение поста оружием, спецсредствами и средствами связи</w:t>
            </w:r>
          </w:p>
        </w:tc>
      </w:tr>
      <w:tr>
        <w:trPr>
          <w:trHeight w:val="296" w:hRule="atLeast"/>
        </w:trPr>
        <w:tc>
          <w:tcPr>
            <w:tcW w:w="110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sz w:val="22"/>
                <w:szCs w:val="22"/>
              </w:rPr>
              <w:t>1</w:t>
            </w:r>
          </w:p>
        </w:tc>
        <w:tc>
          <w:tcPr>
            <w:tcW w:w="286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sz w:val="22"/>
                <w:szCs w:val="22"/>
              </w:rPr>
              <w:t>2</w:t>
            </w:r>
          </w:p>
        </w:tc>
        <w:tc>
          <w:tcPr>
            <w:tcW w:w="195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sz w:val="22"/>
                <w:szCs w:val="22"/>
              </w:rPr>
              <w:t>3</w:t>
            </w:r>
          </w:p>
        </w:tc>
        <w:tc>
          <w:tcPr>
            <w:tcW w:w="126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sz w:val="22"/>
                <w:szCs w:val="22"/>
              </w:rPr>
              <w:t>4</w:t>
            </w:r>
          </w:p>
        </w:tc>
        <w:tc>
          <w:tcPr>
            <w:tcW w:w="261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sz w:val="22"/>
                <w:szCs w:val="22"/>
              </w:rPr>
              <w:t>5</w:t>
            </w:r>
          </w:p>
        </w:tc>
      </w:tr>
      <w:tr>
        <w:trPr>
          <w:trHeight w:val="843" w:hRule="atLeast"/>
        </w:trPr>
        <w:tc>
          <w:tcPr>
            <w:tcW w:w="11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2"/>
                <w:szCs w:val="22"/>
              </w:rPr>
            </w:pPr>
            <w:r>
              <w:rPr>
                <w:sz w:val="22"/>
                <w:szCs w:val="22"/>
              </w:rPr>
              <w:t>Пост №1. Суточный</w:t>
            </w:r>
          </w:p>
        </w:tc>
        <w:tc>
          <w:tcPr>
            <w:tcW w:w="28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sz w:val="22"/>
                <w:szCs w:val="22"/>
              </w:rPr>
            </w:pPr>
            <w:r>
              <w:rPr>
                <w:sz w:val="22"/>
                <w:szCs w:val="22"/>
              </w:rPr>
              <w:t>Центральный пост охраны (КПП), въезд на территорию ГЭС</w:t>
            </w:r>
          </w:p>
        </w:tc>
        <w:tc>
          <w:tcPr>
            <w:tcW w:w="19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 xml:space="preserve">с 08.00 по 08.00 </w:t>
            </w:r>
          </w:p>
          <w:p>
            <w:pPr>
              <w:pStyle w:val="Normal"/>
              <w:widowControl w:val="false"/>
              <w:rPr>
                <w:sz w:val="22"/>
                <w:szCs w:val="22"/>
              </w:rPr>
            </w:pPr>
            <w:r>
              <w:rPr>
                <w:sz w:val="22"/>
                <w:szCs w:val="22"/>
              </w:rPr>
              <w:t>ежедневно с режимом работы сутки через трое</w:t>
            </w:r>
          </w:p>
        </w:tc>
        <w:tc>
          <w:tcPr>
            <w:tcW w:w="12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1 парный</w:t>
            </w:r>
          </w:p>
          <w:p>
            <w:pPr>
              <w:pStyle w:val="Normal"/>
              <w:widowControl w:val="false"/>
              <w:jc w:val="center"/>
              <w:rPr>
                <w:sz w:val="22"/>
                <w:szCs w:val="22"/>
              </w:rPr>
            </w:pPr>
            <w:r>
              <w:rPr>
                <w:sz w:val="22"/>
                <w:szCs w:val="22"/>
              </w:rPr>
              <w:t>(2 человека)</w:t>
            </w:r>
          </w:p>
        </w:tc>
        <w:tc>
          <w:tcPr>
            <w:tcW w:w="261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2"/>
                <w:szCs w:val="22"/>
              </w:rPr>
            </w:pPr>
            <w:r>
              <w:rPr>
                <w:sz w:val="22"/>
                <w:szCs w:val="22"/>
              </w:rPr>
              <w:t>Служебное огнестрельное нарезное короткоствольное оружие и патроны к нему или огнестрельное гладкоствольное длинноствольное оружие и патроны к нему (по согласованию с заказчиком) в соответствии с действующим законодательством РФ – не менее 2 ед.;</w:t>
            </w:r>
          </w:p>
          <w:p>
            <w:pPr>
              <w:pStyle w:val="Normal"/>
              <w:widowControl w:val="false"/>
              <w:rPr>
                <w:sz w:val="22"/>
                <w:szCs w:val="22"/>
              </w:rPr>
            </w:pPr>
            <w:r>
              <w:rPr>
                <w:sz w:val="22"/>
                <w:szCs w:val="22"/>
              </w:rPr>
              <w:t>палка резиновая - 2 шт.;</w:t>
            </w:r>
          </w:p>
          <w:p>
            <w:pPr>
              <w:pStyle w:val="Normal"/>
              <w:widowControl w:val="false"/>
              <w:rPr>
                <w:sz w:val="22"/>
                <w:szCs w:val="22"/>
              </w:rPr>
            </w:pPr>
            <w:r>
              <w:rPr>
                <w:sz w:val="22"/>
                <w:szCs w:val="22"/>
              </w:rPr>
              <w:t>наручники -2 шт.;</w:t>
            </w:r>
          </w:p>
          <w:p>
            <w:pPr>
              <w:pStyle w:val="Normal"/>
              <w:widowControl w:val="false"/>
              <w:rPr>
                <w:sz w:val="22"/>
                <w:szCs w:val="22"/>
              </w:rPr>
            </w:pPr>
            <w:r>
              <w:rPr>
                <w:sz w:val="22"/>
                <w:szCs w:val="22"/>
              </w:rPr>
              <w:t>электрический фонарь - 2 шт.;</w:t>
            </w:r>
          </w:p>
          <w:p>
            <w:pPr>
              <w:pStyle w:val="Normal"/>
              <w:widowControl w:val="false"/>
              <w:rPr>
                <w:sz w:val="22"/>
                <w:szCs w:val="22"/>
              </w:rPr>
            </w:pPr>
            <w:r>
              <w:rPr>
                <w:sz w:val="22"/>
                <w:szCs w:val="22"/>
              </w:rPr>
              <w:t>радиостанция - 2 шт.;</w:t>
            </w:r>
          </w:p>
          <w:p>
            <w:pPr>
              <w:pStyle w:val="Normal"/>
              <w:widowControl w:val="false"/>
              <w:rPr>
                <w:sz w:val="22"/>
                <w:szCs w:val="22"/>
              </w:rPr>
            </w:pPr>
            <w:r>
              <w:rPr>
                <w:sz w:val="22"/>
                <w:szCs w:val="22"/>
              </w:rPr>
              <w:t>мобильная связь - 2 шт.</w:t>
            </w:r>
          </w:p>
          <w:p>
            <w:pPr>
              <w:pStyle w:val="Normal"/>
              <w:widowControl w:val="false"/>
              <w:rPr>
                <w:sz w:val="22"/>
                <w:szCs w:val="22"/>
              </w:rPr>
            </w:pPr>
            <w:r>
              <w:rPr>
                <w:sz w:val="22"/>
                <w:szCs w:val="22"/>
              </w:rPr>
              <w:t>электрошокер – 2 шт.;</w:t>
            </w:r>
          </w:p>
          <w:p>
            <w:pPr>
              <w:pStyle w:val="Normal"/>
              <w:widowControl w:val="false"/>
              <w:rPr>
                <w:sz w:val="22"/>
                <w:szCs w:val="22"/>
              </w:rPr>
            </w:pPr>
            <w:r>
              <w:rPr>
                <w:sz w:val="22"/>
                <w:szCs w:val="22"/>
              </w:rPr>
              <w:t>металлодетектор – 1 шт.</w:t>
            </w:r>
          </w:p>
          <w:p>
            <w:pPr>
              <w:pStyle w:val="Normal"/>
              <w:widowControl w:val="false"/>
              <w:rPr>
                <w:sz w:val="22"/>
                <w:szCs w:val="22"/>
              </w:rPr>
            </w:pPr>
            <w:r>
              <w:rPr>
                <w:sz w:val="22"/>
                <w:szCs w:val="22"/>
              </w:rPr>
            </w:r>
          </w:p>
          <w:p>
            <w:pPr>
              <w:pStyle w:val="Normal"/>
              <w:widowControl w:val="false"/>
              <w:rPr>
                <w:sz w:val="22"/>
                <w:szCs w:val="22"/>
              </w:rPr>
            </w:pPr>
            <w:r>
              <w:rPr>
                <w:sz w:val="22"/>
                <w:szCs w:val="22"/>
              </w:rPr>
            </w:r>
          </w:p>
        </w:tc>
      </w:tr>
      <w:tr>
        <w:trPr>
          <w:trHeight w:val="843" w:hRule="atLeast"/>
        </w:trPr>
        <w:tc>
          <w:tcPr>
            <w:tcW w:w="11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2"/>
                <w:szCs w:val="22"/>
              </w:rPr>
            </w:pPr>
            <w:r>
              <w:rPr>
                <w:sz w:val="22"/>
                <w:szCs w:val="22"/>
              </w:rPr>
              <w:t>Пост №2. Суточный</w:t>
            </w:r>
          </w:p>
        </w:tc>
        <w:tc>
          <w:tcPr>
            <w:tcW w:w="28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sz w:val="22"/>
                <w:szCs w:val="22"/>
              </w:rPr>
            </w:pPr>
            <w:r>
              <w:rPr>
                <w:sz w:val="22"/>
                <w:szCs w:val="22"/>
              </w:rPr>
              <w:t>Машинный зал</w:t>
            </w:r>
          </w:p>
        </w:tc>
        <w:tc>
          <w:tcPr>
            <w:tcW w:w="19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 xml:space="preserve">с 08.00 по 08.00 </w:t>
            </w:r>
          </w:p>
          <w:p>
            <w:pPr>
              <w:pStyle w:val="Normal"/>
              <w:widowControl w:val="false"/>
              <w:rPr>
                <w:sz w:val="22"/>
                <w:szCs w:val="22"/>
              </w:rPr>
            </w:pPr>
            <w:r>
              <w:rPr>
                <w:sz w:val="22"/>
                <w:szCs w:val="22"/>
              </w:rPr>
              <w:t>ежедневно с режимом работы сутки через трое</w:t>
            </w:r>
          </w:p>
        </w:tc>
        <w:tc>
          <w:tcPr>
            <w:tcW w:w="12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1 парный</w:t>
            </w:r>
          </w:p>
          <w:p>
            <w:pPr>
              <w:pStyle w:val="Normal"/>
              <w:widowControl w:val="false"/>
              <w:jc w:val="center"/>
              <w:rPr>
                <w:sz w:val="22"/>
                <w:szCs w:val="22"/>
              </w:rPr>
            </w:pPr>
            <w:r>
              <w:rPr>
                <w:sz w:val="22"/>
                <w:szCs w:val="22"/>
              </w:rPr>
              <w:t>(2 человека)</w:t>
            </w:r>
          </w:p>
        </w:tc>
        <w:tc>
          <w:tcPr>
            <w:tcW w:w="261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2"/>
                <w:szCs w:val="22"/>
              </w:rPr>
            </w:pPr>
            <w:r>
              <w:rPr>
                <w:sz w:val="22"/>
                <w:szCs w:val="22"/>
              </w:rPr>
              <w:t>Служебное огнестрельное нарезное короткоствольное оружие и патроны к нему или огнестрельное гладкоствольное длинноствольное оружие и патроны к нему (по согласованию с заказчиком) в соответствии с действующим законодательством РФ – не менее 1 ед.;</w:t>
            </w:r>
          </w:p>
          <w:p>
            <w:pPr>
              <w:pStyle w:val="Normal"/>
              <w:widowControl w:val="false"/>
              <w:rPr>
                <w:sz w:val="22"/>
                <w:szCs w:val="22"/>
              </w:rPr>
            </w:pPr>
            <w:r>
              <w:rPr>
                <w:sz w:val="22"/>
                <w:szCs w:val="22"/>
              </w:rPr>
              <w:t>палка резиновая - 2 шт.;</w:t>
            </w:r>
          </w:p>
          <w:p>
            <w:pPr>
              <w:pStyle w:val="Normal"/>
              <w:widowControl w:val="false"/>
              <w:rPr>
                <w:sz w:val="22"/>
                <w:szCs w:val="22"/>
              </w:rPr>
            </w:pPr>
            <w:r>
              <w:rPr>
                <w:sz w:val="22"/>
                <w:szCs w:val="22"/>
              </w:rPr>
              <w:t>наручники -2 шт.;</w:t>
            </w:r>
          </w:p>
          <w:p>
            <w:pPr>
              <w:pStyle w:val="Normal"/>
              <w:widowControl w:val="false"/>
              <w:rPr>
                <w:sz w:val="22"/>
                <w:szCs w:val="22"/>
              </w:rPr>
            </w:pPr>
            <w:r>
              <w:rPr>
                <w:sz w:val="22"/>
                <w:szCs w:val="22"/>
              </w:rPr>
              <w:t>электрический фонарь - 2 шт.;</w:t>
            </w:r>
          </w:p>
          <w:p>
            <w:pPr>
              <w:pStyle w:val="Normal"/>
              <w:widowControl w:val="false"/>
              <w:rPr>
                <w:sz w:val="22"/>
                <w:szCs w:val="22"/>
              </w:rPr>
            </w:pPr>
            <w:r>
              <w:rPr>
                <w:sz w:val="22"/>
                <w:szCs w:val="22"/>
              </w:rPr>
              <w:t>радиостанция - 2 шт.;</w:t>
            </w:r>
          </w:p>
          <w:p>
            <w:pPr>
              <w:pStyle w:val="Normal"/>
              <w:widowControl w:val="false"/>
              <w:rPr>
                <w:sz w:val="22"/>
                <w:szCs w:val="22"/>
              </w:rPr>
            </w:pPr>
            <w:r>
              <w:rPr>
                <w:sz w:val="22"/>
                <w:szCs w:val="22"/>
              </w:rPr>
              <w:t>мобильная связь - 2 шт.</w:t>
            </w:r>
          </w:p>
          <w:p>
            <w:pPr>
              <w:pStyle w:val="Normal"/>
              <w:widowControl w:val="false"/>
              <w:rPr>
                <w:sz w:val="22"/>
                <w:szCs w:val="22"/>
              </w:rPr>
            </w:pPr>
            <w:r>
              <w:rPr>
                <w:sz w:val="22"/>
                <w:szCs w:val="22"/>
              </w:rPr>
              <w:t>электрошокер – 2 шт.;</w:t>
            </w:r>
          </w:p>
          <w:p>
            <w:pPr>
              <w:pStyle w:val="Normal"/>
              <w:widowControl w:val="false"/>
              <w:rPr>
                <w:sz w:val="22"/>
                <w:szCs w:val="22"/>
              </w:rPr>
            </w:pPr>
            <w:r>
              <w:rPr>
                <w:sz w:val="22"/>
                <w:szCs w:val="22"/>
              </w:rPr>
            </w:r>
          </w:p>
          <w:p>
            <w:pPr>
              <w:pStyle w:val="Normal"/>
              <w:widowControl w:val="false"/>
              <w:rPr>
                <w:sz w:val="22"/>
                <w:szCs w:val="22"/>
              </w:rPr>
            </w:pPr>
            <w:r>
              <w:rPr>
                <w:sz w:val="22"/>
                <w:szCs w:val="22"/>
              </w:rPr>
            </w:r>
          </w:p>
        </w:tc>
      </w:tr>
      <w:tr>
        <w:trPr>
          <w:trHeight w:val="843" w:hRule="atLeast"/>
        </w:trPr>
        <w:tc>
          <w:tcPr>
            <w:tcW w:w="11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2"/>
                <w:szCs w:val="22"/>
              </w:rPr>
            </w:pPr>
            <w:r>
              <w:rPr>
                <w:sz w:val="22"/>
                <w:szCs w:val="22"/>
              </w:rPr>
              <w:t>Пост №3. Суточный</w:t>
            </w:r>
          </w:p>
        </w:tc>
        <w:tc>
          <w:tcPr>
            <w:tcW w:w="28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sz w:val="22"/>
                <w:szCs w:val="22"/>
              </w:rPr>
            </w:pPr>
            <w:r>
              <w:rPr>
                <w:sz w:val="22"/>
                <w:szCs w:val="22"/>
              </w:rPr>
              <w:t>Напорный узел ГЭС</w:t>
            </w:r>
          </w:p>
        </w:tc>
        <w:tc>
          <w:tcPr>
            <w:tcW w:w="19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 xml:space="preserve">с 08.00 по 08.00 </w:t>
            </w:r>
          </w:p>
          <w:p>
            <w:pPr>
              <w:pStyle w:val="Normal"/>
              <w:widowControl w:val="false"/>
              <w:rPr>
                <w:sz w:val="22"/>
                <w:szCs w:val="22"/>
              </w:rPr>
            </w:pPr>
            <w:r>
              <w:rPr>
                <w:sz w:val="22"/>
                <w:szCs w:val="22"/>
              </w:rPr>
              <w:t>ежедневно с режимом работы сутки через трое</w:t>
            </w:r>
          </w:p>
        </w:tc>
        <w:tc>
          <w:tcPr>
            <w:tcW w:w="12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1 парный</w:t>
            </w:r>
          </w:p>
          <w:p>
            <w:pPr>
              <w:pStyle w:val="Normal"/>
              <w:widowControl w:val="false"/>
              <w:jc w:val="center"/>
              <w:rPr>
                <w:sz w:val="22"/>
                <w:szCs w:val="22"/>
              </w:rPr>
            </w:pPr>
            <w:r>
              <w:rPr>
                <w:sz w:val="22"/>
                <w:szCs w:val="22"/>
              </w:rPr>
              <w:t>(2 человека)</w:t>
            </w:r>
          </w:p>
        </w:tc>
        <w:tc>
          <w:tcPr>
            <w:tcW w:w="261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2"/>
                <w:szCs w:val="22"/>
              </w:rPr>
            </w:pPr>
            <w:r>
              <w:rPr>
                <w:sz w:val="22"/>
                <w:szCs w:val="22"/>
              </w:rPr>
              <w:t>Служебное огнестрельное нарезное короткоствольное оружие и патроны к нему или огнестрельное гладкоствольное длинноствольное оружие и патроны к нему (по согласованию с заказчиком) в соответствии с действующим законодательством РФ – не менее 1 ед.;</w:t>
            </w:r>
          </w:p>
          <w:p>
            <w:pPr>
              <w:pStyle w:val="Normal"/>
              <w:widowControl w:val="false"/>
              <w:rPr>
                <w:sz w:val="22"/>
                <w:szCs w:val="22"/>
              </w:rPr>
            </w:pPr>
            <w:r>
              <w:rPr>
                <w:sz w:val="22"/>
                <w:szCs w:val="22"/>
              </w:rPr>
              <w:t>палка резиновая - 2 шт.;</w:t>
            </w:r>
          </w:p>
          <w:p>
            <w:pPr>
              <w:pStyle w:val="Normal"/>
              <w:widowControl w:val="false"/>
              <w:rPr>
                <w:sz w:val="22"/>
                <w:szCs w:val="22"/>
              </w:rPr>
            </w:pPr>
            <w:r>
              <w:rPr>
                <w:sz w:val="22"/>
                <w:szCs w:val="22"/>
              </w:rPr>
              <w:t>наручники -2 шт.;</w:t>
            </w:r>
          </w:p>
          <w:p>
            <w:pPr>
              <w:pStyle w:val="Normal"/>
              <w:widowControl w:val="false"/>
              <w:rPr>
                <w:sz w:val="22"/>
                <w:szCs w:val="22"/>
              </w:rPr>
            </w:pPr>
            <w:r>
              <w:rPr>
                <w:sz w:val="22"/>
                <w:szCs w:val="22"/>
              </w:rPr>
              <w:t>электрический фонарь - 2 шт.;</w:t>
            </w:r>
          </w:p>
          <w:p>
            <w:pPr>
              <w:pStyle w:val="Normal"/>
              <w:widowControl w:val="false"/>
              <w:rPr>
                <w:sz w:val="22"/>
                <w:szCs w:val="22"/>
              </w:rPr>
            </w:pPr>
            <w:r>
              <w:rPr>
                <w:sz w:val="22"/>
                <w:szCs w:val="22"/>
              </w:rPr>
              <w:t>радиостанция - 2 шт.;</w:t>
            </w:r>
          </w:p>
          <w:p>
            <w:pPr>
              <w:pStyle w:val="Normal"/>
              <w:widowControl w:val="false"/>
              <w:rPr>
                <w:sz w:val="22"/>
                <w:szCs w:val="22"/>
              </w:rPr>
            </w:pPr>
            <w:r>
              <w:rPr>
                <w:sz w:val="22"/>
                <w:szCs w:val="22"/>
              </w:rPr>
              <w:t>мобильная связь - 2 шт.</w:t>
            </w:r>
          </w:p>
          <w:p>
            <w:pPr>
              <w:pStyle w:val="Normal"/>
              <w:widowControl w:val="false"/>
              <w:rPr>
                <w:sz w:val="22"/>
                <w:szCs w:val="22"/>
              </w:rPr>
            </w:pPr>
            <w:r>
              <w:rPr>
                <w:sz w:val="22"/>
                <w:szCs w:val="22"/>
              </w:rPr>
              <w:t>электрошокер – 2 шт.;</w:t>
            </w:r>
          </w:p>
          <w:p>
            <w:pPr>
              <w:pStyle w:val="Normal"/>
              <w:widowControl w:val="false"/>
              <w:rPr>
                <w:sz w:val="22"/>
                <w:szCs w:val="22"/>
              </w:rPr>
            </w:pPr>
            <w:r>
              <w:rPr>
                <w:sz w:val="22"/>
                <w:szCs w:val="22"/>
              </w:rPr>
              <w:t>металлодетектор – 1 шт.</w:t>
            </w:r>
          </w:p>
          <w:p>
            <w:pPr>
              <w:pStyle w:val="Normal"/>
              <w:widowControl w:val="false"/>
              <w:rPr>
                <w:sz w:val="22"/>
                <w:szCs w:val="22"/>
              </w:rPr>
            </w:pPr>
            <w:r>
              <w:rPr>
                <w:sz w:val="22"/>
                <w:szCs w:val="22"/>
              </w:rPr>
            </w:r>
          </w:p>
        </w:tc>
      </w:tr>
      <w:tr>
        <w:trPr>
          <w:trHeight w:val="843" w:hRule="atLeast"/>
        </w:trPr>
        <w:tc>
          <w:tcPr>
            <w:tcW w:w="11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2"/>
                <w:szCs w:val="22"/>
              </w:rPr>
            </w:pPr>
            <w:r>
              <w:rPr>
                <w:sz w:val="22"/>
                <w:szCs w:val="22"/>
              </w:rPr>
              <w:t>Пост №4. Суточный</w:t>
            </w:r>
          </w:p>
        </w:tc>
        <w:tc>
          <w:tcPr>
            <w:tcW w:w="28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sz w:val="22"/>
                <w:szCs w:val="22"/>
              </w:rPr>
            </w:pPr>
            <w:r>
              <w:rPr>
                <w:sz w:val="22"/>
                <w:szCs w:val="22"/>
              </w:rPr>
              <w:t>Холодный склад</w:t>
            </w:r>
          </w:p>
        </w:tc>
        <w:tc>
          <w:tcPr>
            <w:tcW w:w="19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 xml:space="preserve">с 08.00 по 08.00 </w:t>
            </w:r>
          </w:p>
          <w:p>
            <w:pPr>
              <w:pStyle w:val="Normal"/>
              <w:widowControl w:val="false"/>
              <w:rPr>
                <w:sz w:val="22"/>
                <w:szCs w:val="22"/>
              </w:rPr>
            </w:pPr>
            <w:r>
              <w:rPr>
                <w:sz w:val="22"/>
                <w:szCs w:val="22"/>
              </w:rPr>
              <w:t>ежедневно с режимом работы сутки через трое</w:t>
            </w:r>
          </w:p>
        </w:tc>
        <w:tc>
          <w:tcPr>
            <w:tcW w:w="12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1 человек</w:t>
            </w:r>
          </w:p>
        </w:tc>
        <w:tc>
          <w:tcPr>
            <w:tcW w:w="261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2"/>
                <w:szCs w:val="22"/>
              </w:rPr>
            </w:pPr>
            <w:r>
              <w:rPr>
                <w:sz w:val="22"/>
                <w:szCs w:val="22"/>
              </w:rPr>
              <w:t>Служебное огнестрельное нарезное короткоствольное оружие и патроны к нему или огнестрельное гладкоствольное длинноствольное оружие и патроны к нему (по согласованию с заказчиком) в соответствии с действующим законодательством РФ – 1 ед.;</w:t>
            </w:r>
          </w:p>
          <w:p>
            <w:pPr>
              <w:pStyle w:val="Normal"/>
              <w:widowControl w:val="false"/>
              <w:rPr>
                <w:sz w:val="22"/>
                <w:szCs w:val="22"/>
              </w:rPr>
            </w:pPr>
            <w:r>
              <w:rPr>
                <w:sz w:val="22"/>
                <w:szCs w:val="22"/>
              </w:rPr>
              <w:t>палка резиновая - 1 шт.;</w:t>
            </w:r>
          </w:p>
          <w:p>
            <w:pPr>
              <w:pStyle w:val="Normal"/>
              <w:widowControl w:val="false"/>
              <w:rPr>
                <w:sz w:val="22"/>
                <w:szCs w:val="22"/>
              </w:rPr>
            </w:pPr>
            <w:r>
              <w:rPr>
                <w:sz w:val="22"/>
                <w:szCs w:val="22"/>
              </w:rPr>
              <w:t>наручники - 1 шт.;</w:t>
            </w:r>
          </w:p>
          <w:p>
            <w:pPr>
              <w:pStyle w:val="Normal"/>
              <w:widowControl w:val="false"/>
              <w:rPr>
                <w:sz w:val="22"/>
                <w:szCs w:val="22"/>
              </w:rPr>
            </w:pPr>
            <w:r>
              <w:rPr>
                <w:sz w:val="22"/>
                <w:szCs w:val="22"/>
              </w:rPr>
              <w:t>электрический фонарь - 1 шт.;</w:t>
            </w:r>
          </w:p>
          <w:p>
            <w:pPr>
              <w:pStyle w:val="Normal"/>
              <w:widowControl w:val="false"/>
              <w:rPr>
                <w:sz w:val="22"/>
                <w:szCs w:val="22"/>
              </w:rPr>
            </w:pPr>
            <w:r>
              <w:rPr>
                <w:sz w:val="22"/>
                <w:szCs w:val="22"/>
              </w:rPr>
              <w:t>радиостанция - 1 шт.;</w:t>
            </w:r>
          </w:p>
          <w:p>
            <w:pPr>
              <w:pStyle w:val="Normal"/>
              <w:widowControl w:val="false"/>
              <w:rPr>
                <w:sz w:val="22"/>
                <w:szCs w:val="22"/>
              </w:rPr>
            </w:pPr>
            <w:r>
              <w:rPr>
                <w:sz w:val="22"/>
                <w:szCs w:val="22"/>
              </w:rPr>
              <w:t>мобильная связь - 1 шт.</w:t>
            </w:r>
          </w:p>
          <w:p>
            <w:pPr>
              <w:pStyle w:val="Normal"/>
              <w:widowControl w:val="false"/>
              <w:rPr>
                <w:sz w:val="22"/>
                <w:szCs w:val="22"/>
              </w:rPr>
            </w:pPr>
            <w:r>
              <w:rPr>
                <w:sz w:val="22"/>
                <w:szCs w:val="22"/>
              </w:rPr>
              <w:t>электрошокер – 1 шт.;</w:t>
            </w:r>
          </w:p>
          <w:p>
            <w:pPr>
              <w:pStyle w:val="Normal"/>
              <w:widowControl w:val="false"/>
              <w:rPr>
                <w:sz w:val="22"/>
                <w:szCs w:val="22"/>
              </w:rPr>
            </w:pPr>
            <w:r>
              <w:rPr>
                <w:sz w:val="22"/>
                <w:szCs w:val="22"/>
              </w:rPr>
            </w:r>
          </w:p>
        </w:tc>
      </w:tr>
      <w:tr>
        <w:trPr>
          <w:trHeight w:val="274" w:hRule="atLeast"/>
        </w:trPr>
        <w:tc>
          <w:tcPr>
            <w:tcW w:w="11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2"/>
                <w:szCs w:val="22"/>
              </w:rPr>
            </w:pPr>
            <w:r>
              <w:rPr>
                <w:sz w:val="22"/>
                <w:szCs w:val="22"/>
              </w:rPr>
              <w:t>Пост №5. Суточный</w:t>
            </w:r>
          </w:p>
        </w:tc>
        <w:tc>
          <w:tcPr>
            <w:tcW w:w="28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sz w:val="22"/>
                <w:szCs w:val="22"/>
              </w:rPr>
            </w:pPr>
            <w:r>
              <w:rPr>
                <w:sz w:val="22"/>
                <w:szCs w:val="22"/>
              </w:rPr>
              <w:t>Головной узел ГЭС</w:t>
            </w:r>
          </w:p>
        </w:tc>
        <w:tc>
          <w:tcPr>
            <w:tcW w:w="19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 xml:space="preserve">с 08.00 по 08.00 </w:t>
            </w:r>
          </w:p>
          <w:p>
            <w:pPr>
              <w:pStyle w:val="Normal"/>
              <w:widowControl w:val="false"/>
              <w:rPr>
                <w:sz w:val="22"/>
                <w:szCs w:val="22"/>
              </w:rPr>
            </w:pPr>
            <w:r>
              <w:rPr>
                <w:sz w:val="22"/>
                <w:szCs w:val="22"/>
              </w:rPr>
              <w:t>ежедневно с режимом работы сутки через трое</w:t>
            </w:r>
          </w:p>
        </w:tc>
        <w:tc>
          <w:tcPr>
            <w:tcW w:w="12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1 парный</w:t>
            </w:r>
          </w:p>
          <w:p>
            <w:pPr>
              <w:pStyle w:val="Normal"/>
              <w:widowControl w:val="false"/>
              <w:jc w:val="center"/>
              <w:rPr>
                <w:sz w:val="22"/>
                <w:szCs w:val="22"/>
              </w:rPr>
            </w:pPr>
            <w:r>
              <w:rPr>
                <w:sz w:val="22"/>
                <w:szCs w:val="22"/>
              </w:rPr>
              <w:t>(2 человека)</w:t>
            </w:r>
          </w:p>
        </w:tc>
        <w:tc>
          <w:tcPr>
            <w:tcW w:w="261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2"/>
                <w:szCs w:val="22"/>
              </w:rPr>
            </w:pPr>
            <w:r>
              <w:rPr>
                <w:sz w:val="22"/>
                <w:szCs w:val="22"/>
              </w:rPr>
              <w:t>Служебное огнестрельное нарезное короткоствольное оружие и патроны к нему или огнестрельное гладкоствольное длинноствольное оружие и патроны к нему (по согласованию с заказчиком) в соответствии с действующим законодательством РФ – не менее 1 ед.;</w:t>
            </w:r>
          </w:p>
          <w:p>
            <w:pPr>
              <w:pStyle w:val="Normal"/>
              <w:widowControl w:val="false"/>
              <w:rPr>
                <w:sz w:val="22"/>
                <w:szCs w:val="22"/>
              </w:rPr>
            </w:pPr>
            <w:r>
              <w:rPr>
                <w:sz w:val="22"/>
                <w:szCs w:val="22"/>
              </w:rPr>
              <w:t>палка резиновая - 2 шт.;</w:t>
            </w:r>
          </w:p>
          <w:p>
            <w:pPr>
              <w:pStyle w:val="Normal"/>
              <w:widowControl w:val="false"/>
              <w:rPr>
                <w:sz w:val="22"/>
                <w:szCs w:val="22"/>
              </w:rPr>
            </w:pPr>
            <w:r>
              <w:rPr>
                <w:sz w:val="22"/>
                <w:szCs w:val="22"/>
              </w:rPr>
              <w:t>наручники -2 шт.;</w:t>
            </w:r>
          </w:p>
          <w:p>
            <w:pPr>
              <w:pStyle w:val="Normal"/>
              <w:widowControl w:val="false"/>
              <w:rPr>
                <w:sz w:val="22"/>
                <w:szCs w:val="22"/>
              </w:rPr>
            </w:pPr>
            <w:r>
              <w:rPr>
                <w:sz w:val="22"/>
                <w:szCs w:val="22"/>
              </w:rPr>
              <w:t>электрический фонарь - 2 шт.;</w:t>
            </w:r>
          </w:p>
          <w:p>
            <w:pPr>
              <w:pStyle w:val="Normal"/>
              <w:widowControl w:val="false"/>
              <w:rPr>
                <w:sz w:val="22"/>
                <w:szCs w:val="22"/>
              </w:rPr>
            </w:pPr>
            <w:r>
              <w:rPr>
                <w:sz w:val="22"/>
                <w:szCs w:val="22"/>
              </w:rPr>
              <w:t>радиостанция - 2 шт.;</w:t>
            </w:r>
          </w:p>
          <w:p>
            <w:pPr>
              <w:pStyle w:val="Normal"/>
              <w:widowControl w:val="false"/>
              <w:rPr>
                <w:sz w:val="22"/>
                <w:szCs w:val="22"/>
              </w:rPr>
            </w:pPr>
            <w:r>
              <w:rPr>
                <w:sz w:val="22"/>
                <w:szCs w:val="22"/>
              </w:rPr>
              <w:t>мобильная связь - 2 шт.</w:t>
            </w:r>
          </w:p>
          <w:p>
            <w:pPr>
              <w:pStyle w:val="Normal"/>
              <w:widowControl w:val="false"/>
              <w:rPr>
                <w:sz w:val="22"/>
                <w:szCs w:val="22"/>
              </w:rPr>
            </w:pPr>
            <w:r>
              <w:rPr>
                <w:sz w:val="22"/>
                <w:szCs w:val="22"/>
              </w:rPr>
              <w:t>электрошокер – 2 шт.;</w:t>
            </w:r>
          </w:p>
          <w:p>
            <w:pPr>
              <w:pStyle w:val="Normal"/>
              <w:widowControl w:val="false"/>
              <w:rPr>
                <w:sz w:val="22"/>
                <w:szCs w:val="22"/>
              </w:rPr>
            </w:pPr>
            <w:r>
              <w:rPr>
                <w:sz w:val="22"/>
                <w:szCs w:val="22"/>
              </w:rPr>
              <w:t>металлодетектор – 1 шт.</w:t>
            </w:r>
          </w:p>
        </w:tc>
      </w:tr>
    </w:tbl>
    <w:p>
      <w:pPr>
        <w:pStyle w:val="Normal"/>
        <w:spacing w:before="0" w:after="0"/>
        <w:contextualSpacing/>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sectPr>
      <w:headerReference w:type="default" r:id="rId3"/>
      <w:headerReference w:type="first" r:id="rId4"/>
      <w:type w:val="nextPage"/>
      <w:pgSz w:w="11906" w:h="16838"/>
      <w:pgMar w:left="1418" w:right="851" w:gutter="0" w:header="284" w:top="992" w:footer="0" w:bottom="278"/>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Calibri">
    <w:charset w:val="01"/>
    <w:family w:val="roman"/>
    <w:pitch w:val="variable"/>
  </w:font>
  <w:font w:name="Times New Roman">
    <w:charset w:val="01"/>
    <w:family w:val="roman"/>
    <w:pitch w:val="variable"/>
  </w:font>
  <w:font w:name="Segoe UI">
    <w:charset w:val="01"/>
    <w:family w:val="roman"/>
    <w:pitch w:val="variable"/>
  </w:font>
  <w:font w:name="Liberation Sans">
    <w:altName w:val="Arial"/>
    <w:charset w:val="01"/>
    <w:family w:val="roman"/>
    <w:pitch w:val="variable"/>
  </w:font>
  <w:font w:name="Arial">
    <w:charset w:val="01"/>
    <w:family w:val="roman"/>
    <w:pitch w:val="variable"/>
  </w:font>
  <w:font w:name="Verdan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10</w:t>
    </w:r>
    <w:r>
      <w:rPr/>
      <w:fldChar w:fldCharType="end"/>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2"/>
        <w:szCs w:val="22"/>
      </w:rPr>
    </w:pPr>
    <w:r>
      <w:rPr/>
      <w:fldChar w:fldCharType="begin"/>
    </w:r>
    <w:r>
      <w:rPr/>
      <w:instrText xml:space="preserve"> PAGE </w:instrText>
    </w:r>
    <w:r>
      <w:rPr/>
      <w:fldChar w:fldCharType="separate"/>
    </w:r>
    <w:r>
      <w:rPr/>
      <w:t>17</w:t>
    </w:r>
    <w:r>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502" w:hanging="360"/>
      </w:pPr>
      <w:rPr>
        <w:b/>
        <w:rFonts w:ascii="Times New Roman" w:hAnsi="Times New Roman" w:eastAsia="Times New Roman" w:cs="Times New Roman"/>
      </w:rPr>
    </w:lvl>
    <w:lvl w:ilvl="1">
      <w:start w:val="1"/>
      <w:numFmt w:val="decimal"/>
      <w:lvlText w:val="%1.%2."/>
      <w:lvlJc w:val="left"/>
      <w:pPr>
        <w:tabs>
          <w:tab w:val="num" w:pos="0"/>
        </w:tabs>
        <w:ind w:left="1283" w:hanging="432"/>
      </w:pPr>
      <w:rPr>
        <w:sz w:val="24"/>
        <w:szCs w:val="28"/>
        <w:color w:val="auto"/>
      </w:rPr>
    </w:lvl>
    <w:lvl w:ilvl="2">
      <w:start w:val="1"/>
      <w:numFmt w:val="decimal"/>
      <w:lvlText w:val="%1.%2.%3."/>
      <w:lvlJc w:val="left"/>
      <w:pPr>
        <w:tabs>
          <w:tab w:val="num" w:pos="0"/>
        </w:tabs>
        <w:ind w:left="1356"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
    <w:lvl w:ilvl="0">
      <w:start w:val="1"/>
      <w:numFmt w:val="bullet"/>
      <w:lvlText w:val=""/>
      <w:lvlJc w:val="left"/>
      <w:pPr>
        <w:tabs>
          <w:tab w:val="num" w:pos="1996"/>
        </w:tabs>
        <w:ind w:left="1996" w:hanging="360"/>
      </w:pPr>
      <w:rPr>
        <w:rFonts w:ascii="Symbol" w:hAnsi="Symbol" w:cs="Symbol" w:hint="default"/>
      </w:rPr>
    </w:lvl>
    <w:lvl w:ilvl="1">
      <w:start w:val="1"/>
      <w:numFmt w:val="bullet"/>
      <w:lvlText w:val="o"/>
      <w:lvlJc w:val="left"/>
      <w:pPr>
        <w:tabs>
          <w:tab w:val="num" w:pos="2716"/>
        </w:tabs>
        <w:ind w:left="2716" w:hanging="360"/>
      </w:pPr>
      <w:rPr>
        <w:rFonts w:ascii="Courier New" w:hAnsi="Courier New" w:cs="Courier New" w:hint="default"/>
      </w:rPr>
    </w:lvl>
    <w:lvl w:ilvl="2">
      <w:start w:val="1"/>
      <w:numFmt w:val="bullet"/>
      <w:lvlText w:val=""/>
      <w:lvlJc w:val="left"/>
      <w:pPr>
        <w:tabs>
          <w:tab w:val="num" w:pos="3436"/>
        </w:tabs>
        <w:ind w:left="3436" w:hanging="360"/>
      </w:pPr>
      <w:rPr>
        <w:rFonts w:ascii="Wingdings" w:hAnsi="Wingdings" w:cs="Wingdings" w:hint="default"/>
      </w:rPr>
    </w:lvl>
    <w:lvl w:ilvl="3">
      <w:start w:val="1"/>
      <w:numFmt w:val="bullet"/>
      <w:lvlText w:val=""/>
      <w:lvlJc w:val="left"/>
      <w:pPr>
        <w:tabs>
          <w:tab w:val="num" w:pos="4156"/>
        </w:tabs>
        <w:ind w:left="4156" w:hanging="360"/>
      </w:pPr>
      <w:rPr>
        <w:rFonts w:ascii="Symbol" w:hAnsi="Symbol" w:cs="Symbol" w:hint="default"/>
      </w:rPr>
    </w:lvl>
    <w:lvl w:ilvl="4">
      <w:start w:val="1"/>
      <w:numFmt w:val="bullet"/>
      <w:lvlText w:val="o"/>
      <w:lvlJc w:val="left"/>
      <w:pPr>
        <w:tabs>
          <w:tab w:val="num" w:pos="4876"/>
        </w:tabs>
        <w:ind w:left="4876" w:hanging="360"/>
      </w:pPr>
      <w:rPr>
        <w:rFonts w:ascii="Courier New" w:hAnsi="Courier New" w:cs="Courier New" w:hint="default"/>
      </w:rPr>
    </w:lvl>
    <w:lvl w:ilvl="5">
      <w:start w:val="1"/>
      <w:numFmt w:val="bullet"/>
      <w:lvlText w:val=""/>
      <w:lvlJc w:val="left"/>
      <w:pPr>
        <w:tabs>
          <w:tab w:val="num" w:pos="5596"/>
        </w:tabs>
        <w:ind w:left="5596" w:hanging="360"/>
      </w:pPr>
      <w:rPr>
        <w:rFonts w:ascii="Wingdings" w:hAnsi="Wingdings" w:cs="Wingdings" w:hint="default"/>
      </w:rPr>
    </w:lvl>
    <w:lvl w:ilvl="6">
      <w:start w:val="1"/>
      <w:numFmt w:val="bullet"/>
      <w:lvlText w:val=""/>
      <w:lvlJc w:val="left"/>
      <w:pPr>
        <w:tabs>
          <w:tab w:val="num" w:pos="6316"/>
        </w:tabs>
        <w:ind w:left="6316" w:hanging="360"/>
      </w:pPr>
      <w:rPr>
        <w:rFonts w:ascii="Symbol" w:hAnsi="Symbol" w:cs="Symbol" w:hint="default"/>
      </w:rPr>
    </w:lvl>
    <w:lvl w:ilvl="7">
      <w:start w:val="1"/>
      <w:numFmt w:val="bullet"/>
      <w:lvlText w:val="o"/>
      <w:lvlJc w:val="left"/>
      <w:pPr>
        <w:tabs>
          <w:tab w:val="num" w:pos="7036"/>
        </w:tabs>
        <w:ind w:left="7036" w:hanging="360"/>
      </w:pPr>
      <w:rPr>
        <w:rFonts w:ascii="Courier New" w:hAnsi="Courier New" w:cs="Courier New" w:hint="default"/>
      </w:rPr>
    </w:lvl>
    <w:lvl w:ilvl="8">
      <w:start w:val="1"/>
      <w:numFmt w:val="bullet"/>
      <w:lvlText w:val=""/>
      <w:lvlJc w:val="left"/>
      <w:pPr>
        <w:tabs>
          <w:tab w:val="num" w:pos="7756"/>
        </w:tabs>
        <w:ind w:left="7756" w:hanging="360"/>
      </w:pPr>
      <w:rPr>
        <w:rFonts w:ascii="Wingdings" w:hAnsi="Wingdings" w:cs="Wingdings" w:hint="default"/>
      </w:rPr>
    </w:lvl>
  </w:abstractNum>
  <w:abstractNum w:abstractNumId="4">
    <w:lvl w:ilvl="0">
      <w:start w:val="1"/>
      <w:numFmt w:val="bullet"/>
      <w:lvlText w:val=""/>
      <w:lvlJc w:val="left"/>
      <w:pPr>
        <w:tabs>
          <w:tab w:val="num" w:pos="0"/>
        </w:tabs>
        <w:ind w:left="1789" w:hanging="360"/>
      </w:pPr>
      <w:rPr>
        <w:rFonts w:ascii="Symbol" w:hAnsi="Symbol" w:cs="Symbol" w:hint="default"/>
      </w:rPr>
    </w:lvl>
    <w:lvl w:ilvl="1">
      <w:start w:val="1"/>
      <w:numFmt w:val="bullet"/>
      <w:lvlText w:val="o"/>
      <w:lvlJc w:val="left"/>
      <w:pPr>
        <w:tabs>
          <w:tab w:val="num" w:pos="0"/>
        </w:tabs>
        <w:ind w:left="2509" w:hanging="360"/>
      </w:pPr>
      <w:rPr>
        <w:rFonts w:ascii="Courier New" w:hAnsi="Courier New" w:cs="Courier New" w:hint="default"/>
      </w:rPr>
    </w:lvl>
    <w:lvl w:ilvl="2">
      <w:start w:val="1"/>
      <w:numFmt w:val="bullet"/>
      <w:lvlText w:val=""/>
      <w:lvlJc w:val="left"/>
      <w:pPr>
        <w:tabs>
          <w:tab w:val="num" w:pos="0"/>
        </w:tabs>
        <w:ind w:left="3229" w:hanging="360"/>
      </w:pPr>
      <w:rPr>
        <w:rFonts w:ascii="Wingdings" w:hAnsi="Wingdings" w:cs="Wingdings" w:hint="default"/>
      </w:rPr>
    </w:lvl>
    <w:lvl w:ilvl="3">
      <w:start w:val="1"/>
      <w:numFmt w:val="bullet"/>
      <w:lvlText w:val=""/>
      <w:lvlJc w:val="left"/>
      <w:pPr>
        <w:tabs>
          <w:tab w:val="num" w:pos="0"/>
        </w:tabs>
        <w:ind w:left="3949" w:hanging="360"/>
      </w:pPr>
      <w:rPr>
        <w:rFonts w:ascii="Symbol" w:hAnsi="Symbol" w:cs="Symbol" w:hint="default"/>
      </w:rPr>
    </w:lvl>
    <w:lvl w:ilvl="4">
      <w:start w:val="1"/>
      <w:numFmt w:val="bullet"/>
      <w:lvlText w:val="o"/>
      <w:lvlJc w:val="left"/>
      <w:pPr>
        <w:tabs>
          <w:tab w:val="num" w:pos="0"/>
        </w:tabs>
        <w:ind w:left="4669" w:hanging="360"/>
      </w:pPr>
      <w:rPr>
        <w:rFonts w:ascii="Courier New" w:hAnsi="Courier New" w:cs="Courier New" w:hint="default"/>
      </w:rPr>
    </w:lvl>
    <w:lvl w:ilvl="5">
      <w:start w:val="1"/>
      <w:numFmt w:val="bullet"/>
      <w:lvlText w:val=""/>
      <w:lvlJc w:val="left"/>
      <w:pPr>
        <w:tabs>
          <w:tab w:val="num" w:pos="0"/>
        </w:tabs>
        <w:ind w:left="5389" w:hanging="360"/>
      </w:pPr>
      <w:rPr>
        <w:rFonts w:ascii="Wingdings" w:hAnsi="Wingdings" w:cs="Wingdings" w:hint="default"/>
      </w:rPr>
    </w:lvl>
    <w:lvl w:ilvl="6">
      <w:start w:val="1"/>
      <w:numFmt w:val="bullet"/>
      <w:lvlText w:val=""/>
      <w:lvlJc w:val="left"/>
      <w:pPr>
        <w:tabs>
          <w:tab w:val="num" w:pos="0"/>
        </w:tabs>
        <w:ind w:left="6109" w:hanging="360"/>
      </w:pPr>
      <w:rPr>
        <w:rFonts w:ascii="Symbol" w:hAnsi="Symbol" w:cs="Symbol" w:hint="default"/>
      </w:rPr>
    </w:lvl>
    <w:lvl w:ilvl="7">
      <w:start w:val="1"/>
      <w:numFmt w:val="bullet"/>
      <w:lvlText w:val="o"/>
      <w:lvlJc w:val="left"/>
      <w:pPr>
        <w:tabs>
          <w:tab w:val="num" w:pos="0"/>
        </w:tabs>
        <w:ind w:left="6829" w:hanging="360"/>
      </w:pPr>
      <w:rPr>
        <w:rFonts w:ascii="Courier New" w:hAnsi="Courier New" w:cs="Courier New" w:hint="default"/>
      </w:rPr>
    </w:lvl>
    <w:lvl w:ilvl="8">
      <w:start w:val="1"/>
      <w:numFmt w:val="bullet"/>
      <w:lvlText w:val=""/>
      <w:lvlJc w:val="left"/>
      <w:pPr>
        <w:tabs>
          <w:tab w:val="num" w:pos="0"/>
        </w:tabs>
        <w:ind w:left="7549" w:hanging="360"/>
      </w:pPr>
      <w:rPr>
        <w:rFonts w:ascii="Wingdings" w:hAnsi="Wingdings" w:cs="Wingdings" w:hint="default"/>
      </w:rPr>
    </w:lvl>
  </w:abstractNum>
  <w:abstractNum w:abstractNumId="5">
    <w:lvl w:ilvl="0">
      <w:start w:val="2"/>
      <w:numFmt w:val="decimal"/>
      <w:lvlText w:val="%1."/>
      <w:lvlJc w:val="left"/>
      <w:pPr>
        <w:tabs>
          <w:tab w:val="num" w:pos="0"/>
        </w:tabs>
        <w:ind w:left="540" w:hanging="540"/>
      </w:pPr>
      <w:rPr/>
    </w:lvl>
    <w:lvl w:ilvl="1">
      <w:start w:val="1"/>
      <w:numFmt w:val="decimal"/>
      <w:lvlText w:val="%1.%2."/>
      <w:lvlJc w:val="left"/>
      <w:pPr>
        <w:tabs>
          <w:tab w:val="num" w:pos="0"/>
        </w:tabs>
        <w:ind w:left="791" w:hanging="540"/>
      </w:pPr>
      <w:rPr/>
    </w:lvl>
    <w:lvl w:ilvl="2">
      <w:start w:val="2"/>
      <w:numFmt w:val="decimal"/>
      <w:lvlText w:val="%1.%2.%3."/>
      <w:lvlJc w:val="left"/>
      <w:pPr>
        <w:tabs>
          <w:tab w:val="num" w:pos="0"/>
        </w:tabs>
        <w:ind w:left="1222" w:hanging="720"/>
      </w:pPr>
      <w:rPr/>
    </w:lvl>
    <w:lvl w:ilvl="3">
      <w:start w:val="1"/>
      <w:numFmt w:val="decimal"/>
      <w:lvlText w:val="%1.%2.%3.%4."/>
      <w:lvlJc w:val="left"/>
      <w:pPr>
        <w:tabs>
          <w:tab w:val="num" w:pos="0"/>
        </w:tabs>
        <w:ind w:left="1473" w:hanging="720"/>
      </w:pPr>
      <w:rPr/>
    </w:lvl>
    <w:lvl w:ilvl="4">
      <w:start w:val="1"/>
      <w:numFmt w:val="decimal"/>
      <w:lvlText w:val="%1.%2.%3.%4.%5."/>
      <w:lvlJc w:val="left"/>
      <w:pPr>
        <w:tabs>
          <w:tab w:val="num" w:pos="0"/>
        </w:tabs>
        <w:ind w:left="2084" w:hanging="1080"/>
      </w:pPr>
      <w:rPr/>
    </w:lvl>
    <w:lvl w:ilvl="5">
      <w:start w:val="1"/>
      <w:numFmt w:val="decimal"/>
      <w:lvlText w:val="%1.%2.%3.%4.%5.%6."/>
      <w:lvlJc w:val="left"/>
      <w:pPr>
        <w:tabs>
          <w:tab w:val="num" w:pos="0"/>
        </w:tabs>
        <w:ind w:left="2335" w:hanging="1080"/>
      </w:pPr>
      <w:rPr/>
    </w:lvl>
    <w:lvl w:ilvl="6">
      <w:start w:val="1"/>
      <w:numFmt w:val="decimal"/>
      <w:lvlText w:val="%1.%2.%3.%4.%5.%6.%7."/>
      <w:lvlJc w:val="left"/>
      <w:pPr>
        <w:tabs>
          <w:tab w:val="num" w:pos="0"/>
        </w:tabs>
        <w:ind w:left="2946" w:hanging="1440"/>
      </w:pPr>
      <w:rPr/>
    </w:lvl>
    <w:lvl w:ilvl="7">
      <w:start w:val="1"/>
      <w:numFmt w:val="decimal"/>
      <w:lvlText w:val="%1.%2.%3.%4.%5.%6.%7.%8."/>
      <w:lvlJc w:val="left"/>
      <w:pPr>
        <w:tabs>
          <w:tab w:val="num" w:pos="0"/>
        </w:tabs>
        <w:ind w:left="3197" w:hanging="1440"/>
      </w:pPr>
      <w:rPr/>
    </w:lvl>
    <w:lvl w:ilvl="8">
      <w:start w:val="1"/>
      <w:numFmt w:val="decimal"/>
      <w:lvlText w:val="%1.%2.%3.%4.%5.%6.%7.%8.%9."/>
      <w:lvlJc w:val="left"/>
      <w:pPr>
        <w:tabs>
          <w:tab w:val="num" w:pos="0"/>
        </w:tabs>
        <w:ind w:left="3808" w:hanging="1800"/>
      </w:pPr>
      <w:rPr/>
    </w:lvl>
  </w:abstractNum>
  <w:abstractNum w:abstractNumId="6">
    <w:lvl w:ilvl="0">
      <w:start w:val="2"/>
      <w:numFmt w:val="decimal"/>
      <w:lvlText w:val="%1."/>
      <w:lvlJc w:val="left"/>
      <w:pPr>
        <w:tabs>
          <w:tab w:val="num" w:pos="0"/>
        </w:tabs>
        <w:ind w:left="502" w:hanging="360"/>
      </w:pPr>
      <w:rPr/>
    </w:lvl>
    <w:lvl w:ilvl="1">
      <w:start w:val="1"/>
      <w:numFmt w:val="lowerLetter"/>
      <w:lvlText w:val="%2."/>
      <w:lvlJc w:val="left"/>
      <w:pPr>
        <w:tabs>
          <w:tab w:val="num" w:pos="0"/>
        </w:tabs>
        <w:ind w:left="1222" w:hanging="360"/>
      </w:pPr>
      <w:rPr/>
    </w:lvl>
    <w:lvl w:ilvl="2">
      <w:start w:val="1"/>
      <w:numFmt w:val="lowerRoman"/>
      <w:lvlText w:val="%3."/>
      <w:lvlJc w:val="right"/>
      <w:pPr>
        <w:tabs>
          <w:tab w:val="num" w:pos="0"/>
        </w:tabs>
        <w:ind w:left="1942" w:hanging="180"/>
      </w:pPr>
      <w:rPr/>
    </w:lvl>
    <w:lvl w:ilvl="3">
      <w:start w:val="1"/>
      <w:numFmt w:val="decimal"/>
      <w:lvlText w:val="%4."/>
      <w:lvlJc w:val="left"/>
      <w:pPr>
        <w:tabs>
          <w:tab w:val="num" w:pos="0"/>
        </w:tabs>
        <w:ind w:left="2662" w:hanging="360"/>
      </w:pPr>
      <w:rPr/>
    </w:lvl>
    <w:lvl w:ilvl="4">
      <w:start w:val="1"/>
      <w:numFmt w:val="lowerLetter"/>
      <w:lvlText w:val="%5."/>
      <w:lvlJc w:val="left"/>
      <w:pPr>
        <w:tabs>
          <w:tab w:val="num" w:pos="0"/>
        </w:tabs>
        <w:ind w:left="3382" w:hanging="360"/>
      </w:pPr>
      <w:rPr/>
    </w:lvl>
    <w:lvl w:ilvl="5">
      <w:start w:val="1"/>
      <w:numFmt w:val="lowerRoman"/>
      <w:lvlText w:val="%6."/>
      <w:lvlJc w:val="right"/>
      <w:pPr>
        <w:tabs>
          <w:tab w:val="num" w:pos="0"/>
        </w:tabs>
        <w:ind w:left="4102" w:hanging="180"/>
      </w:pPr>
      <w:rPr/>
    </w:lvl>
    <w:lvl w:ilvl="6">
      <w:start w:val="1"/>
      <w:numFmt w:val="decimal"/>
      <w:lvlText w:val="%7."/>
      <w:lvlJc w:val="left"/>
      <w:pPr>
        <w:tabs>
          <w:tab w:val="num" w:pos="0"/>
        </w:tabs>
        <w:ind w:left="4822" w:hanging="360"/>
      </w:pPr>
      <w:rPr/>
    </w:lvl>
    <w:lvl w:ilvl="7">
      <w:start w:val="1"/>
      <w:numFmt w:val="lowerLetter"/>
      <w:lvlText w:val="%8."/>
      <w:lvlJc w:val="left"/>
      <w:pPr>
        <w:tabs>
          <w:tab w:val="num" w:pos="0"/>
        </w:tabs>
        <w:ind w:left="5542" w:hanging="360"/>
      </w:pPr>
      <w:rPr/>
    </w:lvl>
    <w:lvl w:ilvl="8">
      <w:start w:val="1"/>
      <w:numFmt w:val="lowerRoman"/>
      <w:lvlText w:val="%9."/>
      <w:lvlJc w:val="right"/>
      <w:pPr>
        <w:tabs>
          <w:tab w:val="num" w:pos="0"/>
        </w:tabs>
        <w:ind w:left="6262" w:hanging="180"/>
      </w:pPr>
      <w:rPr/>
    </w:lvl>
  </w:abstractNum>
  <w:abstractNum w:abstractNumId="7">
    <w:lvl w:ilvl="0">
      <w:start w:val="4"/>
      <w:numFmt w:val="decimal"/>
      <w:lvlText w:val="%1."/>
      <w:lvlJc w:val="left"/>
      <w:pPr>
        <w:tabs>
          <w:tab w:val="num" w:pos="0"/>
        </w:tabs>
        <w:ind w:left="1080" w:hanging="360"/>
      </w:pPr>
      <w:rPr>
        <w:rFonts w:cs="Times New Roman"/>
      </w:rPr>
    </w:lvl>
    <w:lvl w:ilvl="1">
      <w:start w:val="1"/>
      <w:numFmt w:val="decimal"/>
      <w:lvlText w:val="%1.%2."/>
      <w:lvlJc w:val="left"/>
      <w:pPr>
        <w:tabs>
          <w:tab w:val="num" w:pos="0"/>
        </w:tabs>
        <w:ind w:left="1140" w:hanging="42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1440" w:hanging="720"/>
      </w:pPr>
      <w:rPr>
        <w:rFonts w:cs="Times New Roman"/>
      </w:rPr>
    </w:lvl>
    <w:lvl w:ilvl="4">
      <w:start w:val="1"/>
      <w:numFmt w:val="decimal"/>
      <w:lvlText w:val="%1.%2.%3.%4.%5."/>
      <w:lvlJc w:val="left"/>
      <w:pPr>
        <w:tabs>
          <w:tab w:val="num" w:pos="0"/>
        </w:tabs>
        <w:ind w:left="1800" w:hanging="1080"/>
      </w:pPr>
      <w:rPr>
        <w:rFonts w:cs="Times New Roman"/>
      </w:rPr>
    </w:lvl>
    <w:lvl w:ilvl="5">
      <w:start w:val="1"/>
      <w:numFmt w:val="decimal"/>
      <w:lvlText w:val="%1.%2.%3.%4.%5.%6."/>
      <w:lvlJc w:val="left"/>
      <w:pPr>
        <w:tabs>
          <w:tab w:val="num" w:pos="0"/>
        </w:tabs>
        <w:ind w:left="1800" w:hanging="1080"/>
      </w:pPr>
      <w:rPr>
        <w:rFonts w:cs="Times New Roman"/>
      </w:rPr>
    </w:lvl>
    <w:lvl w:ilvl="6">
      <w:start w:val="1"/>
      <w:numFmt w:val="decimal"/>
      <w:lvlText w:val="%1.%2.%3.%4.%5.%6.%7."/>
      <w:lvlJc w:val="left"/>
      <w:pPr>
        <w:tabs>
          <w:tab w:val="num" w:pos="0"/>
        </w:tabs>
        <w:ind w:left="2160" w:hanging="1440"/>
      </w:pPr>
      <w:rPr>
        <w:rFonts w:cs="Times New Roman"/>
      </w:rPr>
    </w:lvl>
    <w:lvl w:ilvl="7">
      <w:start w:val="1"/>
      <w:numFmt w:val="decimal"/>
      <w:lvlText w:val="%1.%2.%3.%4.%5.%6.%7.%8."/>
      <w:lvlJc w:val="left"/>
      <w:pPr>
        <w:tabs>
          <w:tab w:val="num" w:pos="0"/>
        </w:tabs>
        <w:ind w:left="2160" w:hanging="1440"/>
      </w:pPr>
      <w:rPr>
        <w:rFonts w:cs="Times New Roman"/>
      </w:rPr>
    </w:lvl>
    <w:lvl w:ilvl="8">
      <w:start w:val="1"/>
      <w:numFmt w:val="decimal"/>
      <w:lvlText w:val="%1.%2.%3.%4.%5.%6.%7.%8.%9."/>
      <w:lvlJc w:val="left"/>
      <w:pPr>
        <w:tabs>
          <w:tab w:val="num" w:pos="0"/>
        </w:tabs>
        <w:ind w:left="2520" w:hanging="1800"/>
      </w:pPr>
      <w:rPr>
        <w:rFonts w:cs="Times New Roman"/>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 w:val="22"/>
        <w:szCs w:val="22"/>
        <w:lang w:val="ru-RU"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Heading1">
    <w:name w:val="Heading 1"/>
    <w:basedOn w:val="Heading3"/>
    <w:next w:val="Normal"/>
    <w:link w:val="11"/>
    <w:qFormat/>
    <w:pPr>
      <w:outlineLvl w:val="0"/>
    </w:pPr>
    <w:rPr>
      <w:sz w:val="28"/>
      <w:szCs w:val="28"/>
    </w:rPr>
  </w:style>
  <w:style w:type="paragraph" w:styleId="Heading3">
    <w:name w:val="Heading 3"/>
    <w:basedOn w:val="Normal"/>
    <w:next w:val="Normal"/>
    <w:link w:val="3"/>
    <w:autoRedefine/>
    <w:qFormat/>
    <w:pPr>
      <w:keepNext w:val="true"/>
      <w:tabs>
        <w:tab w:val="clear" w:pos="709"/>
        <w:tab w:val="left" w:pos="0" w:leader="none"/>
      </w:tabs>
      <w:spacing w:before="120" w:after="60"/>
      <w:ind w:hanging="0" w:left="1224"/>
      <w:outlineLvl w:val="2"/>
    </w:pPr>
    <w:rPr>
      <w:rFonts w:eastAsia="Calibri"/>
      <w:b/>
      <w:lang w:val="x-none" w:eastAsia="x-none"/>
    </w:rPr>
  </w:style>
  <w:style w:type="paragraph" w:styleId="Heading4">
    <w:name w:val="Heading 4"/>
    <w:basedOn w:val="Heading3"/>
    <w:next w:val="Normal"/>
    <w:link w:val="4"/>
    <w:qFormat/>
    <w:pPr>
      <w:outlineLvl w:val="3"/>
    </w:pPr>
    <w:rPr>
      <w:bCs/>
    </w:rPr>
  </w:style>
  <w:style w:type="character" w:styleId="DefaultParagraphFont" w:default="1">
    <w:name w:val="Default Paragraph Font"/>
    <w:uiPriority w:val="1"/>
    <w:semiHidden/>
    <w:unhideWhenUsed/>
    <w:qFormat/>
    <w:rPr/>
  </w:style>
  <w:style w:type="character" w:styleId="Style6" w:customStyle="1">
    <w:name w:val="Нижний колонтитул Знак"/>
    <w:basedOn w:val="DefaultParagraphFont"/>
    <w:qFormat/>
    <w:rPr>
      <w:rFonts w:ascii="Times New Roman" w:hAnsi="Times New Roman" w:eastAsia="Times New Roman" w:cs="Times New Roman"/>
      <w:sz w:val="24"/>
      <w:szCs w:val="24"/>
      <w:lang w:eastAsia="ru-RU"/>
    </w:rPr>
  </w:style>
  <w:style w:type="character" w:styleId="Pagenumber">
    <w:name w:val="page number"/>
    <w:basedOn w:val="DefaultParagraphFont"/>
    <w:qFormat/>
    <w:rPr/>
  </w:style>
  <w:style w:type="character" w:styleId="2" w:customStyle="1">
    <w:name w:val="Стиль2 Знак"/>
    <w:link w:val="21"/>
    <w:qFormat/>
    <w:rPr>
      <w:rFonts w:ascii="Times New Roman" w:hAnsi="Times New Roman" w:eastAsia="Times New Roman" w:cs="Times New Roman"/>
      <w:bCs/>
      <w:kern w:val="2"/>
      <w:sz w:val="24"/>
      <w:szCs w:val="32"/>
      <w:lang w:val="x-none"/>
    </w:rPr>
  </w:style>
  <w:style w:type="character" w:styleId="Style7" w:customStyle="1">
    <w:name w:val="Текст сноски Знак"/>
    <w:basedOn w:val="DefaultParagraphFont"/>
    <w:qFormat/>
    <w:rPr>
      <w:rFonts w:ascii="Times New Roman" w:hAnsi="Times New Roman" w:eastAsia="Calibri" w:cs="Times New Roman"/>
      <w:sz w:val="20"/>
      <w:szCs w:val="20"/>
      <w:lang w:val="en-GB" w:eastAsia="ru-RU"/>
    </w:rPr>
  </w:style>
  <w:style w:type="character" w:styleId="Style8"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qFormat/>
    <w:rPr>
      <w:vertAlign w:val="superscript"/>
    </w:rPr>
  </w:style>
  <w:style w:type="character" w:styleId="1" w:customStyle="1">
    <w:name w:val="Гиперссылка1"/>
    <w:qFormat/>
    <w:rPr>
      <w:color w:val="0000FF"/>
      <w:u w:val="single"/>
    </w:rPr>
  </w:style>
  <w:style w:type="character" w:styleId="Style9" w:customStyle="1">
    <w:name w:val="Абзац списка Знак"/>
    <w:link w:val="ListParagraph"/>
    <w:uiPriority w:val="34"/>
    <w:qFormat/>
    <w:rPr>
      <w:rFonts w:ascii="Calibri" w:hAnsi="Calibri" w:eastAsia="Calibri" w:cs="Times New Roman"/>
    </w:rPr>
  </w:style>
  <w:style w:type="character" w:styleId="Annotationreference">
    <w:name w:val="annotation reference"/>
    <w:basedOn w:val="DefaultParagraphFont"/>
    <w:qFormat/>
    <w:rPr>
      <w:sz w:val="16"/>
      <w:szCs w:val="16"/>
    </w:rPr>
  </w:style>
  <w:style w:type="character" w:styleId="Style10" w:customStyle="1">
    <w:name w:val="Текст примечания Знак"/>
    <w:basedOn w:val="DefaultParagraphFont"/>
    <w:link w:val="Annotationtext"/>
    <w:qFormat/>
    <w:rPr>
      <w:rFonts w:ascii="Times New Roman" w:hAnsi="Times New Roman" w:eastAsia="Times New Roman" w:cs="Times New Roman"/>
      <w:sz w:val="20"/>
      <w:szCs w:val="20"/>
      <w:lang w:eastAsia="ru-RU"/>
    </w:rPr>
  </w:style>
  <w:style w:type="character" w:styleId="Style11" w:customStyle="1">
    <w:name w:val="Тема примечания Знак"/>
    <w:basedOn w:val="Style10"/>
    <w:link w:val="Annotationsubject"/>
    <w:qFormat/>
    <w:rPr>
      <w:rFonts w:ascii="Times New Roman" w:hAnsi="Times New Roman" w:eastAsia="Times New Roman" w:cs="Times New Roman"/>
      <w:b/>
      <w:bCs/>
      <w:sz w:val="20"/>
      <w:szCs w:val="20"/>
      <w:lang w:eastAsia="ru-RU"/>
    </w:rPr>
  </w:style>
  <w:style w:type="character" w:styleId="Style12" w:customStyle="1">
    <w:name w:val="Текст выноски Знак"/>
    <w:basedOn w:val="DefaultParagraphFont"/>
    <w:link w:val="BalloonText"/>
    <w:qFormat/>
    <w:rPr>
      <w:rFonts w:ascii="Segoe UI" w:hAnsi="Segoe UI" w:eastAsia="Times New Roman" w:cs="Segoe UI"/>
      <w:sz w:val="18"/>
      <w:szCs w:val="18"/>
      <w:lang w:eastAsia="ru-RU"/>
    </w:rPr>
  </w:style>
  <w:style w:type="character" w:styleId="Style13" w:customStyle="1">
    <w:name w:val="Верхний колонтитул Знак"/>
    <w:basedOn w:val="DefaultParagraphFont"/>
    <w:uiPriority w:val="99"/>
    <w:qFormat/>
    <w:rPr>
      <w:rFonts w:ascii="Times New Roman" w:hAnsi="Times New Roman" w:eastAsia="Times New Roman" w:cs="Times New Roman"/>
      <w:sz w:val="24"/>
      <w:szCs w:val="24"/>
      <w:lang w:eastAsia="ru-RU"/>
    </w:rPr>
  </w:style>
  <w:style w:type="character" w:styleId="11" w:customStyle="1">
    <w:name w:val="Заголовок 1 Знак"/>
    <w:basedOn w:val="DefaultParagraphFont"/>
    <w:qFormat/>
    <w:rPr>
      <w:rFonts w:ascii="Times New Roman" w:hAnsi="Times New Roman" w:eastAsia="Calibri" w:cs="Times New Roman"/>
      <w:b/>
      <w:sz w:val="28"/>
      <w:szCs w:val="28"/>
      <w:lang w:val="x-none" w:eastAsia="x-none"/>
    </w:rPr>
  </w:style>
  <w:style w:type="character" w:styleId="3" w:customStyle="1">
    <w:name w:val="Заголовок 3 Знак"/>
    <w:basedOn w:val="DefaultParagraphFont"/>
    <w:qFormat/>
    <w:rPr>
      <w:rFonts w:ascii="Times New Roman" w:hAnsi="Times New Roman" w:cs="Times New Roman"/>
      <w:b/>
      <w:sz w:val="24"/>
      <w:szCs w:val="24"/>
      <w:lang w:val="x-none" w:eastAsia="x-none"/>
    </w:rPr>
  </w:style>
  <w:style w:type="character" w:styleId="4" w:customStyle="1">
    <w:name w:val="Заголовок 4 Знак"/>
    <w:basedOn w:val="DefaultParagraphFont"/>
    <w:qFormat/>
    <w:rPr>
      <w:rFonts w:ascii="Times New Roman" w:hAnsi="Times New Roman" w:eastAsia="Calibri" w:cs="Times New Roman"/>
      <w:b/>
      <w:bCs/>
      <w:sz w:val="24"/>
      <w:szCs w:val="24"/>
      <w:lang w:val="x-none" w:eastAsia="x-none"/>
    </w:rPr>
  </w:style>
  <w:style w:type="character" w:styleId="Style14" w:customStyle="1">
    <w:name w:val="комментарий"/>
    <w:qFormat/>
    <w:rPr>
      <w:b/>
      <w:i/>
      <w:shd w:fill="FFFF99" w:val="clear"/>
    </w:rPr>
  </w:style>
  <w:style w:type="character" w:styleId="Style15" w:customStyle="1">
    <w:name w:val="Основной текст Знак"/>
    <w:basedOn w:val="DefaultParagraphFont"/>
    <w:qFormat/>
    <w:rPr>
      <w:rFonts w:ascii="Times New Roman" w:hAnsi="Times New Roman" w:eastAsia="Times New Roman" w:cs="Times New Roman"/>
      <w:sz w:val="28"/>
      <w:szCs w:val="20"/>
      <w:lang w:eastAsia="ru-RU"/>
    </w:rPr>
  </w:style>
  <w:style w:type="character" w:styleId="Style16" w:customStyle="1">
    <w:name w:val="Ссылка указателя"/>
    <w:qFormat/>
    <w:rPr/>
  </w:style>
  <w:style w:type="character" w:styleId="Hyperlink">
    <w:name w:val="Hyperlink"/>
    <w:rPr>
      <w:color w:val="000080"/>
      <w:u w:val="single"/>
    </w:rPr>
  </w:style>
  <w:style w:type="paragraph" w:styleId="Style17">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15"/>
    <w:pPr/>
    <w:rPr>
      <w:sz w:val="28"/>
      <w:szCs w:val="20"/>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18">
    <w:name w:val="Указатель"/>
    <w:basedOn w:val="Normal"/>
    <w:qFormat/>
    <w:pPr>
      <w:suppressLineNumbers/>
    </w:pPr>
    <w:rPr>
      <w:rFonts w:cs="Arial Unicode MS"/>
    </w:rPr>
  </w:style>
  <w:style w:type="paragraph" w:styleId="Title">
    <w:name w:val="Title"/>
    <w:basedOn w:val="Normal"/>
    <w:next w:val="BodyText"/>
    <w:qFormat/>
    <w:pPr>
      <w:keepNext w:val="true"/>
      <w:spacing w:before="240" w:after="120"/>
    </w:pPr>
    <w:rPr>
      <w:rFonts w:ascii="Liberation Sans" w:hAnsi="Liberation Sans" w:eastAsia="Arial Unicode MS" w:cs="Arial Unicode MS"/>
      <w:sz w:val="28"/>
      <w:szCs w:val="28"/>
    </w:rPr>
  </w:style>
  <w:style w:type="paragraph" w:styleId="Caption1">
    <w:name w:val="caption1"/>
    <w:basedOn w:val="Normal"/>
    <w:qFormat/>
    <w:pPr>
      <w:suppressLineNumbers/>
      <w:spacing w:before="120" w:after="120"/>
    </w:pPr>
    <w:rPr>
      <w:i/>
      <w:iCs/>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i/>
      <w:iCs/>
    </w:rPr>
  </w:style>
  <w:style w:type="paragraph" w:styleId="Caption111" w:customStyle="1">
    <w:name w:val="caption111"/>
    <w:basedOn w:val="Normal"/>
    <w:qFormat/>
    <w:pPr>
      <w:suppressLineNumbers/>
      <w:spacing w:before="120" w:after="120"/>
    </w:pPr>
    <w:rPr>
      <w:i/>
      <w:iCs/>
    </w:rPr>
  </w:style>
  <w:style w:type="paragraph" w:styleId="Style19" w:customStyle="1">
    <w:name w:val="Колонтитул"/>
    <w:basedOn w:val="Normal"/>
    <w:qFormat/>
    <w:pPr/>
    <w:rPr/>
  </w:style>
  <w:style w:type="paragraph" w:styleId="Footer">
    <w:name w:val="Footer"/>
    <w:basedOn w:val="Normal"/>
    <w:link w:val="Style6"/>
    <w:pPr>
      <w:tabs>
        <w:tab w:val="clear" w:pos="709"/>
        <w:tab w:val="center" w:pos="4677" w:leader="none"/>
        <w:tab w:val="right" w:pos="9355" w:leader="none"/>
      </w:tabs>
    </w:pPr>
    <w:rPr/>
  </w:style>
  <w:style w:type="paragraph" w:styleId="ConsPlusNormal" w:customStyle="1">
    <w:name w:val="ConsPlusNormal"/>
    <w:qFormat/>
    <w:pPr>
      <w:widowControl/>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21" w:customStyle="1">
    <w:name w:val="Стиль2"/>
    <w:basedOn w:val="Normal"/>
    <w:link w:val="2"/>
    <w:qFormat/>
    <w:pPr>
      <w:spacing w:lineRule="auto" w:line="276" w:before="120" w:after="120"/>
      <w:ind w:hanging="709" w:left="709"/>
      <w:jc w:val="both"/>
      <w:outlineLvl w:val="0"/>
    </w:pPr>
    <w:rPr>
      <w:bCs/>
      <w:kern w:val="2"/>
      <w:szCs w:val="32"/>
      <w:lang w:val="x-none" w:eastAsia="en-US"/>
    </w:rPr>
  </w:style>
  <w:style w:type="paragraph" w:styleId="ListParagraph">
    <w:name w:val="List Paragraph"/>
    <w:basedOn w:val="Normal"/>
    <w:link w:val="Style9"/>
    <w:uiPriority w:val="34"/>
    <w:qFormat/>
    <w:pPr>
      <w:spacing w:lineRule="auto" w:line="276" w:before="0" w:after="200"/>
      <w:ind w:hanging="0" w:left="720"/>
      <w:contextualSpacing/>
    </w:pPr>
    <w:rPr>
      <w:rFonts w:ascii="Calibri" w:hAnsi="Calibri" w:eastAsia="Calibri"/>
      <w:sz w:val="22"/>
      <w:szCs w:val="22"/>
      <w:lang w:eastAsia="en-US"/>
    </w:rPr>
  </w:style>
  <w:style w:type="paragraph" w:styleId="FootnoteText">
    <w:name w:val="Footnote Text"/>
    <w:basedOn w:val="Normal"/>
    <w:link w:val="Style7"/>
    <w:pPr/>
    <w:rPr>
      <w:rFonts w:eastAsia="Calibri"/>
      <w:sz w:val="20"/>
      <w:szCs w:val="20"/>
      <w:lang w:val="en-GB"/>
    </w:rPr>
  </w:style>
  <w:style w:type="paragraph" w:styleId="12" w:customStyle="1">
    <w:name w:val="Абзац списка1"/>
    <w:basedOn w:val="Normal"/>
    <w:qFormat/>
    <w:pPr>
      <w:spacing w:lineRule="auto" w:line="276" w:before="0" w:after="200"/>
      <w:ind w:hanging="0" w:left="720"/>
      <w:contextualSpacing/>
    </w:pPr>
    <w:rPr>
      <w:rFonts w:ascii="Calibri" w:hAnsi="Calibri"/>
      <w:sz w:val="22"/>
      <w:szCs w:val="22"/>
      <w:lang w:eastAsia="en-US"/>
    </w:rPr>
  </w:style>
  <w:style w:type="paragraph" w:styleId="Annotationtext">
    <w:name w:val="annotation text"/>
    <w:basedOn w:val="Normal"/>
    <w:link w:val="Style10"/>
    <w:qFormat/>
    <w:pPr/>
    <w:rPr>
      <w:sz w:val="20"/>
      <w:szCs w:val="20"/>
    </w:rPr>
  </w:style>
  <w:style w:type="paragraph" w:styleId="Annotationsubject">
    <w:name w:val="annotation subject"/>
    <w:basedOn w:val="Annotationtext"/>
    <w:next w:val="Annotationtext"/>
    <w:link w:val="Style11"/>
    <w:qFormat/>
    <w:pPr/>
    <w:rPr>
      <w:b/>
      <w:bCs/>
    </w:rPr>
  </w:style>
  <w:style w:type="paragraph" w:styleId="BalloonText">
    <w:name w:val="Balloon Text"/>
    <w:basedOn w:val="Normal"/>
    <w:link w:val="Style12"/>
    <w:qFormat/>
    <w:pPr/>
    <w:rPr>
      <w:rFonts w:ascii="Segoe UI" w:hAnsi="Segoe UI" w:cs="Segoe UI"/>
      <w:sz w:val="18"/>
      <w:szCs w:val="18"/>
    </w:rPr>
  </w:style>
  <w:style w:type="paragraph" w:styleId="31" w:customStyle="1">
    <w:name w:val="Знак Знак3"/>
    <w:basedOn w:val="Normal"/>
    <w:qFormat/>
    <w:pPr>
      <w:spacing w:lineRule="exact" w:line="240" w:before="0" w:after="160"/>
    </w:pPr>
    <w:rPr>
      <w:rFonts w:ascii="Verdana" w:hAnsi="Verdana" w:cs="Verdana"/>
      <w:sz w:val="20"/>
      <w:szCs w:val="20"/>
      <w:lang w:val="en-US" w:eastAsia="en-US"/>
    </w:rPr>
  </w:style>
  <w:style w:type="paragraph" w:styleId="TOC1">
    <w:name w:val="TOC 1"/>
    <w:basedOn w:val="Normal"/>
    <w:next w:val="Normal"/>
    <w:autoRedefine/>
    <w:pPr>
      <w:tabs>
        <w:tab w:val="clear" w:pos="709"/>
        <w:tab w:val="left" w:pos="560" w:leader="none"/>
        <w:tab w:val="right" w:pos="9911" w:leader="dot"/>
      </w:tabs>
      <w:spacing w:before="120" w:after="0"/>
    </w:pPr>
    <w:rPr>
      <w:rFonts w:cs="Calibri"/>
      <w:b/>
      <w:bCs/>
      <w:iCs/>
    </w:rPr>
  </w:style>
  <w:style w:type="paragraph" w:styleId="TOC3">
    <w:name w:val="TOC 3"/>
    <w:basedOn w:val="Normal"/>
    <w:next w:val="Normal"/>
    <w:autoRedefine/>
    <w:pPr>
      <w:tabs>
        <w:tab w:val="clear" w:pos="709"/>
        <w:tab w:val="left" w:pos="1400" w:leader="none"/>
        <w:tab w:val="right" w:pos="9911" w:leader="dot"/>
      </w:tabs>
      <w:ind w:firstLine="291" w:left="560"/>
    </w:pPr>
    <w:rPr>
      <w:rFonts w:cs="Calibri"/>
      <w:sz w:val="20"/>
      <w:szCs w:val="20"/>
    </w:rPr>
  </w:style>
  <w:style w:type="paragraph" w:styleId="TOC4">
    <w:name w:val="TOC 4"/>
    <w:basedOn w:val="Normal"/>
    <w:next w:val="Normal"/>
    <w:autoRedefine/>
    <w:pPr>
      <w:ind w:hanging="0" w:left="840"/>
    </w:pPr>
    <w:rPr>
      <w:rFonts w:cs="Calibri"/>
      <w:sz w:val="20"/>
      <w:szCs w:val="20"/>
    </w:rPr>
  </w:style>
  <w:style w:type="paragraph" w:styleId="Header">
    <w:name w:val="Header"/>
    <w:basedOn w:val="Normal"/>
    <w:link w:val="Style13"/>
    <w:uiPriority w:val="99"/>
    <w:pPr>
      <w:tabs>
        <w:tab w:val="clear" w:pos="709"/>
        <w:tab w:val="center" w:pos="4677" w:leader="none"/>
        <w:tab w:val="right" w:pos="9355" w:leader="none"/>
      </w:tabs>
    </w:pPr>
    <w:rPr/>
  </w:style>
  <w:style w:type="paragraph" w:styleId="Style20" w:customStyle="1">
    <w:name w:val="Содержимое врезки"/>
    <w:basedOn w:val="Normal"/>
    <w:qFormat/>
    <w:pPr/>
    <w:rPr/>
  </w:style>
  <w:style w:type="paragraph" w:styleId="Style21" w:customStyle="1">
    <w:name w:val="Содержимое таблицы"/>
    <w:basedOn w:val="Normal"/>
    <w:qFormat/>
    <w:pPr>
      <w:widowControl w:val="false"/>
      <w:suppressLineNumbers/>
    </w:pPr>
    <w:rPr/>
  </w:style>
  <w:style w:type="paragraph" w:styleId="Style22" w:customStyle="1">
    <w:name w:val="Заголовок таблицы"/>
    <w:basedOn w:val="Style21"/>
    <w:qFormat/>
    <w:pPr>
      <w:jc w:val="center"/>
    </w:pPr>
    <w:rPr>
      <w:b/>
      <w:bCs/>
    </w:rPr>
  </w:style>
  <w:style w:type="paragraph" w:styleId="Style23" w:customStyle="1">
    <w:name w:val="Таблица"/>
    <w:basedOn w:val="Normal"/>
    <w:qFormat/>
    <w:rsid w:val="00be2e51"/>
    <w:pPr>
      <w:keepNext w:val="true"/>
      <w:suppressAutoHyphens w:val="false"/>
      <w:spacing w:before="60" w:after="60"/>
      <w:jc w:val="center"/>
    </w:pPr>
    <w:rPr>
      <w:rFonts w:eastAsia="Calibri"/>
      <w:b/>
      <w:lang w:val="x-none" w:eastAsia="x-none"/>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3">
    <w:name w:val="Table Grid"/>
    <w:basedOn w:val="a1"/>
    <w:uiPriority w:val="39"/>
    <w:rsid w:val="00be2e51"/>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
    <w:name w:val="Сетка таблицы1"/>
    <w:basedOn w:val="a1"/>
    <w:uiPriority w:val="39"/>
    <w:rsid w:val="00794bf8"/>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191222-B06E-44CB-BE48-6D705AB51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449</TotalTime>
  <Application>AlterOffice/2026.2.0.0$Linux_X86_64 LibreOffice_project/bc4ef1adf80b36c7a6365f8ed6cbf29021361edd</Application>
  <AppVersion>15.0000</AppVersion>
  <Pages>21</Pages>
  <Words>4360</Words>
  <Characters>31863</Characters>
  <CharactersWithSpaces>36447</CharactersWithSpaces>
  <Paragraphs>465</Paragraphs>
  <Company>РусГидро</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2023-12-22T10:38:00Z</dcterms:created>
  <dc:creator>lena</dc:creator>
  <dc:description/>
  <dc:language>ru-RU</dc:language>
  <cp:lastModifiedBy>pomazovda@corp.gidroogk.com</cp:lastModifiedBy>
  <cp:lastPrinted>2023-09-13T15:04:00Z</cp:lastPrinted>
  <dcterms:modified xsi:type="dcterms:W3CDTF">2026-09-15T08:43:20Z</dcterms:modified>
  <cp:revision>35</cp:revision>
  <dc:subject/>
  <dc:title/>
</cp:coreProperties>
</file>

<file path=docProps/custom.xml><?xml version="1.0" encoding="utf-8"?>
<Properties xmlns="http://schemas.openxmlformats.org/officeDocument/2006/custom-properties" xmlns:vt="http://schemas.openxmlformats.org/officeDocument/2006/docPropsVTypes"/>
</file>