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>
          <w:b/>
          <w:bCs/>
          <w:sz w:val="24"/>
          <w:szCs w:val="24"/>
        </w:rPr>
        <w:t xml:space="preserve">ТЕХНИЧЕСКИЕ ТРЕБОВАНИЯ </w:t>
      </w:r>
    </w:p>
    <w:p>
      <w:pPr>
        <w:pStyle w:val="Normal"/>
        <w:jc w:val="center"/>
        <w:rPr>
          <w:b/>
          <w:b/>
          <w:bCs/>
          <w:i/>
          <w:i/>
          <w:sz w:val="24"/>
          <w:szCs w:val="24"/>
        </w:rPr>
      </w:pPr>
      <w:r>
        <w:rPr>
          <w:b/>
          <w:bCs/>
          <w:sz w:val="24"/>
          <w:szCs w:val="24"/>
        </w:rPr>
        <w:t>ОКПД2 26.20.40 Поставка расходных материалов и комплектующих для информационных технологий для управления филиала, структурных подразделений "Восточные электрические сети", "Западные электрические сети" филиала "Амурские электрические сети"</w:t>
      </w:r>
    </w:p>
    <w:p>
      <w:pPr>
        <w:pStyle w:val="ListNum"/>
        <w:spacing w:before="0" w:after="0"/>
        <w:ind w:firstLine="709"/>
        <w:jc w:val="center"/>
        <w:rPr>
          <w:sz w:val="24"/>
        </w:rPr>
      </w:pPr>
      <w:r>
        <w:rPr>
          <w:sz w:val="24"/>
        </w:rPr>
      </w:r>
    </w:p>
    <w:p>
      <w:pPr>
        <w:pStyle w:val="ListNum"/>
        <w:numPr>
          <w:ilvl w:val="0"/>
          <w:numId w:val="2"/>
        </w:numPr>
        <w:ind w:left="0" w:hanging="0"/>
        <w:rPr>
          <w:b/>
          <w:b/>
          <w:sz w:val="24"/>
        </w:rPr>
      </w:pPr>
      <w:r>
        <w:rPr>
          <w:b/>
          <w:sz w:val="24"/>
        </w:rPr>
        <w:t>Место поставки продукции</w:t>
      </w:r>
    </w:p>
    <w:p>
      <w:pPr>
        <w:pStyle w:val="13"/>
        <w:numPr>
          <w:ilvl w:val="0"/>
          <w:numId w:val="3"/>
        </w:numPr>
        <w:spacing w:lineRule="auto" w:line="240" w:before="0" w:after="0"/>
        <w:ind w:left="0" w:firstLine="709"/>
        <w:rPr>
          <w:sz w:val="24"/>
          <w:szCs w:val="24"/>
        </w:rPr>
      </w:pPr>
      <w:r>
        <w:rPr>
          <w:bCs/>
          <w:sz w:val="24"/>
          <w:szCs w:val="24"/>
        </w:rPr>
        <w:t>Адрес: 675000, Амурская область, г. Благовещенск, ул. Шевченко 28</w:t>
      </w:r>
      <w:r>
        <w:rPr>
          <w:sz w:val="24"/>
          <w:szCs w:val="24"/>
        </w:rPr>
        <w:t>.</w:t>
      </w:r>
    </w:p>
    <w:p>
      <w:pPr>
        <w:pStyle w:val="13"/>
        <w:numPr>
          <w:ilvl w:val="0"/>
          <w:numId w:val="3"/>
        </w:numPr>
        <w:spacing w:lineRule="auto" w:line="240" w:before="0" w:after="0"/>
        <w:ind w:left="0" w:firstLine="709"/>
        <w:rPr>
          <w:sz w:val="24"/>
          <w:szCs w:val="24"/>
        </w:rPr>
      </w:pPr>
      <w:r>
        <w:rPr>
          <w:sz w:val="24"/>
          <w:szCs w:val="24"/>
        </w:rPr>
        <w:t xml:space="preserve">Грузополучатель: </w:t>
      </w:r>
      <w:r>
        <w:rPr>
          <w:bCs/>
          <w:sz w:val="24"/>
          <w:szCs w:val="24"/>
        </w:rPr>
        <w:t xml:space="preserve">Филиал Акционерного общества «Дальневосточная распределительная сетевая компания» «Амурские электрические сети».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 w:val="false"/>
        <w:numPr>
          <w:ilvl w:val="0"/>
          <w:numId w:val="2"/>
        </w:numPr>
        <w:tabs>
          <w:tab w:val="left" w:pos="426" w:leader="none"/>
        </w:tabs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Требования к закупаемой продукции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(технические и иные характеристики)</w:t>
      </w:r>
    </w:p>
    <w:p>
      <w:pPr>
        <w:pStyle w:val="Normal"/>
        <w:widowControl w:val="false"/>
        <w:tabs>
          <w:tab w:val="left" w:pos="426" w:leader="none"/>
        </w:tabs>
        <w:jc w:val="both"/>
        <w:rPr>
          <w:b/>
          <w:b/>
          <w:sz w:val="24"/>
          <w:szCs w:val="24"/>
        </w:rPr>
      </w:pPr>
      <w:r>
        <w:rPr>
          <w:rFonts w:eastAsia="Calibri"/>
          <w:bCs/>
          <w:sz w:val="24"/>
          <w:szCs w:val="24"/>
          <w:lang w:eastAsia="en-US"/>
        </w:rPr>
        <w:t>2.1 Участник должен представить техническое предложение по форме, предусмотренной Документацией о закупке, в котором будет содержаться информация в объеме не менее, чем указано в таблице № 1 настоящих Технических требований. В техническом предложении Участник должен представить свое предложение по каждому из требований Заказчика, перечисленных в указанных таблице и пунктах. В случае неисполнения данного требования, в соответствии с Документацией о закупке, Участник будет не допущен к дальнейшему участию.</w:t>
      </w:r>
    </w:p>
    <w:p>
      <w:pPr>
        <w:pStyle w:val="Normal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>
      <w:pPr>
        <w:pStyle w:val="Normal"/>
        <w:ind w:firstLine="709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tabs>
          <w:tab w:val="left" w:pos="0" w:leader="none"/>
        </w:tabs>
        <w:jc w:val="right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Таблица № 1</w:t>
      </w:r>
    </w:p>
    <w:p>
      <w:pPr>
        <w:pStyle w:val="Normal"/>
        <w:tabs>
          <w:tab w:val="left" w:pos="0" w:leader="none"/>
        </w:tabs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Спецификация продукции</w:t>
      </w:r>
    </w:p>
    <w:p>
      <w:pPr>
        <w:pStyle w:val="Normal"/>
        <w:spacing w:lineRule="auto" w:line="276" w:before="0" w:after="200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af8"/>
        <w:tblW w:w="10022" w:type="dxa"/>
        <w:jc w:val="left"/>
        <w:tblInd w:w="122" w:type="dxa"/>
        <w:tblCellMar>
          <w:top w:w="0" w:type="dxa"/>
          <w:left w:w="93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31"/>
        <w:gridCol w:w="2599"/>
        <w:gridCol w:w="5918"/>
        <w:gridCol w:w="973"/>
      </w:tblGrid>
      <w:tr>
        <w:trPr/>
        <w:tc>
          <w:tcPr>
            <w:tcW w:w="531" w:type="dxa"/>
            <w:tcBorders/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</w:rPr>
              <w:t>№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2599" w:type="dxa"/>
            <w:tcBorders/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продукции</w:t>
            </w:r>
          </w:p>
        </w:tc>
        <w:tc>
          <w:tcPr>
            <w:tcW w:w="5918" w:type="dxa"/>
            <w:tcBorders/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Техническая характеристика продукции (модель)</w:t>
            </w:r>
          </w:p>
        </w:tc>
        <w:tc>
          <w:tcPr>
            <w:tcW w:w="973" w:type="dxa"/>
            <w:tcBorders/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Кол-во, шт.</w:t>
            </w:r>
          </w:p>
        </w:tc>
      </w:tr>
      <w:tr>
        <w:trPr/>
        <w:tc>
          <w:tcPr>
            <w:tcW w:w="531" w:type="dxa"/>
            <w:tcBorders/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9" w:type="dxa"/>
            <w:tcBorders/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Аккумулятор </w:t>
            </w:r>
            <w:r>
              <w:rPr>
                <w:sz w:val="22"/>
                <w:szCs w:val="22"/>
                <w:lang w:val="en-US"/>
              </w:rPr>
              <w:t>UPS</w:t>
            </w:r>
          </w:p>
        </w:tc>
        <w:tc>
          <w:tcPr>
            <w:tcW w:w="591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или эквивалент с характеристиками не хуже: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Напряжение 12В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Емкость 7 </w:t>
            </w:r>
            <w:r>
              <w:rPr>
                <w:sz w:val="22"/>
                <w:szCs w:val="22"/>
                <w:lang w:val="en-US"/>
              </w:rPr>
              <w:t>Ah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Тип клеммы </w:t>
            </w:r>
            <w:r>
              <w:rPr>
                <w:sz w:val="22"/>
                <w:szCs w:val="22"/>
                <w:lang w:val="en-US"/>
              </w:rPr>
              <w:t>FASTON</w:t>
            </w:r>
            <w:r>
              <w:rPr>
                <w:sz w:val="22"/>
                <w:szCs w:val="22"/>
              </w:rPr>
              <w:t xml:space="preserve"> (зажим) 4.75/6.35 мм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Размеры 150</w:t>
            </w:r>
            <w:r>
              <w:rPr>
                <w:sz w:val="22"/>
                <w:szCs w:val="22"/>
                <w:lang w:val="en-US"/>
              </w:rPr>
              <w:t>x</w:t>
            </w:r>
            <w:r>
              <w:rPr>
                <w:sz w:val="22"/>
                <w:szCs w:val="22"/>
              </w:rPr>
              <w:t>65</w:t>
            </w:r>
            <w:r>
              <w:rPr>
                <w:sz w:val="22"/>
                <w:szCs w:val="22"/>
                <w:lang w:val="en-US"/>
              </w:rPr>
              <w:t>x</w:t>
            </w:r>
            <w:r>
              <w:rPr>
                <w:sz w:val="22"/>
                <w:szCs w:val="22"/>
              </w:rPr>
              <w:t>94</w:t>
            </w:r>
            <w:r>
              <w:rPr>
                <w:sz w:val="22"/>
                <w:szCs w:val="22"/>
                <w:lang w:val="en-US"/>
              </w:rPr>
              <w:t>mm</w:t>
            </w:r>
          </w:p>
        </w:tc>
        <w:tc>
          <w:tcPr>
            <w:tcW w:w="973" w:type="dxa"/>
            <w:tcBorders/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/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9" w:type="dxa"/>
            <w:tcBorders/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Блок питания</w:t>
            </w:r>
          </w:p>
        </w:tc>
        <w:tc>
          <w:tcPr>
            <w:tcW w:w="591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или эквивалент с характеристиками не хуже: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Форм-фактор</w:t>
              <w:tab/>
              <w:t>ATX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Мощность</w:t>
              <w:tab/>
              <w:t>400 Вт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PFC</w:t>
              <w:tab/>
              <w:t>нет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  <w:tab/>
              <w:t>1 вентилятор (120 мм)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разъема для материнской платы</w:t>
              <w:tab/>
              <w:t>20+4 pin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разъемов 4+4 pin CPU</w:t>
              <w:tab/>
              <w:t>1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разъемов 6+2-pin PCI-E</w:t>
              <w:tab/>
              <w:t>2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разъемов 15-pin SATA</w:t>
              <w:tab/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разъемов 4-pin Molex</w:t>
              <w:tab/>
              <w:t>3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Размеры (ВxШxГ)</w:t>
              <w:tab/>
              <w:t>86x150x140 мм</w:t>
            </w:r>
          </w:p>
        </w:tc>
        <w:tc>
          <w:tcPr>
            <w:tcW w:w="973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/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uppressAutoHyphens w:val="tru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2599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Видеокарта</w:t>
            </w:r>
          </w:p>
        </w:tc>
        <w:tc>
          <w:tcPr>
            <w:tcW w:w="591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или эквивалент с характеристиками не хуже: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Комплектация</w:t>
              <w:tab/>
              <w:t>Retail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 видеопамяти</w:t>
              <w:tab/>
              <w:t>2048 МБ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памяти</w:t>
              <w:tab/>
              <w:t>GDDR5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Разъемы и интерфейсы</w:t>
              <w:tab/>
              <w:t>выход DVI, выход HDMI, выход VGA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подключения</w:t>
              <w:tab/>
              <w:t>PCI Express 2.0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разрешение</w:t>
              <w:tab/>
              <w:t>2560x1600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поддерживаемых мониторов</w:t>
              <w:tab/>
              <w:t>2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охлаждения: пассивное</w:t>
            </w:r>
          </w:p>
        </w:tc>
        <w:tc>
          <w:tcPr>
            <w:tcW w:w="973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/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uppressAutoHyphens w:val="tru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2599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Твердотельный накопитель</w:t>
            </w:r>
          </w:p>
        </w:tc>
        <w:tc>
          <w:tcPr>
            <w:tcW w:w="591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или эквивалент с характеристиками не хуже: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Форм-фактор</w:t>
              <w:tab/>
              <w:t>2.5"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Емкость</w:t>
              <w:tab/>
              <w:t xml:space="preserve">1 </w:t>
            </w:r>
            <w:r>
              <w:rPr>
                <w:sz w:val="22"/>
                <w:szCs w:val="22"/>
                <w:lang w:val="en-US" w:eastAsia="en-US"/>
              </w:rPr>
              <w:t>T</w:t>
            </w:r>
            <w:r>
              <w:rPr>
                <w:sz w:val="22"/>
                <w:szCs w:val="22"/>
                <w:lang w:eastAsia="en-US"/>
              </w:rPr>
              <w:t>Б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Скорость чтения/записи не менее 550 МБ/с / 520 МБ/с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Интерфейсы</w:t>
              <w:tab/>
              <w:t>SATA 6Gb/s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Разъем</w:t>
              <w:tab/>
              <w:t>SATA</w:t>
            </w:r>
          </w:p>
        </w:tc>
        <w:tc>
          <w:tcPr>
            <w:tcW w:w="973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/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uppressAutoHyphens w:val="tru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2599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Твердотельный накопитель</w:t>
            </w:r>
          </w:p>
        </w:tc>
        <w:tc>
          <w:tcPr>
            <w:tcW w:w="591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или эквивалент с характеристиками не хуже: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Форм-фактор</w:t>
              <w:tab/>
              <w:t>2.5"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Емкость</w:t>
              <w:tab/>
              <w:t>512 ГБ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Скорость чтения/записи не менее</w:t>
              <w:tab/>
              <w:t>550 МБ/с / 520 МБ/с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Интерфейсы</w:t>
              <w:tab/>
              <w:t>SATA 6Gb/s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Разъем</w:t>
              <w:tab/>
              <w:t>SATA</w:t>
            </w:r>
          </w:p>
        </w:tc>
        <w:tc>
          <w:tcPr>
            <w:tcW w:w="973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/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uppressAutoHyphens w:val="tru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2599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Источник бесперебойного питания</w:t>
            </w:r>
          </w:p>
        </w:tc>
        <w:tc>
          <w:tcPr>
            <w:tcW w:w="591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или эквивалент с характеристиками не хуже: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Выходных разъемов</w:t>
              <w:tab/>
              <w:t>3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Разъемов с питанием от батареи</w:t>
              <w:tab/>
              <w:t>3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Тип выходных разъемов питания</w:t>
              <w:tab/>
              <w:t>CEE 7 (евророзетка)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Входное напряжение</w:t>
              <w:tab/>
              <w:t>1-фазное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Время при половинной нагрузке</w:t>
              <w:tab/>
              <w:t>6 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eastAsia="en-US"/>
              </w:rPr>
              <w:t>Выходная мощность 850 ВА / 425 Вт</w:t>
              <w:tab/>
            </w:r>
          </w:p>
        </w:tc>
        <w:tc>
          <w:tcPr>
            <w:tcW w:w="973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/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uppressAutoHyphens w:val="tru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2599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Сетевая карта</w:t>
            </w:r>
          </w:p>
        </w:tc>
        <w:tc>
          <w:tcPr>
            <w:tcW w:w="591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или эквивалент с характеристиками не хуже: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Интерфейс подключения</w:t>
              <w:tab/>
              <w:t>PCI-E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Скорость передачи данных</w:t>
              <w:tab/>
              <w:t>1 Гбит/c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Общее количество портов</w:t>
              <w:tab/>
              <w:t>1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Функции и особенности</w:t>
              <w:tab/>
              <w:t>Jumbo Frame, Wake-on-LAN, низкопрофильная планка (Low Profile), поддержка 802.1Q VLAN, поддержка 802.1p, поддержка 802.3x Flow Control, полнопрофильная планка (Full-Height)</w:t>
            </w:r>
          </w:p>
        </w:tc>
        <w:tc>
          <w:tcPr>
            <w:tcW w:w="973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/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uppressAutoHyphens w:val="tru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2599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Материнская плата</w:t>
            </w:r>
          </w:p>
        </w:tc>
        <w:tc>
          <w:tcPr>
            <w:tcW w:w="591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b/>
                <w:b/>
                <w:color w:val="FF0000"/>
                <w:sz w:val="22"/>
                <w:szCs w:val="22"/>
              </w:rPr>
            </w:pPr>
            <w:r>
              <w:rPr>
                <w:b/>
                <w:color w:val="00000A"/>
                <w:sz w:val="22"/>
                <w:szCs w:val="22"/>
              </w:rPr>
              <w:t>или эквивалент с характеристиками не хуже: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rPr>
                <w:color w:val="FF0000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Форм-фактор</w:t>
              <w:tab/>
              <w:t>microATX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rPr>
                <w:color w:val="FF0000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Сокет</w:t>
              <w:tab/>
              <w:t>LGA1</w:t>
            </w:r>
            <w:r>
              <w:rPr>
                <w:color w:val="00000A"/>
                <w:sz w:val="22"/>
                <w:szCs w:val="22"/>
                <w:lang w:val="en-US"/>
              </w:rPr>
              <w:t>7</w:t>
            </w:r>
            <w:r>
              <w:rPr>
                <w:color w:val="00000A"/>
                <w:sz w:val="22"/>
                <w:szCs w:val="22"/>
              </w:rPr>
              <w:t>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rPr>
                <w:color w:val="FF0000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Чипсет</w:t>
              <w:tab/>
              <w:t>Intel H</w:t>
            </w:r>
            <w:r>
              <w:rPr>
                <w:color w:val="00000A"/>
                <w:sz w:val="22"/>
                <w:szCs w:val="22"/>
                <w:lang w:val="en-US"/>
              </w:rPr>
              <w:t>61M</w:t>
            </w:r>
            <w:r>
              <w:rPr>
                <w:color w:val="00000A"/>
                <w:sz w:val="22"/>
                <w:szCs w:val="22"/>
              </w:rPr>
              <w:t>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rPr>
                <w:color w:val="FF0000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Тип памяти</w:t>
              <w:tab/>
              <w:t>DDR4 DIMM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rPr>
                <w:color w:val="FF0000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Количество слотов памяти</w:t>
              <w:tab/>
              <w:t>2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rPr>
                <w:color w:val="FF0000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Максимальная частота памяти</w:t>
              <w:tab/>
              <w:t>3200 МГц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rPr>
                <w:color w:val="FF0000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Количество слотов M.2</w:t>
              <w:tab/>
              <w:t>1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rPr>
                <w:color w:val="FF0000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Поддержка PCI Express</w:t>
              <w:tab/>
              <w:t>3.0, 4.0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rPr>
                <w:color w:val="FF0000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Разъемы на задней панели</w:t>
              <w:tab/>
              <w:t>USB 3.2 x 2, HDMI, VGA</w:t>
            </w:r>
          </w:p>
        </w:tc>
        <w:tc>
          <w:tcPr>
            <w:tcW w:w="973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/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9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bookmarkStart w:id="0" w:name="_GoBack"/>
            <w:bookmarkEnd w:id="0"/>
            <w:r>
              <w:rPr>
                <w:sz w:val="22"/>
                <w:szCs w:val="22"/>
              </w:rPr>
              <w:t>Процессор</w:t>
            </w:r>
          </w:p>
        </w:tc>
        <w:tc>
          <w:tcPr>
            <w:tcW w:w="591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b/>
                <w:b/>
                <w:color w:val="FF0000"/>
                <w:sz w:val="22"/>
                <w:szCs w:val="22"/>
              </w:rPr>
            </w:pPr>
            <w:r>
              <w:rPr>
                <w:b/>
                <w:color w:val="00000A"/>
                <w:sz w:val="22"/>
                <w:szCs w:val="22"/>
              </w:rPr>
              <w:t>или эквивалент с характеристиками не хуже: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color w:val="00000A"/>
                <w:sz w:val="22"/>
                <w:szCs w:val="22"/>
                <w:lang w:val="en-US"/>
              </w:rPr>
              <w:t xml:space="preserve">Intel Core i5-12400 BOX </w:t>
            </w:r>
          </w:p>
          <w:tbl>
            <w:tblPr>
              <w:tblW w:w="5699" w:type="dxa"/>
              <w:jc w:val="left"/>
              <w:tblInd w:w="0" w:type="dxa"/>
              <w:tblBorders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noVBand="1" w:noHBand="0" w:lastColumn="0" w:firstColumn="1" w:lastRow="0" w:firstRow="1"/>
            </w:tblPr>
            <w:tblGrid>
              <w:gridCol w:w="2112"/>
              <w:gridCol w:w="3586"/>
            </w:tblGrid>
            <w:tr>
              <w:trPr/>
              <w:tc>
                <w:tcPr>
                  <w:tcW w:w="2112" w:type="dxa"/>
                  <w:tcBorders/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rPr>
                      <w:color w:val="FF0000"/>
                      <w:sz w:val="22"/>
                      <w:szCs w:val="22"/>
                      <w:lang w:val="en-US"/>
                    </w:rPr>
                  </w:pPr>
                  <w:r>
                    <w:rPr>
                      <w:color w:val="00000A"/>
                      <w:sz w:val="22"/>
                      <w:szCs w:val="22"/>
                      <w:lang w:val="en-US"/>
                    </w:rPr>
                    <w:t xml:space="preserve">Сокет </w:t>
                  </w:r>
                </w:p>
              </w:tc>
              <w:tc>
                <w:tcPr>
                  <w:tcW w:w="3586" w:type="dxa"/>
                  <w:tcBorders/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rPr>
                      <w:color w:val="FF0000"/>
                      <w:sz w:val="22"/>
                      <w:szCs w:val="22"/>
                      <w:lang w:val="en-US"/>
                    </w:rPr>
                  </w:pPr>
                  <w:r>
                    <w:rPr>
                      <w:color w:val="00000A"/>
                      <w:sz w:val="22"/>
                      <w:szCs w:val="22"/>
                      <w:lang w:val="en-US"/>
                    </w:rPr>
                    <w:t>LGA 1700</w:t>
                  </w:r>
                </w:p>
              </w:tc>
            </w:tr>
          </w:tbl>
          <w:p>
            <w:pPr>
              <w:pStyle w:val="Normal"/>
              <w:widowControl w:val="false"/>
              <w:jc w:val="both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Процессор</w:t>
            </w:r>
          </w:p>
        </w:tc>
        <w:tc>
          <w:tcPr>
            <w:tcW w:w="5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b/>
                <w:b/>
                <w:color w:val="FF0000"/>
                <w:sz w:val="22"/>
                <w:szCs w:val="22"/>
              </w:rPr>
            </w:pPr>
            <w:r>
              <w:rPr>
                <w:b/>
                <w:color w:val="00000A"/>
                <w:sz w:val="22"/>
                <w:szCs w:val="22"/>
              </w:rPr>
              <w:t>или эквивалент с характеристиками не хуже: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color w:val="00000A"/>
                <w:sz w:val="22"/>
                <w:szCs w:val="22"/>
                <w:lang w:val="en-US"/>
              </w:rPr>
              <w:t xml:space="preserve">Intel Pentium Gold G7400 BOX </w:t>
            </w:r>
          </w:p>
          <w:tbl>
            <w:tblPr>
              <w:tblW w:w="5699" w:type="dxa"/>
              <w:jc w:val="left"/>
              <w:tblInd w:w="0" w:type="dxa"/>
              <w:tblBorders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noVBand="1" w:noHBand="0" w:lastColumn="0" w:firstColumn="1" w:lastRow="0" w:firstRow="1"/>
            </w:tblPr>
            <w:tblGrid>
              <w:gridCol w:w="2574"/>
              <w:gridCol w:w="3124"/>
            </w:tblGrid>
            <w:tr>
              <w:trPr/>
              <w:tc>
                <w:tcPr>
                  <w:tcW w:w="2574" w:type="dxa"/>
                  <w:tcBorders/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rPr>
                      <w:color w:val="FF0000"/>
                      <w:sz w:val="22"/>
                      <w:szCs w:val="22"/>
                      <w:lang w:val="en-US"/>
                    </w:rPr>
                  </w:pPr>
                  <w:r>
                    <w:rPr>
                      <w:color w:val="00000A"/>
                      <w:sz w:val="22"/>
                      <w:szCs w:val="22"/>
                      <w:lang w:val="en-US"/>
                    </w:rPr>
                    <w:t xml:space="preserve">Сокет </w:t>
                  </w:r>
                </w:p>
              </w:tc>
              <w:tc>
                <w:tcPr>
                  <w:tcW w:w="3124" w:type="dxa"/>
                  <w:tcBorders/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rPr>
                      <w:color w:val="FF0000"/>
                      <w:sz w:val="22"/>
                      <w:szCs w:val="22"/>
                      <w:lang w:val="en-US"/>
                    </w:rPr>
                  </w:pPr>
                  <w:r>
                    <w:rPr>
                      <w:color w:val="00000A"/>
                      <w:sz w:val="22"/>
                      <w:szCs w:val="22"/>
                      <w:lang w:val="en-US"/>
                    </w:rPr>
                    <w:t>LGA 1700</w:t>
                  </w:r>
                </w:p>
              </w:tc>
            </w:tr>
          </w:tbl>
          <w:p>
            <w:pPr>
              <w:pStyle w:val="Normal"/>
              <w:widowControl w:val="false"/>
              <w:jc w:val="both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Процессор</w:t>
            </w:r>
          </w:p>
        </w:tc>
        <w:tc>
          <w:tcPr>
            <w:tcW w:w="5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b/>
                <w:b/>
                <w:color w:val="FF0000"/>
                <w:sz w:val="22"/>
                <w:szCs w:val="22"/>
              </w:rPr>
            </w:pPr>
            <w:r>
              <w:rPr>
                <w:b/>
                <w:color w:val="00000A"/>
                <w:sz w:val="22"/>
                <w:szCs w:val="22"/>
              </w:rPr>
              <w:t>или эквивалент с характеристиками не хуже: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color w:val="00000A"/>
                <w:sz w:val="22"/>
                <w:szCs w:val="22"/>
                <w:lang w:val="en-US"/>
              </w:rPr>
              <w:t>Intel Core i3-13100 BOX :</w:t>
            </w:r>
          </w:p>
          <w:tbl>
            <w:tblPr>
              <w:tblW w:w="5699" w:type="dxa"/>
              <w:jc w:val="left"/>
              <w:tblInd w:w="0" w:type="dxa"/>
              <w:tblBorders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noVBand="1" w:noHBand="0" w:lastColumn="0" w:firstColumn="1" w:lastRow="0" w:firstRow="1"/>
            </w:tblPr>
            <w:tblGrid>
              <w:gridCol w:w="2112"/>
              <w:gridCol w:w="3586"/>
            </w:tblGrid>
            <w:tr>
              <w:trPr/>
              <w:tc>
                <w:tcPr>
                  <w:tcW w:w="2112" w:type="dxa"/>
                  <w:tcBorders/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rPr>
                      <w:color w:val="FF0000"/>
                      <w:sz w:val="22"/>
                      <w:szCs w:val="22"/>
                      <w:lang w:val="en-US"/>
                    </w:rPr>
                  </w:pPr>
                  <w:r>
                    <w:rPr>
                      <w:color w:val="00000A"/>
                      <w:sz w:val="22"/>
                      <w:szCs w:val="22"/>
                      <w:lang w:val="en-US"/>
                    </w:rPr>
                    <w:t xml:space="preserve">Сокет </w:t>
                  </w:r>
                </w:p>
              </w:tc>
              <w:tc>
                <w:tcPr>
                  <w:tcW w:w="3586" w:type="dxa"/>
                  <w:tcBorders/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rPr>
                      <w:color w:val="FF0000"/>
                      <w:sz w:val="22"/>
                      <w:szCs w:val="22"/>
                      <w:lang w:val="en-US"/>
                    </w:rPr>
                  </w:pPr>
                  <w:r>
                    <w:rPr>
                      <w:color w:val="00000A"/>
                      <w:sz w:val="22"/>
                      <w:szCs w:val="22"/>
                      <w:lang w:val="en-US"/>
                    </w:rPr>
                    <w:t>LGA 1700</w:t>
                  </w:r>
                </w:p>
              </w:tc>
            </w:tr>
          </w:tbl>
          <w:p>
            <w:pPr>
              <w:pStyle w:val="Normal"/>
              <w:widowControl w:val="false"/>
              <w:jc w:val="both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Оперативная память</w:t>
            </w:r>
          </w:p>
        </w:tc>
        <w:tc>
          <w:tcPr>
            <w:tcW w:w="5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или эквивалент с характеристиками не хуже: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Память DIMM DDR4 16Gb 2666MHz</w:t>
            </w:r>
          </w:p>
        </w:tc>
        <w:tc>
          <w:tcPr>
            <w:tcW w:w="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Оперативная память</w:t>
            </w:r>
          </w:p>
        </w:tc>
        <w:tc>
          <w:tcPr>
            <w:tcW w:w="5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или эквивалент с характеристиками не хуже: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rPr>
                <w:b/>
                <w:b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Память DIMM DDR4 8Gb 2400MHz</w:t>
            </w:r>
          </w:p>
        </w:tc>
        <w:tc>
          <w:tcPr>
            <w:tcW w:w="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Оперативная память</w:t>
            </w:r>
          </w:p>
        </w:tc>
        <w:tc>
          <w:tcPr>
            <w:tcW w:w="5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или эквивалент с характеристиками не хуже: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DIMM DDRIII 4</w:t>
            </w:r>
            <w:r>
              <w:rPr>
                <w:bCs/>
                <w:sz w:val="22"/>
                <w:szCs w:val="22"/>
                <w:lang w:val="en-US" w:eastAsia="en-US"/>
              </w:rPr>
              <w:t>G</w:t>
            </w:r>
            <w:r>
              <w:rPr>
                <w:bCs/>
                <w:sz w:val="22"/>
                <w:szCs w:val="22"/>
                <w:lang w:eastAsia="en-US"/>
              </w:rPr>
              <w:t>b 1600MHz</w:t>
            </w:r>
          </w:p>
        </w:tc>
        <w:tc>
          <w:tcPr>
            <w:tcW w:w="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Мышь</w:t>
            </w:r>
          </w:p>
        </w:tc>
        <w:tc>
          <w:tcPr>
            <w:tcW w:w="5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или эквивалент с характеристиками не хуже: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rPr>
                <w:color w:val="404051"/>
                <w:sz w:val="22"/>
                <w:szCs w:val="22"/>
                <w:lang w:eastAsia="en-US"/>
              </w:rPr>
            </w:pPr>
            <w:r>
              <w:rPr>
                <w:color w:val="404051"/>
                <w:sz w:val="22"/>
                <w:szCs w:val="22"/>
                <w:lang w:eastAsia="en-US"/>
              </w:rPr>
              <w:t>Общее количество кнопок                     3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color w:val="404051"/>
                <w:sz w:val="22"/>
                <w:szCs w:val="22"/>
                <w:lang w:eastAsia="en-US"/>
              </w:rPr>
              <w:t>Колесо прокрутки                                   есть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rPr>
                <w:color w:val="404051"/>
                <w:sz w:val="22"/>
                <w:szCs w:val="22"/>
                <w:lang w:eastAsia="en-US"/>
              </w:rPr>
            </w:pPr>
            <w:r>
              <w:rPr>
                <w:color w:val="404051"/>
                <w:sz w:val="22"/>
                <w:szCs w:val="22"/>
                <w:lang w:eastAsia="en-US"/>
              </w:rPr>
              <w:t>Тип мыши                       светодиодная (оптическая)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rPr>
                <w:color w:val="404051"/>
                <w:sz w:val="22"/>
                <w:szCs w:val="22"/>
                <w:lang w:eastAsia="en-US"/>
              </w:rPr>
            </w:pPr>
            <w:r>
              <w:rPr>
                <w:color w:val="404051"/>
                <w:sz w:val="22"/>
                <w:szCs w:val="22"/>
                <w:lang w:eastAsia="en-US"/>
              </w:rPr>
              <w:t>Максимальное разрешение датчика       800 dpi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rPr>
                <w:color w:val="404051"/>
                <w:sz w:val="22"/>
                <w:szCs w:val="22"/>
                <w:lang w:eastAsia="en-US"/>
              </w:rPr>
            </w:pPr>
            <w:r>
              <w:rPr>
                <w:color w:val="404051"/>
                <w:sz w:val="22"/>
                <w:szCs w:val="22"/>
                <w:lang w:eastAsia="en-US"/>
              </w:rPr>
              <w:t>Тип подключения                                     проводная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rPr>
                <w:b/>
                <w:b/>
                <w:sz w:val="22"/>
                <w:szCs w:val="22"/>
              </w:rPr>
            </w:pPr>
            <w:r>
              <w:rPr>
                <w:color w:val="404051"/>
                <w:sz w:val="22"/>
                <w:szCs w:val="22"/>
                <w:lang w:eastAsia="en-US"/>
              </w:rPr>
              <w:t>Интерфейс подключения                        USB</w:t>
            </w:r>
          </w:p>
        </w:tc>
        <w:tc>
          <w:tcPr>
            <w:tcW w:w="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Клавиатура</w:t>
            </w:r>
          </w:p>
        </w:tc>
        <w:tc>
          <w:tcPr>
            <w:tcW w:w="5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или эквивалент с характеристиками не хуже:</w:t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76" w:before="0" w:after="0"/>
              <w:rPr>
                <w:color w:val="3C3C3C"/>
                <w:sz w:val="22"/>
                <w:szCs w:val="22"/>
                <w:lang w:eastAsia="en-US"/>
              </w:rPr>
            </w:pPr>
            <w:r>
              <w:rPr>
                <w:color w:val="3C3C3C"/>
                <w:sz w:val="22"/>
                <w:szCs w:val="22"/>
                <w:lang w:eastAsia="en-US"/>
              </w:rPr>
              <w:t>Тип клавиатуры (набора): проводная клавиатура</w:t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76" w:before="0" w:after="0"/>
              <w:rPr>
                <w:color w:val="3C3C3C"/>
                <w:sz w:val="22"/>
                <w:szCs w:val="22"/>
                <w:lang w:eastAsia="en-US"/>
              </w:rPr>
            </w:pPr>
            <w:r>
              <w:rPr>
                <w:color w:val="3C3C3C"/>
                <w:sz w:val="22"/>
                <w:szCs w:val="22"/>
                <w:lang w:eastAsia="en-US"/>
              </w:rPr>
              <w:t>Цвет: черный</w:t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76" w:before="0" w:after="0"/>
              <w:rPr>
                <w:color w:val="3C3C3C"/>
                <w:sz w:val="22"/>
                <w:szCs w:val="22"/>
                <w:lang w:eastAsia="en-US"/>
              </w:rPr>
            </w:pPr>
            <w:r>
              <w:rPr>
                <w:color w:val="3C3C3C"/>
                <w:sz w:val="22"/>
                <w:szCs w:val="22"/>
                <w:lang w:eastAsia="en-US"/>
              </w:rPr>
              <w:t>Интерфейс: USB</w:t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76" w:before="0" w:after="0"/>
              <w:rPr>
                <w:color w:val="3C3C3C"/>
                <w:sz w:val="22"/>
                <w:szCs w:val="22"/>
                <w:lang w:eastAsia="en-US"/>
              </w:rPr>
            </w:pPr>
            <w:r>
              <w:rPr>
                <w:color w:val="3C3C3C"/>
                <w:sz w:val="22"/>
                <w:szCs w:val="22"/>
                <w:lang w:eastAsia="en-US"/>
              </w:rPr>
              <w:t>Количество клавиш клавиатуры: 104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rPr>
                <w:b/>
                <w:b/>
                <w:sz w:val="22"/>
                <w:szCs w:val="22"/>
              </w:rPr>
            </w:pPr>
            <w:r>
              <w:rPr>
                <w:color w:val="3C3C3C"/>
                <w:sz w:val="22"/>
                <w:szCs w:val="22"/>
                <w:lang w:eastAsia="en-US"/>
              </w:rPr>
              <w:t>Описание клавиш клавиатуры: классическая</w:t>
            </w:r>
          </w:p>
        </w:tc>
        <w:tc>
          <w:tcPr>
            <w:tcW w:w="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Кабель сетевой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или эквивалент с характеристиками не хуже: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rPr>
                <w:sz w:val="22"/>
                <w:szCs w:val="22"/>
                <w:lang w:eastAsia="en-US"/>
              </w:rPr>
            </w:pPr>
            <w:r>
              <w:rPr>
                <w:bCs/>
                <w:color w:val="3C3C3C"/>
                <w:sz w:val="22"/>
                <w:szCs w:val="22"/>
                <w:lang w:eastAsia="en-US"/>
              </w:rPr>
              <w:t xml:space="preserve"> </w:t>
            </w:r>
            <w:r>
              <w:rPr>
                <w:bCs/>
                <w:color w:val="3C3C3C"/>
                <w:sz w:val="22"/>
                <w:szCs w:val="22"/>
                <w:lang w:eastAsia="en-US"/>
              </w:rPr>
              <w:t>UTP 5e, 4пары, медь, одножильный 0,50 (24 AWG) оболочка PVC, (-20C - +75C) 305м (BL-UTP04-5e,СU PVC)</w:t>
            </w:r>
          </w:p>
        </w:tc>
        <w:tc>
          <w:tcPr>
            <w:tcW w:w="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Вилка </w:t>
            </w:r>
            <w:r>
              <w:rPr>
                <w:sz w:val="22"/>
                <w:szCs w:val="22"/>
                <w:lang w:val="en-US"/>
              </w:rPr>
              <w:t>RJ45</w:t>
            </w:r>
          </w:p>
        </w:tc>
        <w:tc>
          <w:tcPr>
            <w:tcW w:w="5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или эквивалент с характеристиками не хуже: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color w:val="3C3C3C"/>
                <w:sz w:val="22"/>
                <w:szCs w:val="22"/>
                <w:lang w:eastAsia="en-US"/>
              </w:rPr>
              <w:t>Вилка RJ45 кат.5e PLUG3UP6/5 универсальная кат.5e, контакты 6 микродюймов</w:t>
            </w:r>
          </w:p>
        </w:tc>
        <w:tc>
          <w:tcPr>
            <w:tcW w:w="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>
        <w:trPr/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Диск </w:t>
            </w:r>
            <w:r>
              <w:rPr>
                <w:sz w:val="22"/>
                <w:szCs w:val="22"/>
                <w:lang w:val="en-US"/>
              </w:rPr>
              <w:t>CD-R</w:t>
            </w:r>
          </w:p>
        </w:tc>
        <w:tc>
          <w:tcPr>
            <w:tcW w:w="5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или эквивалент с характеристиками не хуже: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color w:val="3C3C3C"/>
                <w:sz w:val="22"/>
                <w:szCs w:val="22"/>
                <w:lang w:eastAsia="en-US"/>
              </w:rPr>
              <w:t>Диск CD-R 700Mb 48x в бумажном конверте с окном</w:t>
            </w:r>
          </w:p>
        </w:tc>
        <w:tc>
          <w:tcPr>
            <w:tcW w:w="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>
        <w:trPr/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Бункер отработанного тонера</w:t>
            </w:r>
          </w:p>
        </w:tc>
        <w:tc>
          <w:tcPr>
            <w:tcW w:w="5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Kyocera </w:t>
            </w:r>
            <w:r>
              <w:rPr>
                <w:b/>
                <w:sz w:val="22"/>
                <w:szCs w:val="22"/>
                <w:lang w:val="en-US" w:eastAsia="en-US"/>
              </w:rPr>
              <w:t>WT</w:t>
            </w:r>
            <w:r>
              <w:rPr>
                <w:b/>
                <w:sz w:val="22"/>
                <w:szCs w:val="22"/>
                <w:lang w:eastAsia="en-US"/>
              </w:rPr>
              <w:t xml:space="preserve">-860 оригинал.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en-US"/>
              </w:rPr>
              <w:t>Без эквивалента, должен быть совместим с действующим оборудованием Kyocera TASKalfa 3501i.</w:t>
            </w:r>
          </w:p>
        </w:tc>
        <w:tc>
          <w:tcPr>
            <w:tcW w:w="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Сервисный комплект</w:t>
            </w:r>
          </w:p>
        </w:tc>
        <w:tc>
          <w:tcPr>
            <w:tcW w:w="5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Kyocera МК-1140 оригинал.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Без эквивалента, должен быть совместим с действующим оборудованием Kyocera </w:t>
            </w:r>
            <w:r>
              <w:rPr>
                <w:rFonts w:ascii="Cambria" w:hAnsi="Cambria"/>
                <w:b/>
                <w:sz w:val="22"/>
                <w:szCs w:val="22"/>
                <w:lang w:eastAsia="en-US"/>
              </w:rPr>
              <w:t>ECOSYS M2035dn</w:t>
            </w:r>
            <w:r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Сервисный комплект</w:t>
            </w:r>
          </w:p>
        </w:tc>
        <w:tc>
          <w:tcPr>
            <w:tcW w:w="5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Kyocera МК-1150 оригинал.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Без эквивалента, должен быть совместим с действующим оборудованием Kyocera </w:t>
            </w:r>
            <w:r>
              <w:rPr>
                <w:rFonts w:ascii="Cambria" w:hAnsi="Cambria"/>
                <w:b/>
                <w:sz w:val="22"/>
                <w:szCs w:val="22"/>
                <w:lang w:eastAsia="en-US"/>
              </w:rPr>
              <w:t>ECOSYS M2040dn</w:t>
            </w:r>
            <w:r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Сервисный комплект</w:t>
            </w:r>
          </w:p>
        </w:tc>
        <w:tc>
          <w:tcPr>
            <w:tcW w:w="5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Kyocera МК-3100 оригинал.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Без эквивалента, должен быть совместим с действующим оборудованием Kyocera </w:t>
            </w:r>
            <w:r>
              <w:rPr>
                <w:rFonts w:ascii="Cambria" w:hAnsi="Cambria"/>
                <w:b/>
                <w:sz w:val="22"/>
                <w:szCs w:val="22"/>
                <w:lang w:eastAsia="en-US"/>
              </w:rPr>
              <w:t>ECOSYS M3040dn</w:t>
            </w:r>
            <w:r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Сервисный комплект</w:t>
            </w:r>
          </w:p>
        </w:tc>
        <w:tc>
          <w:tcPr>
            <w:tcW w:w="5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Kyocera МК-130 оригинал.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Без эквивалента, должен быть совместим с действующим оборудованием Kyocera </w:t>
            </w:r>
            <w:r>
              <w:rPr>
                <w:b/>
                <w:sz w:val="22"/>
                <w:szCs w:val="22"/>
                <w:lang w:val="en-US" w:eastAsia="en-US"/>
              </w:rPr>
              <w:t>FS</w:t>
            </w:r>
            <w:r>
              <w:rPr>
                <w:b/>
                <w:sz w:val="22"/>
                <w:szCs w:val="22"/>
                <w:lang w:eastAsia="en-US"/>
              </w:rPr>
              <w:t>-1028</w:t>
            </w:r>
            <w:r>
              <w:rPr>
                <w:b/>
                <w:sz w:val="22"/>
                <w:szCs w:val="22"/>
                <w:lang w:val="en-US" w:eastAsia="en-US"/>
              </w:rPr>
              <w:t>MFP</w:t>
            </w:r>
            <w:r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3"/>
        <w:spacing w:lineRule="auto" w:line="240" w:before="0" w:after="0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13"/>
        <w:spacing w:lineRule="auto" w:line="240" w:before="0" w:after="0"/>
        <w:rPr>
          <w:sz w:val="24"/>
          <w:szCs w:val="24"/>
        </w:rPr>
      </w:pPr>
      <w:r>
        <w:rPr>
          <w:b/>
          <w:sz w:val="24"/>
          <w:szCs w:val="24"/>
        </w:rPr>
        <w:t xml:space="preserve">2.2. </w:t>
      </w:r>
      <w:r>
        <w:rPr>
          <w:b/>
          <w:bCs/>
          <w:sz w:val="24"/>
          <w:szCs w:val="24"/>
        </w:rPr>
        <w:t>Условия поставки эквивалентной продукции.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2.2.1 Допускаются эквиваленты при условии соответствия технических характеристик и качества заявляемой продукции. Участник должен принять во внимание, что ссылка на ТУ, марку (тип) продукции, носит описательный, а не обязательный характер. В случае если Участником предлагаются эквиваленты требуемой Заказчику продукции, или ее составных частей в составе своего предложения он должен в обязательном порядке предоставить подробное техническое описание предлагаемого к поставке эквивалента.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2.2.2 Эквивалентная продукция - это продукция, которая по техническим и функциональным характеристикам не уступает характеристикам, заявленным в документации о закупке, в том числе по гарантийным срокам и срокам эксплуатации. </w:t>
      </w:r>
      <w:r>
        <w:rPr>
          <w:color w:val="000000"/>
          <w:spacing w:val="-1"/>
          <w:sz w:val="24"/>
          <w:szCs w:val="24"/>
        </w:rPr>
        <w:t xml:space="preserve">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2.2.3 </w:t>
      </w:r>
      <w:r>
        <w:rPr>
          <w:color w:val="000000"/>
          <w:spacing w:val="-1"/>
          <w:sz w:val="24"/>
          <w:szCs w:val="24"/>
        </w:rPr>
        <w:t>Для оценки возможности использования предлагаемого эквивалентного оборудования, предложение Участника должно содержать полную (подробную) техническую информацию в объеме данных, указанных в таблицы 1 технических требованиях.</w:t>
      </w:r>
    </w:p>
    <w:p>
      <w:pPr>
        <w:pStyle w:val="Normal"/>
        <w:jc w:val="both"/>
        <w:rPr>
          <w:color w:val="000000"/>
          <w:spacing w:val="-1"/>
          <w:sz w:val="24"/>
          <w:szCs w:val="24"/>
          <w:lang w:eastAsia="zh-CN"/>
        </w:rPr>
      </w:pPr>
      <w:r>
        <w:rPr>
          <w:color w:val="000000"/>
          <w:spacing w:val="-1"/>
          <w:sz w:val="24"/>
          <w:szCs w:val="24"/>
        </w:rPr>
        <w:t>2.2.4 Параметры эквивалентности приведены в таблице 1 технических требований.</w:t>
      </w:r>
    </w:p>
    <w:p>
      <w:pPr>
        <w:pStyle w:val="Style24"/>
        <w:tabs>
          <w:tab w:val="left" w:pos="1134" w:leader="none"/>
          <w:tab w:val="left" w:pos="1985" w:leader="none"/>
        </w:tabs>
        <w:spacing w:lineRule="auto" w:line="240"/>
        <w:ind w:left="0" w:hanging="0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Style24"/>
        <w:tabs>
          <w:tab w:val="left" w:pos="1134" w:leader="none"/>
          <w:tab w:val="left" w:pos="1985" w:leader="none"/>
        </w:tabs>
        <w:spacing w:lineRule="auto" w:line="240"/>
        <w:ind w:left="0" w:hanging="0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3. Требования к оформлению документов заявки Участника.</w:t>
      </w:r>
    </w:p>
    <w:p>
      <w:pPr>
        <w:pStyle w:val="Style24"/>
        <w:tabs>
          <w:tab w:val="left" w:pos="1134" w:leader="none"/>
          <w:tab w:val="left" w:pos="1985" w:leader="none"/>
        </w:tabs>
        <w:spacing w:lineRule="auto" w:line="240"/>
        <w:ind w:left="0" w:hanging="0"/>
        <w:rPr>
          <w:sz w:val="24"/>
          <w:szCs w:val="24"/>
        </w:rPr>
      </w:pPr>
      <w:r>
        <w:rPr>
          <w:sz w:val="24"/>
          <w:szCs w:val="24"/>
        </w:rPr>
        <w:t>Участник должен представить Коммерческое предложение по форме, приведенной в Документации о закупке, с обязательным указанием Производителя продукции.</w:t>
      </w:r>
    </w:p>
    <w:p>
      <w:pPr>
        <w:pStyle w:val="Style24"/>
        <w:tabs>
          <w:tab w:val="left" w:pos="1134" w:leader="none"/>
          <w:tab w:val="left" w:pos="1985" w:leader="none"/>
        </w:tabs>
        <w:spacing w:lineRule="auto" w:line="240"/>
        <w:ind w:left="0" w:hanging="0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Style24"/>
        <w:tabs>
          <w:tab w:val="left" w:pos="1134" w:leader="none"/>
          <w:tab w:val="left" w:pos="1985" w:leader="none"/>
        </w:tabs>
        <w:spacing w:lineRule="auto" w:line="240"/>
        <w:ind w:left="0" w:hanging="0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4. Общие условия.</w:t>
      </w:r>
    </w:p>
    <w:p>
      <w:pPr>
        <w:pStyle w:val="Style24"/>
        <w:tabs>
          <w:tab w:val="left" w:pos="709" w:leader="none"/>
          <w:tab w:val="left" w:pos="1985" w:leader="none"/>
        </w:tabs>
        <w:spacing w:lineRule="auto" w:line="240"/>
        <w:ind w:left="0" w:hanging="0"/>
        <w:rPr>
          <w:sz w:val="24"/>
          <w:szCs w:val="24"/>
        </w:rPr>
      </w:pPr>
      <w:r>
        <w:rPr>
          <w:sz w:val="24"/>
          <w:szCs w:val="24"/>
        </w:rPr>
        <w:t>Все цены в предложении должны включать все налоги, транспортные расходы и другие обязательные платежи, стоимость всех сопутствующих работ (услуг), а также все скидки, предлагаемые участником.</w:t>
      </w:r>
    </w:p>
    <w:p>
      <w:pPr>
        <w:pStyle w:val="ListNum"/>
        <w:tabs>
          <w:tab w:val="left" w:pos="284" w:leader="none"/>
          <w:tab w:val="left" w:pos="708" w:leader="none"/>
          <w:tab w:val="left" w:pos="1008" w:leader="none"/>
        </w:tabs>
        <w:spacing w:before="0" w:after="0"/>
        <w:rPr>
          <w:b/>
          <w:b/>
          <w:sz w:val="24"/>
        </w:rPr>
      </w:pPr>
      <w:r>
        <w:rPr>
          <w:b/>
          <w:sz w:val="24"/>
        </w:rPr>
      </w:r>
    </w:p>
    <w:p>
      <w:pPr>
        <w:pStyle w:val="ListNum"/>
        <w:spacing w:before="0" w:after="0"/>
        <w:ind w:left="360" w:hanging="360"/>
        <w:rPr>
          <w:sz w:val="24"/>
        </w:rPr>
      </w:pPr>
      <w:r>
        <w:rPr>
          <w:b/>
          <w:sz w:val="24"/>
        </w:rPr>
        <w:t>5. Сроки поставки Товара:</w:t>
      </w:r>
      <w:r>
        <w:rPr>
          <w:sz w:val="24"/>
        </w:rPr>
        <w:t xml:space="preserve"> </w:t>
      </w:r>
    </w:p>
    <w:p>
      <w:pPr>
        <w:pStyle w:val="Normal"/>
        <w:jc w:val="both"/>
        <w:rPr/>
      </w:pPr>
      <w:r>
        <w:rPr>
          <w:sz w:val="24"/>
          <w:szCs w:val="24"/>
        </w:rPr>
        <w:t xml:space="preserve">Сроки (периоды) поставки товара </w:t>
      </w:r>
      <w:r>
        <w:rPr>
          <w:sz w:val="24"/>
          <w:szCs w:val="24"/>
        </w:rPr>
        <w:t>с 11.01.2027 по 31.12.2027</w:t>
      </w:r>
    </w:p>
    <w:p>
      <w:pPr>
        <w:pStyle w:val="13"/>
        <w:spacing w:lineRule="auto" w:line="240" w:before="0" w:after="0"/>
        <w:rPr/>
      </w:pPr>
      <w:r>
        <w:rPr/>
      </w:r>
    </w:p>
    <w:p>
      <w:pPr>
        <w:pStyle w:val="13"/>
        <w:spacing w:lineRule="auto" w:line="240" w:before="0" w:after="0"/>
        <w:rPr/>
      </w:pPr>
      <w:r>
        <w:rPr/>
      </w:r>
    </w:p>
    <w:p>
      <w:pPr>
        <w:pStyle w:val="13"/>
        <w:tabs>
          <w:tab w:val="left" w:pos="7838" w:leader="none"/>
        </w:tabs>
        <w:spacing w:lineRule="auto" w:line="240" w:before="0" w:after="0"/>
        <w:rPr>
          <w:b/>
          <w:b/>
          <w:bCs/>
          <w:i/>
          <w:i/>
          <w:iCs/>
        </w:rPr>
      </w:pPr>
      <w:r>
        <w:rPr/>
      </w:r>
    </w:p>
    <w:sectPr>
      <w:type w:val="nextPage"/>
      <w:pgSz w:w="11906" w:h="16838"/>
      <w:pgMar w:left="1134" w:right="567" w:header="0" w:top="1134" w:footer="0" w:bottom="1134" w:gutter="0"/>
      <w:pgNumType w:fmt="decimal"/>
      <w:formProt w:val="false"/>
      <w:textDirection w:val="lrTb"/>
      <w:docGrid w:type="default" w:linePitch="360" w:charSpace="20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  <w:rPr>
        <w:sz w:val="24"/>
        <w:b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  <w:sz w:val="24"/>
        <w:szCs w:val="22"/>
        <w:rFonts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21b2a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sz w:val="20"/>
      <w:szCs w:val="20"/>
      <w:lang w:val="ru-RU" w:eastAsia="ru-RU" w:bidi="ar-SA"/>
    </w:rPr>
  </w:style>
  <w:style w:type="paragraph" w:styleId="1">
    <w:name w:val="Heading 1"/>
    <w:basedOn w:val="Normal"/>
    <w:link w:val="10"/>
    <w:qFormat/>
    <w:rsid w:val="00321b2a"/>
    <w:pPr>
      <w:keepNext w:val="true"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2">
    <w:name w:val="Heading 2"/>
    <w:basedOn w:val="Normal"/>
    <w:link w:val="20"/>
    <w:uiPriority w:val="9"/>
    <w:semiHidden/>
    <w:unhideWhenUsed/>
    <w:qFormat/>
    <w:rsid w:val="00b473b3"/>
    <w:pPr>
      <w:keepNext w:val="true"/>
      <w:keepLines/>
      <w:spacing w:before="200" w:after="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3">
    <w:name w:val="Heading 3"/>
    <w:basedOn w:val="Normal"/>
    <w:link w:val="30"/>
    <w:uiPriority w:val="9"/>
    <w:semiHidden/>
    <w:unhideWhenUsed/>
    <w:qFormat/>
    <w:rsid w:val="00f22cc4"/>
    <w:pPr>
      <w:keepNext w:val="true"/>
      <w:keepLines/>
      <w:spacing w:before="40" w:after="0"/>
      <w:outlineLvl w:val="2"/>
    </w:pPr>
    <w:rPr>
      <w:rFonts w:ascii="Cambria" w:hAnsi="Cambria" w:eastAsia="" w:cs="" w:asciiTheme="majorHAnsi" w:cstheme="majorBidi" w:eastAsiaTheme="majorEastAsia" w:hAnsiTheme="majorHAnsi"/>
      <w:color w:val="243F60" w:themeColor="accent1" w:themeShade="7f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qFormat/>
    <w:rsid w:val="00321b2a"/>
    <w:rPr>
      <w:rFonts w:ascii="Cambria" w:hAnsi="Cambria" w:eastAsia="Times New Roman" w:cs="Times New Roman"/>
      <w:b/>
      <w:bCs/>
      <w:sz w:val="32"/>
      <w:szCs w:val="32"/>
      <w:lang w:eastAsia="ru-RU"/>
    </w:rPr>
  </w:style>
  <w:style w:type="character" w:styleId="Bl1" w:customStyle="1">
    <w:name w:val="bl1"/>
    <w:basedOn w:val="DefaultParagraphFont"/>
    <w:qFormat/>
    <w:rsid w:val="007e20c5"/>
    <w:rPr>
      <w:color w:val="4288B8"/>
    </w:rPr>
  </w:style>
  <w:style w:type="character" w:styleId="Style11" w:customStyle="1">
    <w:name w:val="Текст выноски Знак"/>
    <w:basedOn w:val="DefaultParagraphFont"/>
    <w:uiPriority w:val="99"/>
    <w:semiHidden/>
    <w:qFormat/>
    <w:rsid w:val="007e20c5"/>
    <w:rPr>
      <w:rFonts w:ascii="Tahoma" w:hAnsi="Tahoma" w:eastAsia="Times New Roman" w:cs="Tahoma"/>
      <w:sz w:val="16"/>
      <w:szCs w:val="16"/>
      <w:lang w:eastAsia="ru-RU"/>
    </w:rPr>
  </w:style>
  <w:style w:type="character" w:styleId="Haspopover4" w:customStyle="1">
    <w:name w:val="haspopover4"/>
    <w:basedOn w:val="DefaultParagraphFont"/>
    <w:qFormat/>
    <w:rsid w:val="00b868eb"/>
    <w:rPr/>
  </w:style>
  <w:style w:type="character" w:styleId="Strong">
    <w:name w:val="Strong"/>
    <w:basedOn w:val="DefaultParagraphFont"/>
    <w:uiPriority w:val="22"/>
    <w:qFormat/>
    <w:rsid w:val="0041440a"/>
    <w:rPr>
      <w:b/>
      <w:bCs/>
    </w:rPr>
  </w:style>
  <w:style w:type="character" w:styleId="Style12" w:customStyle="1">
    <w:name w:val="Интернет-ссылка"/>
    <w:basedOn w:val="DefaultParagraphFont"/>
    <w:uiPriority w:val="99"/>
    <w:semiHidden/>
    <w:unhideWhenUsed/>
    <w:rsid w:val="0057056e"/>
    <w:rPr>
      <w:color w:val="1C81B7"/>
      <w:u w:val="single"/>
    </w:rPr>
  </w:style>
  <w:style w:type="character" w:styleId="Delimiter1" w:customStyle="1">
    <w:name w:val="delimiter1"/>
    <w:basedOn w:val="DefaultParagraphFont"/>
    <w:qFormat/>
    <w:rsid w:val="0057056e"/>
    <w:rPr/>
  </w:style>
  <w:style w:type="character" w:styleId="Style13" w:customStyle="1">
    <w:name w:val="Абзац списка Знак"/>
    <w:uiPriority w:val="34"/>
    <w:qFormat/>
    <w:locked/>
    <w:rsid w:val="0069050f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4" w:customStyle="1">
    <w:name w:val="Основной текст Знак"/>
    <w:basedOn w:val="DefaultParagraphFont"/>
    <w:qFormat/>
    <w:rsid w:val="00426223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21" w:customStyle="1">
    <w:name w:val="Заголовок 2 Знак"/>
    <w:basedOn w:val="DefaultParagraphFont"/>
    <w:link w:val="2"/>
    <w:uiPriority w:val="9"/>
    <w:semiHidden/>
    <w:qFormat/>
    <w:rsid w:val="00b473b3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  <w:lang w:eastAsia="ru-RU"/>
    </w:rPr>
  </w:style>
  <w:style w:type="character" w:styleId="Nproductspecnameinner" w:customStyle="1">
    <w:name w:val="n-product-spec__name-inner"/>
    <w:basedOn w:val="DefaultParagraphFont"/>
    <w:qFormat/>
    <w:rsid w:val="00b473b3"/>
    <w:rPr/>
  </w:style>
  <w:style w:type="character" w:styleId="Nproductspecvalueinner" w:customStyle="1">
    <w:name w:val="n-product-spec__value-inner"/>
    <w:basedOn w:val="DefaultParagraphFont"/>
    <w:qFormat/>
    <w:rsid w:val="00b473b3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225ac1"/>
    <w:rPr>
      <w:sz w:val="16"/>
      <w:szCs w:val="16"/>
    </w:rPr>
  </w:style>
  <w:style w:type="character" w:styleId="Style15" w:customStyle="1">
    <w:name w:val="Текст примечания Знак"/>
    <w:basedOn w:val="DefaultParagraphFont"/>
    <w:uiPriority w:val="99"/>
    <w:semiHidden/>
    <w:qFormat/>
    <w:rsid w:val="00225ac1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6" w:customStyle="1">
    <w:name w:val="Тема примечания Знак"/>
    <w:basedOn w:val="Style15"/>
    <w:uiPriority w:val="99"/>
    <w:semiHidden/>
    <w:qFormat/>
    <w:rsid w:val="00225ac1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Style17" w:customStyle="1">
    <w:name w:val="Текст Знак"/>
    <w:basedOn w:val="DefaultParagraphFont"/>
    <w:uiPriority w:val="99"/>
    <w:semiHidden/>
    <w:qFormat/>
    <w:rsid w:val="00977908"/>
    <w:rPr>
      <w:rFonts w:ascii="Calibri" w:hAnsi="Calibri"/>
      <w:szCs w:val="21"/>
    </w:rPr>
  </w:style>
  <w:style w:type="character" w:styleId="12" w:customStyle="1">
    <w:name w:val="Пункт Знак1"/>
    <w:link w:val="ab"/>
    <w:qFormat/>
    <w:locked/>
    <w:rsid w:val="009618c5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31" w:customStyle="1">
    <w:name w:val="Заголовок 3 Знак"/>
    <w:basedOn w:val="DefaultParagraphFont"/>
    <w:link w:val="3"/>
    <w:uiPriority w:val="9"/>
    <w:semiHidden/>
    <w:qFormat/>
    <w:rsid w:val="00f22cc4"/>
    <w:rPr>
      <w:rFonts w:ascii="Cambria" w:hAnsi="Cambria" w:eastAsia="" w:cs="" w:asciiTheme="majorHAnsi" w:cstheme="majorBidi" w:eastAsiaTheme="majorEastAsia" w:hAnsiTheme="majorHAnsi"/>
      <w:color w:val="243F60" w:themeColor="accent1" w:themeShade="7f"/>
      <w:sz w:val="24"/>
      <w:szCs w:val="24"/>
      <w:lang w:eastAsia="ru-RU"/>
    </w:rPr>
  </w:style>
  <w:style w:type="character" w:styleId="ListLabel1">
    <w:name w:val="ListLabel 1"/>
    <w:qFormat/>
    <w:rPr>
      <w:b/>
      <w:sz w:val="24"/>
      <w:szCs w:val="24"/>
    </w:rPr>
  </w:style>
  <w:style w:type="character" w:styleId="ListLabel2">
    <w:name w:val="ListLabel 2"/>
    <w:qFormat/>
    <w:rPr>
      <w:rFonts w:cs="Symbol"/>
      <w:sz w:val="24"/>
      <w:szCs w:val="22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19">
    <w:name w:val="Body Text"/>
    <w:basedOn w:val="Normal"/>
    <w:rsid w:val="00426223"/>
    <w:pPr>
      <w:spacing w:before="0" w:after="120"/>
    </w:pPr>
    <w:rPr/>
  </w:style>
  <w:style w:type="paragraph" w:styleId="Style20">
    <w:name w:val="List"/>
    <w:basedOn w:val="Style19"/>
    <w:pPr/>
    <w:rPr>
      <w:rFonts w:cs="Lohit Devanagari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Lohit Devanagari"/>
    </w:rPr>
  </w:style>
  <w:style w:type="paragraph" w:styleId="Style23">
    <w:name w:val="Title"/>
    <w:basedOn w:val="Normal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rsid w:val="000237ae"/>
    <w:pPr>
      <w:spacing w:before="0" w:after="0"/>
      <w:ind w:left="720" w:hanging="0"/>
      <w:contextualSpacing/>
    </w:pPr>
    <w:rPr/>
  </w:style>
  <w:style w:type="paragraph" w:styleId="NormalWeb">
    <w:name w:val="Normal (Web)"/>
    <w:basedOn w:val="Normal"/>
    <w:uiPriority w:val="99"/>
    <w:unhideWhenUsed/>
    <w:qFormat/>
    <w:rsid w:val="000237ae"/>
    <w:pPr>
      <w:spacing w:lineRule="atLeast" w:line="240" w:beforeAutospacing="1" w:afterAutospacing="1"/>
      <w:jc w:val="both"/>
    </w:pPr>
    <w:rPr>
      <w:sz w:val="24"/>
      <w:szCs w:val="24"/>
    </w:rPr>
  </w:style>
  <w:style w:type="paragraph" w:styleId="BalloonText">
    <w:name w:val="Balloon Text"/>
    <w:basedOn w:val="Normal"/>
    <w:uiPriority w:val="99"/>
    <w:semiHidden/>
    <w:unhideWhenUsed/>
    <w:qFormat/>
    <w:rsid w:val="007e20c5"/>
    <w:pPr/>
    <w:rPr>
      <w:rFonts w:ascii="Tahoma" w:hAnsi="Tahoma" w:cs="Tahoma"/>
      <w:sz w:val="16"/>
      <w:szCs w:val="16"/>
    </w:rPr>
  </w:style>
  <w:style w:type="paragraph" w:styleId="ListNumber">
    <w:name w:val="List Number"/>
    <w:basedOn w:val="Style19"/>
    <w:unhideWhenUsed/>
    <w:qFormat/>
    <w:rsid w:val="00b201d6"/>
    <w:pPr>
      <w:spacing w:lineRule="auto" w:line="360" w:before="60" w:after="0"/>
      <w:jc w:val="both"/>
    </w:pPr>
    <w:rPr>
      <w:sz w:val="28"/>
    </w:rPr>
  </w:style>
  <w:style w:type="paragraph" w:styleId="Annotationtext">
    <w:name w:val="annotation text"/>
    <w:basedOn w:val="Normal"/>
    <w:uiPriority w:val="99"/>
    <w:semiHidden/>
    <w:unhideWhenUsed/>
    <w:qFormat/>
    <w:rsid w:val="00225ac1"/>
    <w:pPr/>
    <w:rPr/>
  </w:style>
  <w:style w:type="paragraph" w:styleId="Annotationsubject">
    <w:name w:val="annotation subject"/>
    <w:basedOn w:val="Annotationtext"/>
    <w:uiPriority w:val="99"/>
    <w:semiHidden/>
    <w:unhideWhenUsed/>
    <w:qFormat/>
    <w:rsid w:val="00225ac1"/>
    <w:pPr/>
    <w:rPr>
      <w:b/>
      <w:bCs/>
    </w:rPr>
  </w:style>
  <w:style w:type="paragraph" w:styleId="PlainText">
    <w:name w:val="Plain Text"/>
    <w:basedOn w:val="Normal"/>
    <w:uiPriority w:val="99"/>
    <w:semiHidden/>
    <w:unhideWhenUsed/>
    <w:qFormat/>
    <w:rsid w:val="00977908"/>
    <w:pPr/>
    <w:rPr>
      <w:rFonts w:ascii="Calibri" w:hAnsi="Calibri" w:eastAsia="Calibri" w:cs="" w:cstheme="minorBidi" w:eastAsiaTheme="minorHAnsi"/>
      <w:sz w:val="22"/>
      <w:szCs w:val="21"/>
      <w:lang w:eastAsia="en-US"/>
    </w:rPr>
  </w:style>
  <w:style w:type="paragraph" w:styleId="13" w:customStyle="1">
    <w:name w:val="Нумерованный список1"/>
    <w:basedOn w:val="Style19"/>
    <w:qFormat/>
    <w:rsid w:val="009618c5"/>
    <w:pPr>
      <w:spacing w:lineRule="auto" w:line="360" w:before="60" w:after="0"/>
      <w:jc w:val="both"/>
    </w:pPr>
    <w:rPr>
      <w:sz w:val="28"/>
      <w:lang w:eastAsia="zh-CN"/>
    </w:rPr>
  </w:style>
  <w:style w:type="paragraph" w:styleId="ListNum" w:customStyle="1">
    <w:name w:val="ListNum"/>
    <w:basedOn w:val="Normal"/>
    <w:qFormat/>
    <w:rsid w:val="009618c5"/>
    <w:pPr>
      <w:tabs>
        <w:tab w:val="left" w:pos="284" w:leader="none"/>
        <w:tab w:val="left" w:pos="1008" w:leader="none"/>
      </w:tabs>
      <w:suppressAutoHyphens w:val="true"/>
      <w:spacing w:before="60" w:after="0"/>
      <w:jc w:val="both"/>
    </w:pPr>
    <w:rPr>
      <w:sz w:val="22"/>
      <w:szCs w:val="24"/>
      <w:lang w:eastAsia="zh-CN"/>
    </w:rPr>
  </w:style>
  <w:style w:type="paragraph" w:styleId="Style24" w:customStyle="1">
    <w:name w:val="Пункт"/>
    <w:basedOn w:val="Style19"/>
    <w:link w:val="11"/>
    <w:qFormat/>
    <w:rsid w:val="009618c5"/>
    <w:pPr>
      <w:tabs>
        <w:tab w:val="left" w:pos="1985" w:leader="none"/>
      </w:tabs>
      <w:spacing w:lineRule="auto" w:line="360" w:before="0" w:after="0"/>
      <w:ind w:left="1985" w:hanging="851"/>
      <w:jc w:val="both"/>
    </w:pPr>
    <w:rPr>
      <w:sz w:val="2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uiPriority w:val="59"/>
    <w:rsid w:val="0053377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Application>LibreOffice/5.3.6.1$Linux_X86_64 LibreOffice_project/30$Build-1</Application>
  <Pages>4</Pages>
  <Words>954</Words>
  <Characters>6051</Characters>
  <CharactersWithSpaces>6958</CharactersWithSpaces>
  <Paragraphs>204</Paragraphs>
  <Company>ALGsoft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2024-10-25T01:34:00Z</dcterms:created>
  <dc:creator>manager0302</dc:creator>
  <dc:description/>
  <dc:language>ru-RU</dc:language>
  <cp:lastModifiedBy/>
  <cp:lastPrinted>2024-11-05T14:23:57Z</cp:lastPrinted>
  <dcterms:modified xsi:type="dcterms:W3CDTF">2026-09-16T15:20:05Z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ALGsoft</vt:lpwstr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