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2565" w:leader="none"/>
        </w:tabs>
        <w:spacing w:lineRule="auto" w:line="240" w:before="0" w:after="0"/>
        <w:jc w:val="right"/>
        <w:rPr>
          <w:sz w:val="24"/>
          <w:szCs w:val="24"/>
        </w:rPr>
      </w:pPr>
      <w:r>
        <w:rPr/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9856287"/>
      <w:bookmarkStart w:id="1" w:name="_Toc141696704"/>
      <w:bookmarkStart w:id="2" w:name="_Toc137554584"/>
      <w:bookmarkStart w:id="3" w:name="_Toc139856287"/>
      <w:bookmarkStart w:id="4" w:name="_Toc141696704"/>
      <w:bookmarkStart w:id="5" w:name="_Toc137554584"/>
      <w:bookmarkEnd w:id="3"/>
      <w:bookmarkEnd w:id="4"/>
      <w:bookmarkEnd w:id="5"/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/>
        <w:tabs>
          <w:tab w:val="clear" w:pos="708"/>
          <w:tab w:val="left" w:pos="7230" w:leader="none"/>
        </w:tabs>
        <w:suppressAutoHyphens w:val="true"/>
        <w:bidi w:val="0"/>
        <w:spacing w:before="0" w:after="0"/>
        <w:ind w:firstLine="57" w:left="-57" w:right="-113"/>
        <w:jc w:val="center"/>
        <w:rPr/>
      </w:pPr>
      <w:r>
        <w:rPr>
          <w:rFonts w:eastAsia="Calibri" w:cs="Times New Roman"/>
          <w:b/>
          <w:color w:val="auto"/>
          <w:kern w:val="0"/>
          <w:sz w:val="28"/>
          <w:szCs w:val="28"/>
          <w:lang w:val="ru-RU" w:eastAsia="ru-RU" w:bidi="ar-SA"/>
        </w:rPr>
        <w:t xml:space="preserve">«ОКПД2: 38.12.12.000 Оказание услуг по приемке, транспортированию, обработке и утилизации </w:t>
      </w:r>
      <w:r>
        <w:rPr>
          <w:rFonts w:eastAsia="Calibri" w:cs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м</w:t>
      </w:r>
      <w:r>
        <w:rPr>
          <w:rFonts w:eastAsia="Calibri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ru-RU" w:eastAsia="ru-RU" w:bidi="ar-SA"/>
        </w:rPr>
        <w:t>усора от сноса и</w:t>
      </w:r>
      <w:r>
        <w:rPr>
          <w:rFonts w:eastAsia="Calibri" w:cs="Times New Roman"/>
          <w:b/>
          <w:bCs/>
          <w:caps w:val="false"/>
          <w:smallCaps w:val="false"/>
          <w:color w:val="auto"/>
          <w:spacing w:val="0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Calibri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lang w:val="ru-RU" w:eastAsia="ru-RU" w:bidi="ar-SA"/>
        </w:rPr>
        <w:t>разборки зданий несортированного</w:t>
      </w:r>
      <w:r>
        <w:rPr>
          <w:rFonts w:eastAsia="Calibri" w:cs="Times New Roman"/>
          <w:b/>
          <w:color w:val="auto"/>
          <w:kern w:val="0"/>
          <w:sz w:val="28"/>
          <w:szCs w:val="28"/>
          <w:lang w:val="ru-RU" w:eastAsia="ru-RU" w:bidi="ar-SA"/>
        </w:rPr>
        <w:t>, образуемого в ходе восстановления Загорской ГАЭС-2»</w:t>
      </w:r>
    </w:p>
    <w:p>
      <w:pPr>
        <w:pStyle w:val="Normal"/>
        <w:widowControl/>
        <w:tabs>
          <w:tab w:val="clear" w:pos="708"/>
          <w:tab w:val="left" w:pos="7230" w:leader="none"/>
        </w:tabs>
        <w:suppressAutoHyphens w:val="true"/>
        <w:bidi w:val="0"/>
        <w:spacing w:before="0" w:after="0"/>
        <w:ind w:firstLine="57" w:left="-57" w:right="-113"/>
        <w:jc w:val="both"/>
        <w:rPr>
          <w:rFonts w:ascii="Times New Roman" w:hAnsi="Times New Roman" w:eastAsia="Calibri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widowControl/>
        <w:tabs>
          <w:tab w:val="clear" w:pos="708"/>
          <w:tab w:val="left" w:pos="7230" w:leader="none"/>
        </w:tabs>
        <w:suppressAutoHyphens w:val="true"/>
        <w:bidi w:val="0"/>
        <w:spacing w:before="0" w:after="0"/>
        <w:ind w:firstLine="57" w:left="-57" w:right="-113"/>
        <w:jc w:val="center"/>
        <w:rPr>
          <w:rFonts w:ascii="Times New Roman" w:hAnsi="Times New Roman" w:eastAsia="Calibri" w:cs="Times New Roman"/>
          <w:b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Calibri" w:cs="Times New Roman"/>
          <w:b/>
          <w:color w:val="auto"/>
          <w:kern w:val="0"/>
          <w:sz w:val="28"/>
          <w:szCs w:val="28"/>
          <w:lang w:val="ru-RU" w:eastAsia="ru-RU" w:bidi="ar-SA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6" w:name="_Toc139856287_Копия_1"/>
      <w:bookmarkStart w:id="7" w:name="_Toc137554584_Копия_1"/>
      <w:bookmarkStart w:id="8" w:name="_Toc141696704_Копия_1"/>
      <w:bookmarkStart w:id="9" w:name="_Toc139856287_Копия_1"/>
      <w:bookmarkStart w:id="10" w:name="_Toc137554584_Копия_1"/>
      <w:bookmarkStart w:id="11" w:name="_Toc141696704_Копия_1"/>
      <w:bookmarkEnd w:id="9"/>
      <w:bookmarkEnd w:id="10"/>
      <w:bookmarkEnd w:id="11"/>
    </w:p>
    <w:p>
      <w:pPr>
        <w:pStyle w:val="Normal"/>
        <w:keepNext w:val="true"/>
        <w:keepLines/>
        <w:jc w:val="center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keepNext w:val="true"/>
        <w:keepLines/>
        <w:pageBreakBefore w:val="false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b/>
          <w:shd w:fill="auto" w:val="clear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shd w:fill="auto" w:val="clear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shd w:fill="auto" w:val="clear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  <w:shd w:fill="auto" w:val="clear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hd w:fill="auto" w:val="clear"/>
              </w:rPr>
              <w:tab/>
            </w:r>
            <w:r>
              <w:rPr>
                <w:rStyle w:val="Style14"/>
                <w:shd w:fill="auto" w:val="clear"/>
              </w:rPr>
              <w:t>Общие сведения</w:t>
            </w:r>
            <w:r>
              <w:rPr>
                <w:rStyle w:val="Style14"/>
                <w:vanish w:val="false"/>
                <w:shd w:fill="auto" w:val="clear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vanish w:val="false"/>
                <w:shd w:fill="auto" w:val="clear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5">
            <w:r>
              <w:rPr>
                <w:webHidden/>
                <w:rStyle w:val="Style14"/>
                <w:iCs/>
                <w:vanish w:val="false"/>
                <w:sz w:val="22"/>
                <w:szCs w:val="22"/>
                <w:shd w:fill="auto" w:val="clear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sz w:val="22"/>
                <w:szCs w:val="22"/>
                <w:shd w:fill="auto" w:val="clear"/>
              </w:rPr>
              <w:t>Обозначения и сокращения …………………………………………………………………………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2"/>
                <w:szCs w:val="22"/>
                <w:shd w:fill="auto" w:val="clear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6">
            <w:r>
              <w:rPr>
                <w:webHidden/>
                <w:rStyle w:val="Style14"/>
                <w:iCs/>
                <w:vanish w:val="false"/>
                <w:sz w:val="22"/>
                <w:szCs w:val="22"/>
                <w:shd w:fill="auto" w:val="clear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sz w:val="22"/>
                <w:szCs w:val="22"/>
                <w:shd w:fill="auto" w:val="clear"/>
              </w:rPr>
              <w:t>Наименование закупаемой продукции……………………………………………………………..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2"/>
                <w:szCs w:val="22"/>
                <w:shd w:fill="auto" w:val="clear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697">
            <w:r>
              <w:rPr>
                <w:webHidden/>
                <w:rStyle w:val="Style14"/>
                <w:iCs/>
                <w:vanish w:val="false"/>
                <w:sz w:val="22"/>
                <w:szCs w:val="22"/>
                <w:shd w:fill="auto" w:val="clear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sz w:val="22"/>
                <w:szCs w:val="22"/>
                <w:shd w:fill="auto" w:val="clear"/>
              </w:rPr>
              <w:t xml:space="preserve">Цель оказания услуг </w:t>
            </w:r>
          </w:hyperlink>
          <w:r>
            <w:rPr>
              <w:sz w:val="22"/>
              <w:szCs w:val="22"/>
              <w:shd w:fill="auto" w:val="clear"/>
            </w:rPr>
            <w:t>…………………………………………………………………………………</w:t>
          </w:r>
          <w:hyperlink w:anchor="_Toc54643698">
            <w:r>
              <w:rPr>
                <w:webHidden/>
                <w:rStyle w:val="Style14"/>
                <w:vanish w:val="false"/>
                <w:sz w:val="22"/>
                <w:szCs w:val="22"/>
                <w:shd w:fill="auto" w:val="clear"/>
              </w:rPr>
              <w:tab/>
            </w:r>
          </w:hyperlink>
          <w:r>
            <w:rPr>
              <w:vanish w:val="false"/>
              <w:sz w:val="22"/>
              <w:szCs w:val="22"/>
              <w:shd w:fill="auto" w:val="clear"/>
            </w:rPr>
            <w:t>4</w:t>
          </w:r>
        </w:p>
        <w:p>
          <w:pPr>
            <w:pStyle w:val="Normal"/>
            <w:widowControl/>
            <w:suppressAutoHyphens w:val="true"/>
            <w:bidi w:val="0"/>
            <w:spacing w:before="0" w:after="0"/>
            <w:ind w:firstLine="567" w:left="0" w:right="0"/>
            <w:jc w:val="left"/>
            <w:rPr/>
          </w:pPr>
          <w:r>
            <w:rPr>
              <w:vanish w:val="false"/>
              <w:sz w:val="22"/>
              <w:szCs w:val="22"/>
              <w:shd w:fill="auto" w:val="clear"/>
            </w:rPr>
            <w:t>1.4. Существующее положение ………………….……………………………………………….……...4</w:t>
          </w:r>
        </w:p>
        <w:p>
          <w:pPr>
            <w:pStyle w:val="Normal"/>
            <w:widowControl/>
            <w:suppressAutoHyphens w:val="true"/>
            <w:bidi w:val="0"/>
            <w:spacing w:before="0" w:after="0"/>
            <w:ind w:firstLine="567" w:left="0" w:right="-57"/>
            <w:jc w:val="left"/>
            <w:rPr/>
          </w:pPr>
          <w:r>
            <w:rPr>
              <w:vanish w:val="false"/>
              <w:sz w:val="22"/>
              <w:szCs w:val="22"/>
              <w:shd w:fill="auto" w:val="clear"/>
            </w:rPr>
            <w:t xml:space="preserve">1.5. </w:t>
          </w:r>
          <w:r>
            <w:rPr>
              <w:vanish w:val="false"/>
              <w:sz w:val="24"/>
              <w:szCs w:val="24"/>
              <w:shd w:fill="auto" w:val="clear"/>
            </w:rPr>
            <w:t>Иные требования и сведения общего характера ………………………………………….4</w:t>
          </w:r>
        </w:p>
        <w:p>
          <w:pPr>
            <w:pStyle w:val="Normal"/>
            <w:rPr>
              <w:vanish w:val="false"/>
              <w:sz w:val="22"/>
              <w:szCs w:val="22"/>
              <w:shd w:fill="auto" w:val="clear"/>
            </w:rPr>
          </w:pPr>
          <w:r>
            <w:rPr>
              <w:vanish w:val="false"/>
              <w:sz w:val="22"/>
              <w:szCs w:val="22"/>
              <w:shd w:fill="auto" w:val="clear"/>
            </w:rPr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  <w:shd w:fill="auto" w:val="clear"/>
              </w:rPr>
              <w:t>Таблица 1. Перечень объектов заказчика</w:t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02">
            <w:r>
              <w:rPr>
                <w:webHidden/>
                <w:rStyle w:val="Style14"/>
                <w:vanish w:val="false"/>
                <w:shd w:fill="auto" w:val="clear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hd w:fill="auto" w:val="clear"/>
              </w:rPr>
              <w:tab/>
            </w:r>
            <w:r>
              <w:rPr>
                <w:rStyle w:val="Style14"/>
                <w:iCs/>
                <w:shd w:fill="auto" w:val="clear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hd w:fill="auto" w:val="clear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/>
          </w:pPr>
          <w:hyperlink w:anchor="_Toc54643703">
            <w:r>
              <w:rPr>
                <w:webHidden/>
                <w:rStyle w:val="Style14"/>
                <w:iCs/>
                <w:vanish w:val="false"/>
                <w:sz w:val="22"/>
                <w:szCs w:val="22"/>
                <w:shd w:fill="auto" w:val="clear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  <w:shd w:fill="auto" w:val="clear"/>
              </w:rPr>
              <w:tab/>
            </w:r>
            <w:r>
              <w:rPr>
                <w:rStyle w:val="Style14"/>
                <w:sz w:val="22"/>
                <w:szCs w:val="22"/>
                <w:shd w:fill="auto" w:val="clear"/>
              </w:rPr>
              <w:t>Требования к объемам и срокам оказания услуг …………………………………………………..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  <w:sz w:val="22"/>
                <w:szCs w:val="22"/>
                <w:shd w:fill="auto" w:val="clear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rPr>
              <w:sz w:val="22"/>
              <w:szCs w:val="22"/>
            </w:rPr>
          </w:pPr>
          <w:r>
            <w:rPr>
              <w:sz w:val="22"/>
              <w:szCs w:val="22"/>
            </w:rPr>
            <w:t>2.1.1.</w:t>
            <w:tab/>
            <w:t>Требования к перечню и объему услуг</w:t>
            <w:tab/>
            <w:t>4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5">
            <w:r>
              <w:rPr>
                <w:webHidden/>
                <w:rStyle w:val="Style14"/>
                <w:vanish w:val="false"/>
                <w:shd w:fill="auto" w:val="clear"/>
              </w:rPr>
              <w:t>Таблица 2. Перечень и объем оказываемых услуг</w:t>
              <w:tab/>
            </w:r>
          </w:hyperlink>
          <w:r>
            <w:rPr>
              <w:vanish w:val="false"/>
              <w:shd w:fill="auto" w:val="clear"/>
            </w:rPr>
            <w:t>4</w:t>
          </w:r>
        </w:p>
        <w:p>
          <w:pPr>
            <w:pStyle w:val="TOC3"/>
            <w:rPr/>
          </w:pPr>
          <w:hyperlink w:anchor="_Toc54643706">
            <w:r>
              <w:rPr>
                <w:webHidden/>
                <w:rStyle w:val="Style14"/>
                <w:vanish w:val="false"/>
                <w:shd w:fill="auto" w:val="clear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hd w:fill="auto" w:val="clear"/>
              </w:rPr>
              <w:t>Требования к срокам оказания услуг</w:t>
            </w:r>
            <w:r>
              <w:rPr>
                <w:rStyle w:val="Style14"/>
                <w:vanish w:val="false"/>
                <w:shd w:fill="auto" w:val="clear"/>
              </w:rPr>
              <w:tab/>
            </w:r>
          </w:hyperlink>
          <w:r>
            <w:rPr>
              <w:vanish w:val="false"/>
              <w:shd w:fill="auto" w:val="clear"/>
            </w:rPr>
            <w:t>5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7">
            <w:r>
              <w:rPr>
                <w:webHidden/>
                <w:rStyle w:val="Style14"/>
                <w:vanish w:val="false"/>
                <w:shd w:fill="auto" w:val="clear"/>
              </w:rPr>
              <w:t>Таблица 3. Требования к срокам оказания услуг</w:t>
              <w:tab/>
            </w:r>
          </w:hyperlink>
          <w:r>
            <w:rPr>
              <w:vanish w:val="false"/>
              <w:shd w:fill="auto" w:val="clear"/>
            </w:rPr>
            <w:t>5</w:t>
          </w:r>
        </w:p>
        <w:p>
          <w:pPr>
            <w:pStyle w:val="TOC4"/>
            <w:rPr/>
          </w:pPr>
          <w:hyperlink w:anchor="_Toc54643708">
            <w:r>
              <w:rPr>
                <w:webHidden/>
                <w:rStyle w:val="Style14"/>
                <w:iCs/>
                <w:vanish w:val="false"/>
                <w:shd w:fill="auto" w:val="clear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  <w:shd w:fill="auto" w:val="clear"/>
              </w:rPr>
              <w:tab/>
            </w:r>
            <w:r>
              <w:rPr>
                <w:rStyle w:val="Style14"/>
                <w:shd w:fill="auto" w:val="clear"/>
              </w:rPr>
              <w:t>Требования к качеству услуг ………………………………………………………………………..</w:t>
            </w:r>
            <w:r>
              <w:rPr>
                <w:rStyle w:val="Style14"/>
                <w:vanish w:val="false"/>
                <w:shd w:fill="auto" w:val="clear"/>
              </w:rPr>
              <w:tab/>
            </w:r>
          </w:hyperlink>
          <w:r>
            <w:rPr>
              <w:vanish w:val="false"/>
              <w:shd w:fill="auto" w:val="clear"/>
            </w:rPr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709">
            <w:r>
              <w:rPr>
                <w:webHidden/>
                <w:rStyle w:val="Style14"/>
                <w:vanish w:val="false"/>
                <w:shd w:fill="auto" w:val="clear"/>
              </w:rPr>
              <w:t>Таблица 4. Требования к качеству услуг</w:t>
              <w:tab/>
            </w:r>
          </w:hyperlink>
          <w:r>
            <w:rPr>
              <w:vanish w:val="false"/>
              <w:shd w:fill="auto" w:val="clear"/>
            </w:rPr>
            <w:t>6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10">
            <w:r>
              <w:rPr>
                <w:webHidden/>
                <w:rStyle w:val="Style14"/>
                <w:vanish w:val="false"/>
                <w:shd w:fill="auto" w:val="clear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hd w:fill="auto" w:val="clear"/>
              </w:rPr>
              <w:tab/>
            </w:r>
            <w:r>
              <w:rPr>
                <w:rStyle w:val="Style14"/>
                <w:shd w:fill="auto" w:val="clear"/>
              </w:rPr>
              <w:t>Требования к документации по ценообразованию на этапе закупки</w:t>
            </w:r>
            <w:r>
              <w:rPr>
                <w:rStyle w:val="Style14"/>
                <w:vanish w:val="false"/>
                <w:shd w:fill="auto" w:val="clear"/>
              </w:rPr>
              <w:tab/>
            </w:r>
          </w:hyperlink>
          <w:r>
            <w:rPr>
              <w:vanish w:val="false"/>
              <w:shd w:fill="auto" w:val="clear"/>
            </w:rPr>
            <w:t>8</w:t>
          </w:r>
          <w:r>
            <w:rPr>
              <w:shd w:fill="auto" w:val="clear"/>
              <w:vanish w:val="false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vanish w:val="false"/>
          <w:shd w:fill="auto" w:val="clear"/>
        </w:rPr>
      </w:pPr>
      <w:r>
        <w:rPr>
          <w:vanish w:val="false"/>
          <w:shd w:fill="auto" w:val="clear"/>
        </w:rPr>
      </w:r>
    </w:p>
    <w:p>
      <w:pPr>
        <w:pStyle w:val="Heading2"/>
        <w:numPr>
          <w:ilvl w:val="0"/>
          <w:numId w:val="0"/>
        </w:numPr>
        <w:ind w:hanging="0" w:left="0" w:right="0"/>
        <w:rPr>
          <w:b w:val="false"/>
          <w:i/>
          <w:i/>
          <w:highlight w:val="none"/>
          <w:shd w:fill="auto" w:val="clear"/>
        </w:rPr>
      </w:pPr>
      <w:r>
        <w:rPr>
          <w:b w:val="false"/>
          <w:i/>
          <w:shd w:fill="auto" w:val="clear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  <w:highlight w:val="none"/>
          <w:shd w:fill="auto" w:val="clear"/>
        </w:rPr>
      </w:pPr>
      <w:r>
        <w:rPr>
          <w:rFonts w:eastAsia="Calibri"/>
          <w:b/>
          <w:i/>
          <w:sz w:val="24"/>
          <w:szCs w:val="24"/>
          <w:shd w:fill="auto" w:val="clear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caps/>
          <w:lang w:val="ru-RU"/>
        </w:rPr>
      </w:pPr>
      <w:bookmarkStart w:id="12" w:name="_Toc54643694"/>
      <w:r>
        <w:rPr>
          <w:lang w:val="ru-RU"/>
        </w:rPr>
        <w:t>Общие сведения</w:t>
      </w:r>
      <w:bookmarkEnd w:id="12"/>
    </w:p>
    <w:p>
      <w:pPr>
        <w:pStyle w:val="Heading4"/>
        <w:numPr>
          <w:ilvl w:val="1"/>
          <w:numId w:val="3"/>
        </w:numPr>
        <w:ind w:hanging="360" w:left="1080" w:right="0"/>
        <w:rPr/>
      </w:pPr>
      <w:bookmarkStart w:id="13" w:name="_Toc46743505"/>
      <w:bookmarkStart w:id="14" w:name="_Toc54643695"/>
      <w:r>
        <w:rPr/>
        <w:t>Обозначения и сокращения</w:t>
      </w:r>
      <w:bookmarkEnd w:id="13"/>
      <w:bookmarkEnd w:id="14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 w:val="false"/>
                <w:bCs/>
                <w:i w:val="false"/>
                <w:i w:val="false"/>
                <w:sz w:val="24"/>
                <w:szCs w:val="24"/>
                <w:highlight w:val="none"/>
                <w:shd w:fill="auto" w:val="clear"/>
              </w:rPr>
            </w:pPr>
            <w:r>
              <w:rPr>
                <w:b w:val="false"/>
                <w:bCs/>
                <w:i w:val="false"/>
                <w:sz w:val="24"/>
                <w:szCs w:val="24"/>
                <w:shd w:fill="auto" w:val="clear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z w:val="24"/>
                <w:szCs w:val="24"/>
                <w:shd w:fill="auto" w:val="clear"/>
                <w:lang w:eastAsia="ru-RU"/>
              </w:rPr>
              <w:t xml:space="preserve">РНИС МО 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/>
            </w:pPr>
            <w:r>
              <w:rPr>
                <w:rStyle w:val="Style8"/>
                <w:rFonts w:eastAsia="Times New Roman" w:cs="Times New Roman"/>
                <w:b w:val="false"/>
                <w:i w:val="false"/>
                <w:sz w:val="24"/>
                <w:szCs w:val="24"/>
                <w:shd w:fill="auto" w:val="clear"/>
                <w:lang w:eastAsia="ru-RU"/>
              </w:rPr>
              <w:t>Региональная навигационно-информационная система Московской области</w:t>
            </w:r>
          </w:p>
        </w:tc>
      </w:tr>
      <w:tr>
        <w:trPr>
          <w:trHeight w:val="486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Универсальный передаточный документ</w:t>
            </w:r>
          </w:p>
        </w:tc>
      </w:tr>
      <w:tr>
        <w:trPr>
          <w:trHeight w:val="569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ФККО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 классификационный каталог отходов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lineRule="auto" w:line="240" w:before="120" w:after="60"/>
        <w:ind w:hanging="0" w:left="0" w:right="0"/>
        <w:jc w:val="left"/>
        <w:rPr/>
      </w:pPr>
      <w:r>
        <w:rPr/>
        <w:t xml:space="preserve">1.2. </w:t>
      </w:r>
      <w:bookmarkStart w:id="15" w:name="_Toc46743506"/>
      <w:bookmarkStart w:id="16" w:name="_Toc54643696"/>
      <w:r>
        <w:rPr/>
        <w:t>Наименование закупаемой продукции</w:t>
      </w:r>
      <w:bookmarkEnd w:id="15"/>
      <w:bookmarkEnd w:id="16"/>
    </w:p>
    <w:p>
      <w:pPr>
        <w:pStyle w:val="Normal"/>
        <w:widowControl/>
        <w:tabs>
          <w:tab w:val="clear" w:pos="708"/>
          <w:tab w:val="left" w:pos="7230" w:leader="none"/>
        </w:tabs>
        <w:suppressAutoHyphens w:val="true"/>
        <w:bidi w:val="0"/>
        <w:spacing w:before="0" w:after="0"/>
        <w:ind w:firstLine="57" w:left="-57" w:right="-113"/>
        <w:jc w:val="left"/>
        <w:rPr>
          <w:b w:val="false"/>
          <w:bCs w:val="false"/>
          <w:sz w:val="24"/>
          <w:szCs w:val="24"/>
        </w:rPr>
      </w:pPr>
      <w:r>
        <w:rPr>
          <w:rFonts w:eastAsia="Calibri" w:cs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ОКПД2: 38.12.12.000 «Оказание услуг по приемке, транспортированию, обработке и утилизации м</w:t>
      </w: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auto"/>
          <w:spacing w:val="0"/>
          <w:kern w:val="0"/>
          <w:sz w:val="24"/>
          <w:szCs w:val="24"/>
          <w:lang w:val="ru-RU" w:eastAsia="ru-RU" w:bidi="ar-SA"/>
        </w:rPr>
        <w:t>усора от сноса и разборки зданий несортированного</w:t>
      </w:r>
      <w:r>
        <w:rPr>
          <w:rFonts w:eastAsia="Calibri" w:cs="Times New Roman"/>
          <w:b w:val="false"/>
          <w:bCs w:val="false"/>
          <w:i w:val="false"/>
          <w:iCs w:val="false"/>
          <w:color w:val="auto"/>
          <w:kern w:val="0"/>
          <w:sz w:val="24"/>
          <w:szCs w:val="24"/>
          <w:lang w:val="ru-RU" w:eastAsia="ru-RU" w:bidi="ar-SA"/>
        </w:rPr>
        <w:t>, образуемого в ходе восстановления Загорской ГАЭС-2»</w:t>
      </w:r>
    </w:p>
    <w:p>
      <w:pPr>
        <w:pStyle w:val="Heading4"/>
        <w:numPr>
          <w:ilvl w:val="0"/>
          <w:numId w:val="0"/>
        </w:numPr>
        <w:spacing w:before="240" w:after="60"/>
        <w:ind w:hanging="0" w:left="0" w:right="0"/>
        <w:rPr/>
      </w:pPr>
      <w:r>
        <w:rPr/>
        <w:t xml:space="preserve">1.3. </w:t>
      </w:r>
      <w:bookmarkStart w:id="17" w:name="_Toc54643697"/>
      <w:bookmarkStart w:id="18" w:name="_Toc46743507"/>
      <w:r>
        <w:rPr/>
        <w:t xml:space="preserve">Цель </w:t>
      </w:r>
      <w:bookmarkEnd w:id="18"/>
      <w:r>
        <w:rPr>
          <w:lang w:val="ru-RU"/>
        </w:rPr>
        <w:t>оказания услуг</w:t>
      </w:r>
      <w:r>
        <w:rPr/>
        <w:t xml:space="preserve"> </w:t>
      </w:r>
      <w:bookmarkEnd w:id="17"/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Style w:val="Style8"/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Утилизация мусора от сноса и разборки зданий, несортированного (IV класс опасности), образуемого в ходе восстановления Загорской ГАЭС-2, для освобождения площадок временного хранения отходов.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both"/>
        <w:rPr>
          <w:rStyle w:val="Style8"/>
          <w:rFonts w:eastAsia="Calibri" w:cs="Times New Roman"/>
          <w:b w:val="false"/>
          <w:bCs w:val="false"/>
          <w:i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both"/>
        <w:rPr/>
      </w:pPr>
      <w:r>
        <w:rPr>
          <w:rStyle w:val="Style8"/>
          <w:rFonts w:eastAsia="Calibri" w:cs="Times New Roman"/>
          <w:b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1.4. Существующее положение</w:t>
      </w:r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  <w:lang w:val="ru-RU"/>
        </w:rPr>
      </w:pPr>
      <w:bookmarkStart w:id="19" w:name="_Toc54643699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19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3"/>
        <w:gridCol w:w="3632"/>
        <w:gridCol w:w="5733"/>
      </w:tblGrid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объекта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881" w:hRule="atLeast"/>
        </w:trPr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 w:right="0"/>
              <w:contextualSpacing/>
              <w:jc w:val="center"/>
              <w:rPr/>
            </w:pPr>
            <w:r>
              <w:rPr/>
              <w:t>1.</w:t>
            </w:r>
          </w:p>
        </w:tc>
        <w:tc>
          <w:tcPr>
            <w:tcW w:w="3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758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Style w:val="Style8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Станционный узел Загорской ГАЭС-2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112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 w:cs="Times New Roman"/>
                <w:kern w:val="0"/>
                <w:sz w:val="24"/>
                <w:szCs w:val="22"/>
                <w:lang w:val="ru-RU" w:eastAsia="en-US" w:bidi="ar-SA"/>
              </w:rPr>
              <w:t>Московская область, г. Сергиев Посад, поселок городского типа Богородское, станционный узел Загорской ГАЭС-2</w:t>
            </w:r>
          </w:p>
        </w:tc>
      </w:tr>
      <w:tr>
        <w:trPr>
          <w:trHeight w:val="881" w:hRule="atLeast"/>
        </w:trPr>
        <w:tc>
          <w:tcPr>
            <w:tcW w:w="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 w:right="0"/>
              <w:contextualSpacing/>
              <w:jc w:val="center"/>
              <w:rPr/>
            </w:pPr>
            <w:r>
              <w:rPr/>
              <w:t>2.</w:t>
            </w:r>
          </w:p>
        </w:tc>
        <w:tc>
          <w:tcPr>
            <w:tcW w:w="3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1758" w:leader="none"/>
              </w:tabs>
              <w:suppressAutoHyphens w:val="true"/>
              <w:bidi w:val="0"/>
              <w:spacing w:lineRule="auto" w:line="240" w:before="0" w:after="0"/>
              <w:ind w:hanging="0" w:left="0" w:right="0"/>
              <w:jc w:val="both"/>
              <w:rPr/>
            </w:pPr>
            <w:r>
              <w:rPr>
                <w:rStyle w:val="Style8"/>
                <w:rFonts w:eastAsia="Calibri" w:cs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Водоприемник Загорской ГАЭС-2</w:t>
            </w:r>
          </w:p>
        </w:tc>
        <w:tc>
          <w:tcPr>
            <w:tcW w:w="5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hanging="0" w:left="0" w:right="112"/>
              <w:contextualSpacing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eastAsia="Calibri"/>
                <w:kern w:val="0"/>
                <w:szCs w:val="22"/>
                <w:lang w:val="ru-RU" w:eastAsia="en-US" w:bidi="ar-SA"/>
              </w:rPr>
              <w:t>Московская область, г. Сергиев Посад, поселок городского типа Богородское, водоприемник Загорской ГАЭС-2</w:t>
            </w:r>
          </w:p>
        </w:tc>
      </w:tr>
    </w:tbl>
    <w:p>
      <w:pPr>
        <w:pStyle w:val="Heading1"/>
        <w:keepLines/>
        <w:numPr>
          <w:ilvl w:val="0"/>
          <w:numId w:val="0"/>
        </w:numPr>
        <w:ind w:hanging="0" w:left="0" w:right="0"/>
        <w:jc w:val="lef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numPr>
          <w:ilvl w:val="0"/>
          <w:numId w:val="0"/>
        </w:numPr>
        <w:ind w:hanging="0" w:left="0" w:right="0"/>
        <w:jc w:val="left"/>
        <w:rPr/>
      </w:pPr>
      <w:r>
        <w:rPr>
          <w:sz w:val="24"/>
          <w:szCs w:val="24"/>
        </w:rPr>
        <w:t>1.5. Иные требования и сведения общего характера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1.5.1.  Вывоз образуемых отходов производится по заявкам Заказчика.</w:t>
      </w:r>
    </w:p>
    <w:p>
      <w:pPr>
        <w:pStyle w:val="Normal"/>
        <w:spacing w:lineRule="auto" w:line="240" w:before="0" w:after="0"/>
        <w:ind w:hanging="0"/>
        <w:jc w:val="both"/>
        <w:rPr>
          <w:highlight w:val="none"/>
          <w:shd w:fill="auto" w:val="clear"/>
        </w:rPr>
      </w:pPr>
      <w:r>
        <w:rPr>
          <w:rFonts w:eastAsia="Times New Roman" w:cs="Times New Roman"/>
          <w:sz w:val="24"/>
          <w:szCs w:val="24"/>
          <w:shd w:fill="auto" w:val="clear"/>
          <w:lang w:eastAsia="ru-RU"/>
        </w:rPr>
        <w:t xml:space="preserve">1.5.2. Погрузка отходов производится Заказчиком. 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1.5.3. По результатам погрузки отходов составляется передаточный акт (в произвольной форме), фиксирующий объем переданного отхода. Расчетная единица измерения вывозимых отходов – 1 м3.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1.5.4. С момента погрузки и подписания передаточного акта ответственность за дальнейшие действия с отходами несет Исполнитель.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1.5.5. Услуги считаются оказанными с момента подписания сторонами акта по форме УПД.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1.5.6. Исполнитель несет ответственность за нарушение требований природоохранного законодательства при оказании услуг.</w:t>
      </w:r>
    </w:p>
    <w:p>
      <w:pPr>
        <w:pStyle w:val="Normal"/>
        <w:spacing w:lineRule="auto" w:line="240"/>
        <w:ind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1.5.7. Контроль качества оказываемых услуг производится в соответствии с нормативными документами РФ и настоящими Техническими требованиями.</w:t>
      </w:r>
    </w:p>
    <w:p>
      <w:pPr>
        <w:pStyle w:val="Normal"/>
        <w:spacing w:lineRule="auto" w:line="240"/>
        <w:ind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1.5.8. Заказчиком оформлен паспорт отходов </w:t>
      </w:r>
      <w:r>
        <w:rPr>
          <w:rFonts w:eastAsia="Times New Roman" w:cs="Times New Roman"/>
          <w:kern w:val="0"/>
          <w:sz w:val="24"/>
          <w:szCs w:val="24"/>
          <w:lang w:val="en-US" w:eastAsia="ru-RU" w:bidi="ar-SA"/>
        </w:rPr>
        <w:t>IV</w:t>
      </w:r>
      <w:r>
        <w:rPr>
          <w:rFonts w:eastAsia="Times New Roman" w:cs="Times New Roman"/>
          <w:kern w:val="0"/>
          <w:sz w:val="24"/>
          <w:szCs w:val="24"/>
          <w:lang w:val="ru-RU" w:eastAsia="ru-RU" w:bidi="ar-SA"/>
        </w:rPr>
        <w:t xml:space="preserve"> класса опасности, код ФККО 8 12 901 01 72 4.</w:t>
      </w:r>
    </w:p>
    <w:p>
      <w:pPr>
        <w:pStyle w:val="Heading1"/>
        <w:numPr>
          <w:ilvl w:val="0"/>
          <w:numId w:val="3"/>
        </w:numPr>
        <w:ind w:hanging="357" w:left="357" w:right="0"/>
        <w:jc w:val="center"/>
        <w:rPr>
          <w:iCs/>
          <w:caps/>
          <w:lang w:val="ru-RU"/>
        </w:rPr>
      </w:pPr>
      <w:bookmarkStart w:id="20" w:name="_Toc51339693"/>
      <w:bookmarkStart w:id="21" w:name="_Toc54643702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20"/>
      <w:bookmarkEnd w:id="21"/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lineRule="auto" w:line="240" w:before="120" w:after="60"/>
        <w:ind w:hanging="0" w:left="0" w:right="0"/>
        <w:jc w:val="left"/>
        <w:rPr/>
      </w:pPr>
      <w:r>
        <w:rPr/>
        <w:t xml:space="preserve">2.1. </w:t>
      </w:r>
      <w:bookmarkStart w:id="22" w:name="_Toc54643703"/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22"/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lineRule="auto" w:line="240" w:before="120" w:after="60"/>
        <w:ind w:hanging="0" w:left="0" w:right="0"/>
        <w:jc w:val="left"/>
        <w:rPr/>
      </w:pPr>
      <w:r>
        <w:rPr>
          <w:lang w:val="ru-RU"/>
        </w:rPr>
        <w:t xml:space="preserve">2.1.1. </w:t>
      </w:r>
      <w:bookmarkStart w:id="23" w:name="_Toc54643704"/>
      <w:r>
        <w:rPr>
          <w:lang w:val="ru-RU"/>
        </w:rPr>
        <w:t>Требования к перечню и объему услуг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  <w:lang w:val="ru-RU"/>
        </w:rPr>
      </w:pPr>
      <w:bookmarkStart w:id="24" w:name="_Toc54643705"/>
      <w:bookmarkStart w:id="25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5"/>
      <w:r>
        <w:rPr>
          <w:sz w:val="24"/>
          <w:szCs w:val="24"/>
          <w:lang w:val="ru-RU"/>
        </w:rPr>
        <w:t>и объем оказываемых услуг</w:t>
      </w:r>
      <w:bookmarkEnd w:id="24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9"/>
        <w:gridCol w:w="5945"/>
        <w:gridCol w:w="1542"/>
        <w:gridCol w:w="1703"/>
      </w:tblGrid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5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 w:val="false"/>
                <w:bCs w:val="false"/>
                <w:i/>
                <w:i/>
                <w:iCs/>
                <w:sz w:val="20"/>
                <w:szCs w:val="20"/>
              </w:rPr>
            </w:pPr>
            <w:r>
              <w:rPr>
                <w:b w:val="false"/>
                <w:bCs w:val="false"/>
                <w:i/>
                <w:iCs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 w:right="0"/>
              <w:contextualSpacing/>
              <w:jc w:val="center"/>
              <w:rPr/>
            </w:pPr>
            <w:r>
              <w:rPr/>
              <w:t>1.</w:t>
            </w:r>
          </w:p>
        </w:tc>
        <w:tc>
          <w:tcPr>
            <w:tcW w:w="5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outlineLvl w:val="0"/>
              <w:rPr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Оказание услуг по приемке, транспортированию, обработке и утилизации м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усора от сноса и разборки зданий несортированного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, код ФККО 8 12 901 01 72 4, </w:t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класс опасности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м</w:t>
            </w:r>
            <w:r>
              <w:rPr>
                <w:i w:val="false"/>
                <w:iCs w:val="false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1000</w:t>
            </w:r>
          </w:p>
        </w:tc>
      </w:tr>
    </w:tbl>
    <w:p>
      <w:pPr>
        <w:pStyle w:val="Heading3"/>
        <w:keepNext w:val="true"/>
        <w:widowControl/>
        <w:numPr>
          <w:ilvl w:val="0"/>
          <w:numId w:val="0"/>
        </w:numPr>
        <w:suppressAutoHyphens w:val="true"/>
        <w:bidi w:val="0"/>
        <w:ind w:hanging="0" w:left="0" w:right="0"/>
        <w:jc w:val="left"/>
        <w:rPr>
          <w:lang w:val="ru-RU"/>
        </w:rPr>
      </w:pPr>
      <w:r>
        <w:rPr>
          <w:rFonts w:eastAsia="Calibri" w:cs="Times New Roman"/>
          <w:b/>
          <w:color w:val="auto"/>
          <w:kern w:val="0"/>
          <w:sz w:val="24"/>
          <w:szCs w:val="24"/>
          <w:lang w:val="ru-RU" w:eastAsia="x-none" w:bidi="ar-SA"/>
        </w:rPr>
        <w:t xml:space="preserve">2.1.2. </w:t>
      </w:r>
      <w:bookmarkStart w:id="26" w:name="_Toc54643706"/>
      <w:bookmarkStart w:id="27" w:name="_Toc51339696"/>
      <w:r>
        <w:rPr>
          <w:lang w:val="ru-RU"/>
        </w:rPr>
        <w:t xml:space="preserve">Требования </w:t>
      </w:r>
      <w:bookmarkEnd w:id="27"/>
      <w:r>
        <w:rPr>
          <w:lang w:val="ru-RU"/>
        </w:rPr>
        <w:t>к срокам</w:t>
      </w:r>
      <w:r>
        <w:rPr>
          <w:rFonts w:eastAsia="Calibri" w:cs="Times New Roman"/>
          <w:b/>
          <w:color w:val="auto"/>
          <w:kern w:val="0"/>
          <w:sz w:val="24"/>
          <w:szCs w:val="24"/>
          <w:lang w:eastAsia="x-none" w:bidi="ar-SA"/>
        </w:rPr>
        <w:t xml:space="preserve"> оказания услуг</w:t>
      </w:r>
      <w:bookmarkEnd w:id="26"/>
    </w:p>
    <w:p>
      <w:pPr>
        <w:pStyle w:val="Heading1"/>
        <w:keepNext w:val="true"/>
        <w:keepLines/>
        <w:widowControl/>
        <w:numPr>
          <w:ilvl w:val="0"/>
          <w:numId w:val="0"/>
        </w:numPr>
        <w:suppressAutoHyphens w:val="true"/>
        <w:bidi w:val="0"/>
        <w:spacing w:before="240" w:after="60"/>
        <w:ind w:hanging="0" w:left="0" w:right="0"/>
        <w:jc w:val="left"/>
        <w:rPr>
          <w:sz w:val="24"/>
          <w:szCs w:val="24"/>
          <w:lang w:val="ru-RU"/>
        </w:rPr>
      </w:pPr>
      <w:bookmarkStart w:id="28" w:name="_Toc54643707"/>
      <w:bookmarkStart w:id="29" w:name="_Toc50125127"/>
      <w:bookmarkStart w:id="30" w:name="_Toc51339697"/>
      <w:bookmarkStart w:id="31" w:name="_Toc50125126_Копия_1"/>
      <w:bookmarkEnd w:id="31"/>
      <w:r>
        <w:rPr>
          <w:rFonts w:eastAsia="Calibri" w:cs="Times New Roman"/>
          <w:b/>
          <w:color w:val="auto"/>
          <w:kern w:val="0"/>
          <w:sz w:val="24"/>
          <w:szCs w:val="24"/>
          <w:lang w:eastAsia="x-none" w:bidi="ar-SA"/>
        </w:rPr>
        <w:t xml:space="preserve">Таблица 3. </w:t>
      </w:r>
      <w:bookmarkStart w:id="32" w:name="_Hlk50465284"/>
      <w:r>
        <w:rPr>
          <w:rFonts w:eastAsia="Calibri" w:cs="Times New Roman"/>
          <w:b/>
          <w:color w:val="auto"/>
          <w:kern w:val="0"/>
          <w:sz w:val="24"/>
          <w:szCs w:val="24"/>
          <w:lang w:eastAsia="x-none" w:bidi="ar-SA"/>
        </w:rPr>
        <w:t xml:space="preserve">Требования к срокам </w:t>
      </w:r>
      <w:bookmarkEnd w:id="29"/>
      <w:bookmarkEnd w:id="30"/>
      <w:bookmarkEnd w:id="32"/>
      <w:r>
        <w:rPr>
          <w:rFonts w:eastAsia="Calibri" w:cs="Times New Roman"/>
          <w:b/>
          <w:color w:val="auto"/>
          <w:kern w:val="0"/>
          <w:sz w:val="24"/>
          <w:szCs w:val="24"/>
          <w:lang w:eastAsia="x-none" w:bidi="ar-SA"/>
        </w:rPr>
        <w:t>оказания у</w:t>
      </w:r>
      <w:r>
        <w:rPr>
          <w:sz w:val="24"/>
          <w:szCs w:val="24"/>
          <w:lang w:val="ru-RU"/>
        </w:rPr>
        <w:t>слу</w:t>
      </w:r>
      <w:bookmarkEnd w:id="28"/>
      <w:r>
        <w:rPr>
          <w:sz w:val="24"/>
          <w:szCs w:val="24"/>
          <w:lang w:val="ru-RU"/>
        </w:rPr>
        <w:t>г</w:t>
      </w:r>
    </w:p>
    <w:tbl>
      <w:tblPr>
        <w:tblW w:w="99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53"/>
        <w:gridCol w:w="5207"/>
        <w:gridCol w:w="1774"/>
        <w:gridCol w:w="2311"/>
      </w:tblGrid>
      <w:tr>
        <w:trPr/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</w:t>
              <w:br/>
              <w:t>к началу срока оказания услуг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</w:t>
              <w:br/>
              <w:t xml:space="preserve">к окончанию срока оказания услуг </w:t>
            </w:r>
          </w:p>
        </w:tc>
      </w:tr>
      <w:tr>
        <w:trPr>
          <w:trHeight w:val="234" w:hRule="atLeast"/>
        </w:trPr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lineRule="auto" w:line="240" w:before="40" w:after="4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lineRule="auto" w:line="240" w:before="40" w:after="4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before="0" w:after="0"/>
              <w:ind w:hanging="0" w:left="0" w:right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outlineLvl w:val="0"/>
              <w:rPr>
                <w:sz w:val="24"/>
                <w:szCs w:val="24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Оказание услуг по приемке, транспортированию, обработке и утилизации м</w:t>
            </w: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24"/>
                <w:szCs w:val="24"/>
                <w:lang w:val="ru-RU" w:eastAsia="ru-RU" w:bidi="ar-SA"/>
              </w:rPr>
              <w:t>усора от сноса и разборки зданий несортированного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, код ФККО 8 12 901 01 72 4, </w:t>
              <w:br/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IV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класс опасности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С даты следующей за датой подписания договора</w:t>
            </w:r>
          </w:p>
        </w:tc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10 (десяти) месяцев с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даты следующей за датой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keepNext w:val="true"/>
        <w:widowControl/>
        <w:numPr>
          <w:ilvl w:val="0"/>
          <w:numId w:val="0"/>
        </w:numPr>
        <w:suppressAutoHyphens w:val="true"/>
        <w:bidi w:val="0"/>
        <w:spacing w:lineRule="auto" w:line="240" w:before="120" w:after="60"/>
        <w:ind w:hanging="0" w:left="0" w:right="0"/>
        <w:jc w:val="left"/>
        <w:rPr/>
      </w:pPr>
      <w:r>
        <w:rPr/>
        <w:t xml:space="preserve">2.2. </w:t>
      </w:r>
      <w:bookmarkStart w:id="33" w:name="_Toc54643709"/>
      <w:bookmarkStart w:id="34" w:name="_Toc51339698"/>
      <w:bookmarkStart w:id="35" w:name="_Toc54643708"/>
      <w:bookmarkStart w:id="36" w:name="_Toc46743511"/>
      <w:r>
        <w:rPr/>
        <w:t xml:space="preserve">Требования к </w:t>
      </w:r>
      <w:bookmarkEnd w:id="36"/>
      <w:r>
        <w:rPr>
          <w:lang w:val="ru-RU"/>
        </w:rPr>
        <w:t>качеству услуг</w:t>
      </w:r>
      <w:bookmarkEnd w:id="35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bookmarkEnd w:id="34"/>
      <w:r>
        <w:rPr>
          <w:sz w:val="24"/>
          <w:szCs w:val="24"/>
          <w:lang w:val="ru-RU"/>
        </w:rPr>
        <w:t>качеству услуг</w:t>
      </w:r>
      <w:bookmarkEnd w:id="33"/>
      <w:r>
        <w:rPr>
          <w:sz w:val="24"/>
          <w:szCs w:val="24"/>
        </w:rPr>
        <w:t xml:space="preserve"> </w:t>
      </w:r>
    </w:p>
    <w:tbl>
      <w:tblPr>
        <w:tblStyle w:val="af"/>
        <w:tblW w:w="10088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9"/>
        <w:gridCol w:w="2492"/>
        <w:gridCol w:w="29"/>
        <w:gridCol w:w="6658"/>
      </w:tblGrid>
      <w:tr>
        <w:trPr/>
        <w:tc>
          <w:tcPr>
            <w:tcW w:w="9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2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</w:tr>
      <w:tr>
        <w:trPr/>
        <w:tc>
          <w:tcPr>
            <w:tcW w:w="909" w:type="dxa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bookmarkStart w:id="37" w:name="_Toc53499667"/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1</w:t>
            </w:r>
            <w:bookmarkEnd w:id="37"/>
          </w:p>
        </w:tc>
        <w:tc>
          <w:tcPr>
            <w:tcW w:w="2521" w:type="dxa"/>
            <w:gridSpan w:val="2"/>
            <w:tcBorders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66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bCs w:val="false"/>
                <w:i/>
                <w:iCs/>
                <w:color w:val="auto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</w:tr>
      <w:tr>
        <w:trPr>
          <w:trHeight w:val="262" w:hRule="atLeast"/>
        </w:trPr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lineRule="auto" w:line="240"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91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оказанию услуг </w:t>
            </w:r>
          </w:p>
        </w:tc>
      </w:tr>
      <w:tr>
        <w:trPr>
          <w:trHeight w:val="308" w:hRule="atLeast"/>
        </w:trPr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hanging="0" w:left="-117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</w:t>
            </w:r>
          </w:p>
        </w:tc>
        <w:tc>
          <w:tcPr>
            <w:tcW w:w="91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оказанию услуг </w:t>
            </w:r>
          </w:p>
        </w:tc>
      </w:tr>
      <w:tr>
        <w:trPr>
          <w:trHeight w:val="1208" w:hRule="atLeast"/>
        </w:trPr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2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Соблюдение </w:t>
              <w:br/>
              <w:t xml:space="preserve">объема оказываемых </w:t>
              <w:br/>
              <w:t>услуг</w:t>
            </w:r>
          </w:p>
        </w:tc>
        <w:tc>
          <w:tcPr>
            <w:tcW w:w="6658" w:type="dxa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Исполнитель должен обеспечить оказание услуг в объеме, </w:t>
              <w:br/>
              <w:t>указанном в таблице 2 настоящих ТТ.</w:t>
            </w:r>
          </w:p>
        </w:tc>
      </w:tr>
      <w:tr>
        <w:trPr>
          <w:trHeight w:val="2327" w:hRule="atLeast"/>
        </w:trPr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hanging="1199" w:left="1224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52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Соблюдение </w:t>
              <w:br/>
              <w:t>при оказании услуг норм и правил нормативно-технических документов</w:t>
            </w:r>
          </w:p>
        </w:tc>
        <w:tc>
          <w:tcPr>
            <w:tcW w:w="66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Услуги оказываются в соответствии с требованиями природоохранного законодательства Российской Федерации, в том числе требованиями Распоряжения Министерства экологии и природопользования Московской области от 25.02.2021 № 134-Р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 «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lang w:eastAsia="ru-RU"/>
              </w:rPr>
              <w:t>Об утверждении Порядка обращения с отходами строительства, сноса зданий и сооружений, в том числе грунтами, на территории Московской области».</w:t>
            </w:r>
          </w:p>
        </w:tc>
      </w:tr>
      <w:tr>
        <w:trPr>
          <w:trHeight w:val="284" w:hRule="atLeast"/>
        </w:trPr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/>
                <w:b/>
                <w:bCs w:val="false"/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1.2.</w:t>
            </w:r>
          </w:p>
        </w:tc>
        <w:tc>
          <w:tcPr>
            <w:tcW w:w="9179" w:type="dxa"/>
            <w:gridSpan w:val="3"/>
            <w:tcBorders/>
            <w:shd w:color="auto" w:fill="auto" w:val="clear"/>
          </w:tcPr>
          <w:p>
            <w:pPr>
              <w:pStyle w:val="Normal"/>
              <w:widowControl w:val="false"/>
              <w:spacing w:before="60"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техническим ресурсам </w:t>
            </w:r>
          </w:p>
        </w:tc>
      </w:tr>
      <w:tr>
        <w:trPr>
          <w:trHeight w:val="284" w:hRule="atLeast"/>
        </w:trPr>
        <w:tc>
          <w:tcPr>
            <w:tcW w:w="90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1.2.1.</w:t>
            </w:r>
          </w:p>
        </w:tc>
        <w:tc>
          <w:tcPr>
            <w:tcW w:w="2492" w:type="dxa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Требование к техническим ресурсам</w:t>
            </w:r>
          </w:p>
        </w:tc>
        <w:tc>
          <w:tcPr>
            <w:tcW w:w="6687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Перемещение отходов должно осуществляться на специально оборудованных транспортных средствах при соблюдении требований безопасности способами, предотвращающими их попадание в окружающую среду в ходе транспортирования, погрузки и выгрузки.</w:t>
            </w:r>
          </w:p>
        </w:tc>
      </w:tr>
      <w:tr>
        <w:trPr>
          <w:trHeight w:val="284" w:hRule="atLeast"/>
        </w:trPr>
        <w:tc>
          <w:tcPr>
            <w:tcW w:w="90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b/>
                <w:bCs w:val="false"/>
                <w:sz w:val="24"/>
                <w:szCs w:val="24"/>
              </w:rPr>
            </w:pPr>
            <w:r>
              <w:rPr>
                <w:b/>
                <w:bCs w:val="false"/>
                <w:sz w:val="24"/>
                <w:szCs w:val="24"/>
              </w:rPr>
              <w:t>2.</w:t>
            </w:r>
          </w:p>
        </w:tc>
        <w:tc>
          <w:tcPr>
            <w:tcW w:w="9179" w:type="dxa"/>
            <w:gridSpan w:val="3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</w:tr>
      <w:tr>
        <w:trPr/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25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2.2.1.</w:t>
            </w:r>
          </w:p>
        </w:tc>
        <w:tc>
          <w:tcPr>
            <w:tcW w:w="2521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0"/>
              <w:ind w:hanging="0" w:left="0"/>
              <w:jc w:val="left"/>
              <w:outlineLvl w:val="0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Требование к наличию соглашений, свидетельств, лицензий, иных разрешительных документов</w:t>
            </w:r>
          </w:p>
        </w:tc>
        <w:tc>
          <w:tcPr>
            <w:tcW w:w="66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57" w:righ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Наличие </w:t>
            </w:r>
            <w:r>
              <w:rPr>
                <w:rFonts w:eastAsia="Times New Roman" w:cs="Times New Roman"/>
                <w:sz w:val="24"/>
                <w:szCs w:val="24"/>
                <w:lang w:val="ru-RU" w:eastAsia="ru-RU"/>
              </w:rPr>
              <w:t>лицензии на осуществление деятельности по транспортированию отходов IV класса опасности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</w:tr>
      <w:tr>
        <w:trPr>
          <w:trHeight w:val="2713" w:hRule="atLeast"/>
        </w:trPr>
        <w:tc>
          <w:tcPr>
            <w:tcW w:w="90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25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eastAsia="ru-RU" w:bidi="ar-SA"/>
              </w:rPr>
              <w:t>2.2.2.</w:t>
            </w:r>
          </w:p>
        </w:tc>
        <w:tc>
          <w:tcPr>
            <w:tcW w:w="2521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Требование к наличию соглашений, свидетельств, лицензий, иных разрешительных документов</w:t>
            </w:r>
          </w:p>
        </w:tc>
        <w:tc>
          <w:tcPr>
            <w:tcW w:w="6658" w:type="dxa"/>
            <w:tcBorders>
              <w:top w:val="nil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426" w:leader="none"/>
              </w:tabs>
              <w:spacing w:before="0" w:after="0"/>
              <w:ind w:hanging="0" w:left="0"/>
              <w:contextualSpacing/>
              <w:jc w:val="left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Наличие договора с отходополучателем отходов </w:t>
            </w:r>
            <w:r>
              <w:rPr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класса опасности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val="ru-RU" w:eastAsia="ru-RU"/>
              </w:rPr>
              <w:t>(код ФККО 8 12 901 01 72 4).</w:t>
            </w:r>
          </w:p>
        </w:tc>
      </w:tr>
      <w:tr>
        <w:trPr>
          <w:trHeight w:val="2713" w:hRule="atLeast"/>
        </w:trPr>
        <w:tc>
          <w:tcPr>
            <w:tcW w:w="909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25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2.2.3.</w:t>
            </w:r>
          </w:p>
        </w:tc>
        <w:tc>
          <w:tcPr>
            <w:tcW w:w="2521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Требование к наличию соглашений, свидетельств, лицензий, иных разрешительных документов</w:t>
            </w:r>
          </w:p>
        </w:tc>
        <w:tc>
          <w:tcPr>
            <w:tcW w:w="665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z w:val="24"/>
                <w:szCs w:val="24"/>
                <w:lang w:eastAsia="ru-RU"/>
              </w:rPr>
              <w:t>Участник, признанный Победителем закупочной процедуры, в течение 10 (десяти) рабочих дней после размещения итогового протокола по выбору победителя на сайте www.zakupki.gov.ru (до заключения договора) должен предоставить в адрес «Заказчика» заверенную копию соглашения об информационном взаимодействии, заключенное с оператором РНИС МО «Региональная навигационно-информационная система Московской области».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jc w:val="left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olor w:val="000000"/>
                <w:sz w:val="24"/>
                <w:szCs w:val="24"/>
                <w:lang w:val="ru-RU" w:eastAsia="ru-RU"/>
              </w:rPr>
              <w:t>В случае непредставления указанных документов, Победитель признается уклонившимся от подписания Договора в соответствии с Документацией о закупке.</w:t>
            </w:r>
          </w:p>
        </w:tc>
      </w:tr>
      <w:tr>
        <w:trPr/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bidi w:val="0"/>
              <w:spacing w:before="60" w:after="60"/>
              <w:ind w:hanging="624" w:left="737" w:right="0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3.</w:t>
            </w:r>
          </w:p>
        </w:tc>
        <w:tc>
          <w:tcPr>
            <w:tcW w:w="91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</w:tr>
      <w:tr>
        <w:trPr>
          <w:trHeight w:val="381" w:hRule="atLeast"/>
        </w:trPr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-117"/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lang w:val="ru-RU" w:eastAsia="ru-RU" w:bidi="ar-SA"/>
              </w:rPr>
            </w:pPr>
            <w:r>
              <w:rPr>
                <w:rFonts w:cs="Times New Roman"/>
                <w:b/>
                <w:bCs/>
                <w:kern w:val="0"/>
                <w:lang w:val="ru-RU" w:eastAsia="ru-RU" w:bidi="ar-SA"/>
              </w:rPr>
              <w:t>3.1.</w:t>
            </w:r>
          </w:p>
        </w:tc>
        <w:tc>
          <w:tcPr>
            <w:tcW w:w="917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услуг</w:t>
            </w:r>
            <w:r>
              <w:rPr>
                <w:rStyle w:val="Style8"/>
                <w:rFonts w:eastAsia="Times New Roman" w:cs="Times New Roman"/>
                <w:b w:val="false"/>
                <w:bCs/>
                <w:i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</w:p>
        </w:tc>
      </w:tr>
      <w:tr>
        <w:trPr/>
        <w:tc>
          <w:tcPr>
            <w:tcW w:w="909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  <w:t>3.1.1.</w:t>
            </w:r>
          </w:p>
        </w:tc>
        <w:tc>
          <w:tcPr>
            <w:tcW w:w="2521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результата услуг</w:t>
            </w:r>
          </w:p>
        </w:tc>
        <w:tc>
          <w:tcPr>
            <w:tcW w:w="6658" w:type="dxa"/>
            <w:tcBorders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Закрытие оказываемых услуг оформляется актом по форме УПД, после предоставления документов, подтверждающих получение отходов отходополучателем. 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w="11906" w:h="16838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lang w:val="ru-RU"/>
        </w:rPr>
      </w:pPr>
      <w:bookmarkStart w:id="38" w:name="_Toc54643710"/>
      <w:bookmarkStart w:id="39" w:name="_Toc53395937"/>
      <w:bookmarkStart w:id="40" w:name="_Toc53393312"/>
      <w:bookmarkStart w:id="41" w:name="_Toc51339699"/>
      <w:bookmarkStart w:id="42" w:name="_Toc46743519"/>
      <w:bookmarkEnd w:id="41"/>
      <w:bookmarkEnd w:id="42"/>
      <w:r>
        <w:rPr>
          <w:lang w:val="ru-RU"/>
        </w:rPr>
        <w:t>Требования к документации по ценообразованию</w:t>
      </w:r>
      <w:bookmarkEnd w:id="39"/>
      <w:bookmarkEnd w:id="40"/>
      <w:r>
        <w:rPr>
          <w:lang w:val="ru-RU"/>
        </w:rPr>
        <w:t xml:space="preserve"> </w:t>
      </w:r>
      <w:bookmarkEnd w:id="3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3.1. </w:t>
      </w:r>
      <w:r>
        <w:rPr>
          <w:rFonts w:eastAsia="Times New Roman" w:cs="Times New Roman"/>
          <w:sz w:val="24"/>
          <w:szCs w:val="24"/>
          <w:lang w:val="ru-RU" w:eastAsia="ru-RU"/>
        </w:rPr>
        <w:t>Для обоснования стоимости заявки Участник должен представить Коммерческое предложение</w:t>
      </w:r>
      <w:r>
        <w:rPr>
          <w:rFonts w:eastAsia="Times New Roman" w:cs="Times New Roman"/>
          <w:sz w:val="24"/>
          <w:szCs w:val="24"/>
          <w:lang w:eastAsia="ru-RU"/>
        </w:rPr>
        <w:t>.</w:t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3.2. Стоимость предложения Участника должна включать в себя все расходы на приемку, транспортирование, обработку и утилизацию отходов, расходы на уплату налогов, пошлин, сборов, услуг сторонних организаций и третьих лиц и других платежей, которые необходимо оп</w:t>
      </w: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>латить при исполнении договора.</w:t>
      </w:r>
    </w:p>
    <w:p>
      <w:pPr>
        <w:pStyle w:val="Normal"/>
        <w:spacing w:lineRule="auto" w:line="240" w:before="0" w:after="0"/>
        <w:ind w:firstLine="567"/>
        <w:jc w:val="both"/>
        <w:rPr>
          <w:rStyle w:val="Style8"/>
          <w:rFonts w:eastAsia="Times New Roman" w:cs="Times New Roman"/>
          <w:b w:val="false"/>
          <w:bCs w:val="false"/>
          <w:i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imes New Roman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rFonts w:ascii="Times New Roman" w:hAnsi="Times New Roman" w:eastAsia="Times New Roman" w:cs="Times New Roman"/>
          <w:b w:val="false"/>
          <w:bCs/>
          <w:i w:val="false"/>
          <w:i w:val="false"/>
          <w:iCs w:val="false"/>
          <w:sz w:val="24"/>
          <w:szCs w:val="24"/>
          <w:highlight w:val="none"/>
          <w:shd w:fill="auto" w:val="clear"/>
          <w:lang w:eastAsia="ru-RU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6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8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240" w:hanging="108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3744" w:hanging="1224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4320" w:hanging="1440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4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widowControl/>
      <w:numPr>
        <w:ilvl w:val="2"/>
        <w:numId w:val="3"/>
      </w:numPr>
      <w:suppressAutoHyphens w:val="true"/>
      <w:bidi w:val="0"/>
      <w:spacing w:lineRule="auto" w:line="240" w:before="120" w:after="60"/>
      <w:ind w:hanging="0" w:left="0" w:right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>
    <w:name w:val="Ссылка указателя"/>
    <w:qFormat/>
    <w:rPr/>
  </w:style>
  <w:style w:type="character" w:styleId="Style15">
    <w:name w:val="Символ нумерации"/>
    <w:qFormat/>
    <w:rPr/>
  </w:style>
  <w:style w:type="character" w:styleId="Style16">
    <w:name w:val="Маркеры"/>
    <w:qFormat/>
    <w:rPr>
      <w:rFonts w:ascii="OpenSymbol" w:hAnsi="OpenSymbol" w:eastAsia="OpenSymbol" w:cs="OpenSymbol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widowControl/>
      <w:tabs>
        <w:tab w:val="clear" w:pos="708"/>
        <w:tab w:val="left" w:pos="1120" w:leader="none"/>
        <w:tab w:val="right" w:pos="9911" w:leader="dot"/>
      </w:tabs>
      <w:suppressAutoHyphens w:val="true"/>
      <w:bidi w:val="0"/>
      <w:spacing w:before="0" w:after="0"/>
      <w:ind w:hanging="0" w:left="567" w:right="0"/>
      <w:jc w:val="left"/>
    </w:pPr>
    <w:rPr>
      <w:rFonts w:cs="Calibri" w:cstheme="minorHAnsi"/>
      <w:sz w:val="22"/>
      <w:szCs w:val="22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971" w:leader="none"/>
        <w:tab w:val="right" w:pos="9911" w:leader="none"/>
      </w:tabs>
      <w:ind w:hanging="0" w:left="560"/>
      <w:jc w:val="left"/>
    </w:pPr>
    <w:rPr>
      <w:rFonts w:cs="Calibri" w:cstheme="minorHAnsi"/>
      <w:sz w:val="22"/>
      <w:szCs w:val="22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>
    <w:name w:val="Содержимое врезки"/>
    <w:basedOn w:val="Normal"/>
    <w:qFormat/>
    <w:pPr/>
    <w:rPr/>
  </w:style>
  <w:style w:type="paragraph" w:styleId="Style36">
    <w:name w:val="Содержимое таблицы"/>
    <w:basedOn w:val="Normal"/>
    <w:qFormat/>
    <w:pPr>
      <w:widowControl w:val="false"/>
      <w:suppressLineNumbers/>
    </w:pPr>
    <w:rPr/>
  </w:style>
  <w:style w:type="paragraph" w:styleId="Style37">
    <w:name w:val="Заголовок таблицы"/>
    <w:basedOn w:val="Style36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5D8BB-A1FF-4CD5-A115-408287A55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1835</TotalTime>
  <Application>AlterOffice/2026.2.0.0$Linux_X86_64 LibreOffice_project/bc4ef1adf80b36c7a6365f8ed6cbf29021361edd</Application>
  <AppVersion>15.0000</AppVersion>
  <Pages>8</Pages>
  <Words>895</Words>
  <Characters>6080</Characters>
  <CharactersWithSpaces>6855</CharactersWithSpaces>
  <Paragraphs>139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2021-04-04T11:05:00Z</dcterms:created>
  <dc:creator>Быстров Олег Геннадьевич</dc:creator>
  <dc:description/>
  <dc:language>ru-RU</dc:language>
  <cp:lastModifiedBy>panchurinaln@corp.gidroogk.com</cp:lastModifiedBy>
  <cp:lastPrinted>2026-09-16T08:01:10Z</cp:lastPrinted>
  <dcterms:modified xsi:type="dcterms:W3CDTF">2026-09-16T08:07:41Z</dcterms:modified>
  <cp:revision>42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