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9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8.xml" ContentType="application/vnd.openxmlformats-officedocument.wordprocessingml.header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Style w:val="Style8"/>
          <w:sz w:val="26"/>
          <w:szCs w:val="26"/>
        </w:rPr>
      </w:pPr>
      <w:r>
        <w:rPr>
          <w:rFonts w:eastAsia="Calibri"/>
          <w:sz w:val="26"/>
          <w:szCs w:val="26"/>
        </w:rPr>
        <w:t>«</w:t>
      </w:r>
      <w:r>
        <w:rPr>
          <w:rFonts w:eastAsia="Calibri"/>
          <w:sz w:val="26"/>
          <w:szCs w:val="26"/>
        </w:rPr>
        <w:t>ОКПД2</w:t>
      </w:r>
      <w:r>
        <w:rPr>
          <w:rFonts w:eastAsia="Calibri" w:cs="Times New Roman"/>
          <w:color w:val="auto"/>
          <w:kern w:val="0"/>
          <w:sz w:val="26"/>
          <w:szCs w:val="26"/>
          <w:lang w:val="ru-RU" w:eastAsia="ru-RU" w:bidi="ar-SA"/>
        </w:rPr>
        <w:t xml:space="preserve"> </w:t>
      </w:r>
      <w:r>
        <w:rPr>
          <w:rStyle w:val="Strong"/>
          <w:rFonts w:eastAsia="Calibri" w:cs="Times New Roman"/>
          <w:color w:val="auto"/>
          <w:kern w:val="0"/>
          <w:sz w:val="26"/>
          <w:szCs w:val="26"/>
          <w:lang w:val="ru-RU" w:eastAsia="ru-RU" w:bidi="ar-SA"/>
        </w:rPr>
        <w:t>22.19.40.110.</w:t>
      </w:r>
      <w:r>
        <w:rPr>
          <w:rStyle w:val="Strong"/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Поставка ленты конвейерной резинотканевой общего назначения для нужд Филиала ПАО «РусГидро» – «Саратовская ГЭС»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2187_1137777136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189_1137777136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191_1137777136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193_1137777136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195_1137777136">
            <w:r>
              <w:rPr>
                <w:webHidden/>
                <w:rStyle w:val="Style14"/>
                <w:vanish w:val="false"/>
              </w:rPr>
              <w:t>1.4.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197_1137777136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199_1137777136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201_1137777136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203_1137777136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205_1137777136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207_1137777136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209_1137777136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211_1137777136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качеству продукции</w:t>
              <w:tab/>
              <w:t>5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213_1137777136">
            <w:r>
              <w:rPr>
                <w:webHidden/>
                <w:rStyle w:val="Style14"/>
                <w:vanish w:val="false"/>
              </w:rPr>
              <w:t>2.2.1.  В составе заявки необходимо предоставить:</w:t>
              <w:tab/>
              <w:t>12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215_1137777136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13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217_1137777136">
            <w:r>
              <w:rPr>
                <w:webHidden/>
                <w:rStyle w:val="Style14"/>
                <w:vanish w:val="false"/>
              </w:rPr>
              <w:t xml:space="preserve">4.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13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_RefHeading___Toc2187_1137777136"/>
      <w:bookmarkStart w:id="1" w:name="_Toc187745009"/>
      <w:bookmarkStart w:id="2" w:name="_Toc51339692"/>
      <w:bookmarkEnd w:id="0"/>
      <w:r>
        <w:rPr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_RefHeading___Toc2189_1137777136"/>
      <w:bookmarkStart w:id="4" w:name="_Toc187745010"/>
      <w:bookmarkStart w:id="5" w:name="_Toc46743505"/>
      <w:bookmarkEnd w:id="3"/>
      <w:r>
        <w:rPr/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r>
              <w:rPr>
                <w:i/>
                <w:iCs/>
                <w:sz w:val="24"/>
                <w:szCs w:val="24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r>
              <w:rPr>
                <w:i/>
                <w:iCs/>
                <w:sz w:val="24"/>
                <w:szCs w:val="24"/>
              </w:rPr>
              <w:t>стандарт организации</w:t>
            </w:r>
            <w:r>
              <w:rPr>
                <w:rStyle w:val="Style8"/>
                <w:bCs/>
                <w:iCs/>
                <w:sz w:val="24"/>
                <w:szCs w:val="24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r>
              <w:rPr>
                <w:i/>
                <w:iCs/>
                <w:sz w:val="24"/>
                <w:szCs w:val="24"/>
                <w:lang w:val="en-US"/>
              </w:rPr>
              <w:t>ПАО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r>
              <w:rPr>
                <w:i/>
                <w:iCs/>
                <w:sz w:val="24"/>
                <w:szCs w:val="24"/>
                <w:lang w:val="en-US"/>
              </w:rPr>
              <w:t>п</w:t>
            </w:r>
            <w:r>
              <w:rPr>
                <w:i/>
                <w:iCs/>
                <w:sz w:val="24"/>
                <w:szCs w:val="24"/>
              </w:rPr>
              <w:t>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r>
              <w:rPr>
                <w:i/>
                <w:iCs/>
                <w:sz w:val="24"/>
                <w:szCs w:val="24"/>
              </w:rPr>
              <w:t>технические требования</w:t>
            </w:r>
            <w:r>
              <w:rPr>
                <w:rStyle w:val="Style8"/>
                <w:bCs/>
                <w:iCs/>
                <w:sz w:val="24"/>
                <w:szCs w:val="24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6" w:name="__RefHeading___Toc2191_1137777136"/>
      <w:bookmarkStart w:id="7" w:name="_Toc46743506"/>
      <w:bookmarkStart w:id="8" w:name="_Toc187745011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120" w:after="240"/>
        <w:jc w:val="both"/>
        <w:rPr>
          <w:bCs/>
          <w:sz w:val="24"/>
          <w:szCs w:val="24"/>
          <w:lang w:eastAsia="zh-CN"/>
        </w:rPr>
      </w:pPr>
      <w:r>
        <w:rPr>
          <w:bCs/>
          <w:sz w:val="24"/>
          <w:szCs w:val="24"/>
          <w:lang w:eastAsia="zh-CN"/>
        </w:rPr>
        <w:t>Поставка ленты конвейерной резинотканевой общего назначения для нужд Филиала ПАО «РусГидро» – «Саратовская ГЭС».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9" w:name="__RefHeading___Toc2193_1137777136"/>
      <w:bookmarkStart w:id="10" w:name="_Toc187745012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bCs/>
          <w:sz w:val="24"/>
          <w:szCs w:val="24"/>
          <w:lang w:eastAsia="zh-CN"/>
        </w:rPr>
        <w:t xml:space="preserve">Целью закупки является приобретение для собственных нужд конвейерной резинотканевой </w:t>
      </w:r>
      <w:r>
        <w:rPr>
          <w:rFonts w:eastAsia="Calibri"/>
          <w:bCs/>
          <w:sz w:val="26"/>
          <w:szCs w:val="26"/>
          <w:lang w:eastAsia="zh-CN"/>
        </w:rPr>
        <w:t xml:space="preserve"> ленты </w:t>
      </w:r>
      <w:r>
        <w:rPr>
          <w:bCs/>
          <w:sz w:val="24"/>
          <w:szCs w:val="24"/>
          <w:lang w:eastAsia="zh-CN"/>
        </w:rPr>
        <w:t>для нужд производственно-технической службы Филиала ПАО «РусГидро» - «Саратовская ГЭС».</w:t>
      </w:r>
    </w:p>
    <w:p>
      <w:pPr>
        <w:pStyle w:val="Heading4"/>
        <w:numPr>
          <w:ilvl w:val="1"/>
          <w:numId w:val="3"/>
        </w:numPr>
        <w:rPr/>
      </w:pPr>
      <w:bookmarkStart w:id="12" w:name="__RefHeading___Toc2195_1137777136"/>
      <w:bookmarkStart w:id="13" w:name="_Toc187745013"/>
      <w:bookmarkStart w:id="14" w:name="_Toc46743508"/>
      <w:bookmarkEnd w:id="12"/>
      <w:r>
        <w:rPr/>
        <w:t>Существующее положение</w:t>
      </w:r>
      <w:bookmarkEnd w:id="13"/>
      <w:bookmarkEnd w:id="14"/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bCs/>
          <w:sz w:val="24"/>
          <w:szCs w:val="24"/>
        </w:rPr>
        <w:t xml:space="preserve">В настоящее время на филиале </w:t>
      </w:r>
      <w:r>
        <w:rPr>
          <w:bCs/>
          <w:sz w:val="24"/>
          <w:szCs w:val="24"/>
          <w:lang w:eastAsia="zh-CN"/>
        </w:rPr>
        <w:t xml:space="preserve">конвейерная резинотканевая </w:t>
      </w:r>
      <w:r>
        <w:rPr>
          <w:rFonts w:eastAsia="Calibri"/>
          <w:bCs/>
          <w:sz w:val="26"/>
          <w:szCs w:val="26"/>
          <w:lang w:eastAsia="zh-CN"/>
        </w:rPr>
        <w:t>лента используется для защиты напольного покрытия от механического воздействия тяжелых предметов и приспособлений при производстве ремонтных работ</w:t>
      </w:r>
      <w:r>
        <w:rPr>
          <w:bCs/>
          <w:sz w:val="24"/>
          <w:szCs w:val="24"/>
        </w:rPr>
        <w:t>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5" w:name="__RefHeading___Toc2197_1137777136"/>
      <w:bookmarkStart w:id="16" w:name="_Toc187745014"/>
      <w:bookmarkStart w:id="17" w:name="_Toc51339693"/>
      <w:bookmarkEnd w:id="15"/>
      <w:r>
        <w:rPr>
          <w:iCs/>
        </w:rPr>
        <w:t>Требования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rPr/>
      </w:pPr>
      <w:bookmarkStart w:id="18" w:name="__RefHeading___Toc2199_1137777136"/>
      <w:bookmarkStart w:id="19" w:name="_Toc187745015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</w:p>
    <w:p>
      <w:pPr>
        <w:pStyle w:val="Heading3"/>
        <w:numPr>
          <w:ilvl w:val="2"/>
          <w:numId w:val="3"/>
        </w:numPr>
        <w:rPr/>
      </w:pPr>
      <w:bookmarkStart w:id="20" w:name="__RefHeading___Toc2201_1137777136"/>
      <w:bookmarkStart w:id="21" w:name="_Toc187745016"/>
      <w:bookmarkEnd w:id="20"/>
      <w:r>
        <w:rPr>
          <w:lang w:val="ru-RU"/>
        </w:rPr>
        <w:t>Перечень и объем закупаемой продукции</w:t>
      </w:r>
      <w:bookmarkEnd w:id="21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2" w:name="__RefHeading___Toc2203_1137777136"/>
      <w:bookmarkStart w:id="23" w:name="_Toc187745017"/>
      <w:bookmarkStart w:id="24" w:name="_Toc51339695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End w:id="23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4"/>
        <w:gridCol w:w="2304"/>
        <w:gridCol w:w="2835"/>
        <w:gridCol w:w="1842"/>
        <w:gridCol w:w="1985"/>
      </w:tblGrid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Тип, </w:t>
            </w:r>
            <w:r>
              <w:rPr>
                <w:sz w:val="24"/>
                <w:szCs w:val="24"/>
              </w:rPr>
              <w:t>марка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240"/>
              <w:jc w:val="both"/>
              <w:rPr>
                <w:rStyle w:val="Style8"/>
                <w:b w:val="false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zh-CN"/>
              </w:rPr>
              <w:t xml:space="preserve">конвейерная резинотканевая лента </w:t>
            </w:r>
            <w:r>
              <w:rPr>
                <w:rFonts w:eastAsia="Calibri"/>
                <w:bCs/>
                <w:sz w:val="26"/>
                <w:szCs w:val="26"/>
                <w:lang w:eastAsia="zh-CN"/>
              </w:rPr>
              <w:t xml:space="preserve"> длиной: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240"/>
              <w:jc w:val="both"/>
              <w:rPr>
                <w:rStyle w:val="Style8"/>
                <w:b w:val="false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6"/>
                <w:szCs w:val="26"/>
                <w:lang w:eastAsia="zh-CN"/>
              </w:rPr>
              <w:t>15 метров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240"/>
              <w:jc w:val="both"/>
              <w:rPr>
                <w:rStyle w:val="Style8"/>
                <w:b w:val="false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6"/>
                <w:szCs w:val="26"/>
                <w:lang w:eastAsia="zh-CN"/>
              </w:rPr>
              <w:t>10 метров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240"/>
              <w:jc w:val="both"/>
              <w:rPr>
                <w:rStyle w:val="Style8"/>
                <w:b w:val="false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6"/>
                <w:szCs w:val="26"/>
                <w:lang w:eastAsia="zh-CN"/>
              </w:rPr>
              <w:t>4 метра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240"/>
              <w:jc w:val="both"/>
              <w:rPr>
                <w:rStyle w:val="Style8"/>
                <w:b w:val="false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6"/>
                <w:szCs w:val="26"/>
                <w:lang w:eastAsia="zh-CN"/>
              </w:rPr>
              <w:t>1 метр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Fonts w:eastAsia="Calibri"/>
                <w:i/>
                <w:i/>
                <w:sz w:val="24"/>
                <w:szCs w:val="24"/>
                <w:lang w:eastAsia="x-none"/>
              </w:rPr>
            </w:pPr>
            <w:r>
              <w:rPr>
                <w:rFonts w:eastAsia="Calibri"/>
                <w:i/>
                <w:sz w:val="24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Fonts w:eastAsia="Calibri"/>
                <w:i/>
                <w:i/>
                <w:sz w:val="24"/>
                <w:szCs w:val="24"/>
                <w:lang w:eastAsia="x-none"/>
              </w:rPr>
            </w:pPr>
            <w:r>
              <w:rPr>
                <w:rFonts w:eastAsia="Calibri"/>
                <w:i/>
                <w:sz w:val="24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Fonts w:eastAsia="Calibri"/>
                <w:i/>
                <w:i/>
                <w:sz w:val="24"/>
                <w:szCs w:val="24"/>
                <w:lang w:eastAsia="x-none"/>
              </w:rPr>
            </w:pPr>
            <w:r>
              <w:rPr>
                <w:rFonts w:eastAsia="Calibri"/>
                <w:i/>
                <w:sz w:val="24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Fonts w:eastAsia="Calibri"/>
                <w:i/>
                <w:i/>
                <w:sz w:val="24"/>
                <w:szCs w:val="24"/>
                <w:lang w:eastAsia="x-none"/>
              </w:rPr>
            </w:pPr>
            <w:r>
              <w:rPr>
                <w:rFonts w:eastAsia="Calibri"/>
                <w:bCs/>
                <w:sz w:val="26"/>
                <w:szCs w:val="26"/>
                <w:lang w:eastAsia="zh-CN"/>
              </w:rPr>
              <w:t>2.2-1000-5-ТК-200-8/2-РБ или эквивалент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  <w:t>Лента поставляется нарезанными отрезками согласно Таблица 1.1.</w:t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_RefHeading___Toc2205_1137777136"/>
      <w:bookmarkStart w:id="26" w:name="_Toc187745018"/>
      <w:bookmarkStart w:id="27" w:name="_Toc51339696"/>
      <w:bookmarkEnd w:id="25"/>
      <w:r>
        <w:rPr>
          <w:lang w:val="ru-RU"/>
        </w:rPr>
        <w:t xml:space="preserve">Требования </w:t>
      </w:r>
      <w:bookmarkEnd w:id="27"/>
      <w:r>
        <w:rPr>
          <w:lang w:val="ru-RU"/>
        </w:rPr>
        <w:t>к срокам поставки продукции и оказания сопутствующих услуг</w:t>
      </w:r>
      <w:bookmarkEnd w:id="26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8" w:name="__RefHeading___Toc2207_1137777136"/>
      <w:bookmarkStart w:id="29" w:name="_Toc187745019"/>
      <w:bookmarkStart w:id="30" w:name="_Toc51339697"/>
      <w:bookmarkStart w:id="31" w:name="_Toc50125127"/>
      <w:bookmarkStart w:id="32" w:name="_Toc50125126"/>
      <w:bookmarkEnd w:id="28"/>
      <w:bookmarkEnd w:id="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3" w:name="_Hlk50465284"/>
      <w:r>
        <w:rPr>
          <w:sz w:val="24"/>
          <w:szCs w:val="24"/>
        </w:rPr>
        <w:t xml:space="preserve">Требования по срокам </w:t>
      </w:r>
      <w:bookmarkEnd w:id="30"/>
      <w:bookmarkEnd w:id="31"/>
      <w:bookmarkEnd w:id="33"/>
      <w:r>
        <w:rPr>
          <w:sz w:val="24"/>
          <w:szCs w:val="24"/>
          <w:lang w:val="ru-RU"/>
        </w:rPr>
        <w:t>поставки продукции</w:t>
      </w:r>
      <w:bookmarkEnd w:id="29"/>
      <w:r>
        <w:rPr>
          <w:sz w:val="24"/>
          <w:szCs w:val="24"/>
          <w:lang w:val="ru-RU"/>
        </w:rPr>
        <w:t xml:space="preserve"> </w:t>
      </w:r>
    </w:p>
    <w:p>
      <w:pPr>
        <w:pStyle w:val="Normal"/>
        <w:widowControl w:val="false"/>
        <w:spacing w:before="0" w:after="240"/>
        <w:jc w:val="both"/>
        <w:rPr>
          <w:sz w:val="24"/>
          <w:szCs w:val="24"/>
        </w:rPr>
      </w:pPr>
      <w:r>
        <w:rPr>
          <w:sz w:val="24"/>
          <w:szCs w:val="24"/>
        </w:rPr>
        <w:t>Поставка оборудования осуществляется единовременно.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2549"/>
        <w:gridCol w:w="2980"/>
        <w:gridCol w:w="3115"/>
      </w:tblGrid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571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240"/>
              <w:jc w:val="both"/>
              <w:rPr>
                <w:rStyle w:val="Style8"/>
                <w:b w:val="false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6"/>
                <w:szCs w:val="26"/>
                <w:lang w:eastAsia="zh-CN"/>
              </w:rPr>
              <w:t>Транспортерная лента 2.2-1000-5-ТК-200-8/2-РБ или эквивалент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днем заключения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bookmarkStart w:id="34" w:name="_Toc46743510"/>
            <w:r>
              <w:rPr>
                <w:sz w:val="24"/>
                <w:szCs w:val="24"/>
              </w:rPr>
              <w:t>Не позднее 30.11.202</w:t>
            </w:r>
            <w:bookmarkEnd w:id="34"/>
            <w:r>
              <w:rPr>
                <w:sz w:val="24"/>
                <w:szCs w:val="24"/>
                <w:lang w:val="en-US"/>
              </w:rPr>
              <w:t>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5" w:name="__RefHeading___Toc2209_1137777136"/>
      <w:bookmarkStart w:id="36" w:name="_Toc51339698"/>
      <w:bookmarkStart w:id="37" w:name="_Toc187745020"/>
      <w:bookmarkStart w:id="38" w:name="_Toc46743511"/>
      <w:bookmarkEnd w:id="35"/>
      <w:r>
        <w:rPr/>
        <w:t xml:space="preserve">Требования к </w:t>
      </w:r>
      <w:bookmarkEnd w:id="38"/>
      <w:r>
        <w:rPr>
          <w:lang w:val="ru-RU"/>
        </w:rPr>
        <w:t>качеству продукции</w:t>
      </w:r>
      <w:bookmarkEnd w:id="37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bookmarkStart w:id="39" w:name="__RefHeading___Toc2211_1137777136"/>
      <w:bookmarkEnd w:id="39"/>
      <w:r>
        <w:rPr>
          <w:sz w:val="24"/>
          <w:szCs w:val="24"/>
        </w:rPr>
        <w:t xml:space="preserve"> </w:t>
      </w:r>
      <w:bookmarkStart w:id="40" w:name="_Toc18774502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продукции</w:t>
      </w:r>
      <w:bookmarkEnd w:id="40"/>
      <w:r>
        <w:rPr>
          <w:sz w:val="24"/>
          <w:szCs w:val="24"/>
        </w:rPr>
        <w:t xml:space="preserve"> </w:t>
      </w:r>
      <w:bookmarkEnd w:id="36"/>
      <w:r>
        <w:rPr>
          <w:rStyle w:val="Style8"/>
          <w:b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  <w:bookmarkStart w:id="41" w:name="_GoBack"/>
      <w:bookmarkStart w:id="42" w:name="_GoBack"/>
      <w:bookmarkEnd w:id="42"/>
    </w:p>
    <w:tbl>
      <w:tblPr>
        <w:tblStyle w:val="affff7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2125"/>
        <w:gridCol w:w="3402"/>
        <w:gridCol w:w="2261"/>
        <w:gridCol w:w="3262"/>
        <w:gridCol w:w="3406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2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2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523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2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2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продукции и параметры эквивалентности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Бывшая в употреблении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нет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ГОСТ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Соответствие </w:t>
            </w:r>
            <w:r>
              <w:rPr>
                <w:rFonts w:eastAsia="Calibri" w:cs="Times New Roman"/>
                <w:bCs/>
                <w:kern w:val="0"/>
                <w:sz w:val="26"/>
                <w:szCs w:val="26"/>
                <w:lang w:val="ru-RU" w:eastAsia="zh-CN" w:bidi="ar-SA"/>
              </w:rPr>
              <w:t>ГОСТ 20-2018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Ширина ленты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1000 мм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Температурный режим эксплуатации</w:t>
            </w:r>
          </w:p>
        </w:tc>
        <w:tc>
          <w:tcPr>
            <w:tcW w:w="34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Не хуже чем от — 45ºС до + 60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ºС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ленты</w:t>
            </w:r>
          </w:p>
        </w:tc>
        <w:tc>
          <w:tcPr>
            <w:tcW w:w="34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2, подтип 2.2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Толщина рабочей (верхней) обкладки, мм</w:t>
            </w:r>
          </w:p>
        </w:tc>
        <w:tc>
          <w:tcPr>
            <w:tcW w:w="34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8,0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Толщина нерабочей (нижней) обкладки, мм</w:t>
            </w:r>
          </w:p>
        </w:tc>
        <w:tc>
          <w:tcPr>
            <w:tcW w:w="34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2,0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Расчётная толщина ленты, мм</w:t>
            </w:r>
          </w:p>
        </w:tc>
        <w:tc>
          <w:tcPr>
            <w:tcW w:w="34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~15,0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борта</w:t>
            </w:r>
          </w:p>
        </w:tc>
        <w:tc>
          <w:tcPr>
            <w:tcW w:w="34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Резиновый (РБ)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ткани каркаса</w:t>
            </w:r>
          </w:p>
        </w:tc>
        <w:tc>
          <w:tcPr>
            <w:tcW w:w="34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ТК-200-2 (полиамидная)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прочность одной прокладки, Н/мм</w:t>
            </w:r>
          </w:p>
        </w:tc>
        <w:tc>
          <w:tcPr>
            <w:tcW w:w="34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200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прочность ленты (суммарная), Н/мм</w:t>
            </w:r>
          </w:p>
        </w:tc>
        <w:tc>
          <w:tcPr>
            <w:tcW w:w="340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1000 (200 × 5)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РФ, Саратовская область, г. Балаково, Саратовская ГЭС, центральный склад.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поставки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0"/>
              </w:numPr>
              <w:tabs>
                <w:tab w:val="clear" w:pos="708"/>
                <w:tab w:val="left" w:pos="313" w:leader="none"/>
              </w:tabs>
              <w:suppressAutoHyphens w:val="true"/>
              <w:spacing w:before="0" w:after="0"/>
              <w:ind w:hanging="0" w:left="3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Поставка, погрузка – разгрузка осуществляется силами и средствами и за счет Поставщика.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tabs>
                <w:tab w:val="clear" w:pos="708"/>
                <w:tab w:val="left" w:pos="313" w:leader="none"/>
              </w:tabs>
              <w:suppressAutoHyphens w:val="true"/>
              <w:spacing w:before="0" w:after="0"/>
              <w:ind w:hanging="0" w:left="3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Поставка производится единовременно на склад Грузополучателя в г. Балаково в рабочие дни с 8-00 до 12-00 и с 13-00 до 16-00 (по местному времени).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упаковке и консервации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1. Стоимость тары и упаковки включена в Цену Договора. Тара и упаковка возврату не подлежат.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2. 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хранения в упаковке изготовителя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12 месяцев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транспортирования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Вся продукция должна быть упакована, и защищена, надлежащим образом для транспортировки. Способ упаковки продукции должен отвечать требованиям Завода изготовителя и должен гарантировать, что при транспортировке лента не будет повреждена.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Упаковка продукции должна соответствовать способу транспортировки и выдерживать, без каких-либо ограничений, интенсивную подъёмно-транспортную обработку и воздействие экстремальных температур, соли, осадков во время транспортировки, а также открытого хранения. Поставщик несёт ответственность за качество упаковки.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продукции и представленных документов договору и техническим требованиям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Срок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гарантии на продукцию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на Товар должен соответствовать гарантии, заявленной производителем данного товара, но не менее 36 месяцев.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Указать значение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Дата изготовления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Поставляемый Товар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должны быть новыми, ранее не использованным, не бывшим в употреблении, не восстановленным после ремонта.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Согласие с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b w:val="false"/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Условия поставки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Заказчику относящиеся к ней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сертификаты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упаковочные листы, упаковочные ярлыки;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товарную накладную унифицированной формы ТОРГ-12 в 2 экз.;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оригинал счета;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прочим услугам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Применение эквивалентов закупаемой продукции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Эквивалентное оборудование должно обеспечивать выполнение таких же функций, характеристик и полноценную замену вышедших из строя оригинальных элементов оборудования, используемых Заказчиком, без дополнительных настроек совместимости. 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в отношении режима прохода на территорию заказчика и правила поведения на ней.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«Инструкцией о внутриобъектовом и пропускном режиме филиала ПАО «РусГидро»-«Саратовская ГЭС», приложение № 1 к настоящим ТТ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в отношении процедуры приемки товаров, поступающих на склад заказчика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Проведение входного контроля всего Товара по мере его поступления на ГЭС, проводится в соответствии с положением «О входном контроле материально-технических ресурсов Филиала ПАО «РусГидро» – «Саратовская ГЭС», утвержденное приказом Филиала ПАО «РусГидро» - «Саратовская ГЭС» №СарГЭС/94-639 от 06.12.2018 г., приложение № 2 к настоящим ТТ.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5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Дополнительные требования к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допускается поставка контрафактного оборудования и материаллов.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Применение национального режима</w:t>
            </w:r>
          </w:p>
        </w:tc>
        <w:tc>
          <w:tcPr>
            <w:tcW w:w="340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страну происхождения товара в коммерческом предложении , подготовленном по форме, установленной в ДоЗ</w:t>
            </w:r>
          </w:p>
        </w:tc>
        <w:tc>
          <w:tcPr>
            <w:tcW w:w="226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качестве подтверждения является указание номеров реестровых записей из реестра российской промышленной продукции или евразийского реестра промышленных товаров.</w:t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3"/>
        <w:numPr>
          <w:ilvl w:val="2"/>
          <w:numId w:val="3"/>
        </w:numPr>
        <w:ind w:hanging="556" w:left="1276"/>
        <w:rPr>
          <w:sz w:val="28"/>
          <w:lang w:val="ru-RU"/>
        </w:rPr>
      </w:pPr>
      <w:bookmarkStart w:id="43" w:name="__RefHeading___Toc2213_1137777136"/>
      <w:bookmarkStart w:id="44" w:name="_Hlk140587872"/>
      <w:bookmarkEnd w:id="43"/>
      <w:r>
        <w:rPr>
          <w:sz w:val="28"/>
        </w:rPr>
        <w:tab/>
      </w:r>
      <w:bookmarkStart w:id="45" w:name="_Toc187745022"/>
      <w:r>
        <w:rPr>
          <w:sz w:val="28"/>
        </w:rPr>
        <w:t>В составе заявки необходимо предоставить</w:t>
      </w:r>
      <w:r>
        <w:rPr>
          <w:sz w:val="28"/>
          <w:lang w:val="ru-RU"/>
        </w:rPr>
        <w:t>:</w:t>
      </w:r>
      <w:bookmarkEnd w:id="44"/>
      <w:bookmarkEnd w:id="4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Cs w:val="24"/>
        </w:rPr>
      </w:pPr>
      <w:r>
        <w:rPr>
          <w:bCs/>
          <w:szCs w:val="24"/>
        </w:rPr>
        <w:t>Для подтверждения соответствия заявленных характеристик и конструктива поставляемой продукции, требованиям настоящих ТТ, в составе заявки необходимо предоставить:</w:t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08"/>
          <w:tab w:val="left" w:pos="426" w:leader="none"/>
        </w:tabs>
        <w:spacing w:before="120" w:after="240"/>
        <w:contextualSpacing/>
        <w:jc w:val="both"/>
        <w:rPr>
          <w:bCs/>
          <w:sz w:val="28"/>
        </w:rPr>
      </w:pPr>
      <w:r>
        <w:rPr>
          <w:bCs/>
          <w:sz w:val="28"/>
        </w:rPr>
        <w:t>Техническое предложение, подготовленное в соответствии с настоящими ТТ по форме, представленной в документации о закупке;</w:t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120" w:after="240"/>
        <w:contextualSpacing/>
        <w:jc w:val="both"/>
        <w:rPr>
          <w:bCs/>
          <w:sz w:val="28"/>
        </w:rPr>
      </w:pPr>
      <w:r>
        <w:rPr>
          <w:bCs/>
          <w:sz w:val="28"/>
        </w:rPr>
      </w:r>
    </w:p>
    <w:p>
      <w:pPr>
        <w:sectPr>
          <w:headerReference w:type="default" r:id="rId7"/>
          <w:headerReference w:type="first" r:id="rId8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tabs>
          <w:tab w:val="clear" w:pos="708"/>
          <w:tab w:val="left" w:pos="1267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46" w:name="__RefHeading___Toc2215_1137777136"/>
      <w:bookmarkStart w:id="47" w:name="_Toc187745023"/>
      <w:bookmarkStart w:id="48" w:name="_Toc53393312"/>
      <w:bookmarkEnd w:id="46"/>
      <w:r>
        <w:rPr>
          <w:lang w:val="ru-RU"/>
        </w:rPr>
        <w:t>Требования к документации по ценообразованию</w:t>
      </w:r>
      <w:bookmarkEnd w:id="48"/>
      <w:r>
        <w:rPr>
          <w:lang w:val="ru-RU"/>
        </w:rPr>
        <w:t xml:space="preserve"> на этапе закупки</w:t>
      </w:r>
      <w:bookmarkEnd w:id="47"/>
    </w:p>
    <w:p>
      <w:pPr>
        <w:pStyle w:val="Normal"/>
        <w:numPr>
          <w:ilvl w:val="1"/>
          <w:numId w:val="9"/>
        </w:numPr>
        <w:ind w:firstLine="709" w:left="0"/>
        <w:rPr>
          <w:bCs/>
          <w:iCs/>
        </w:rPr>
      </w:pPr>
      <w:r>
        <w:rPr>
          <w:bCs/>
          <w:iCs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49" w:name="_Hlk88325985"/>
      <w:r>
        <w:rPr>
          <w:bCs/>
          <w:iCs/>
        </w:rPr>
        <w:t>(с учетом прилагаемой к ней инструкции по заполнению)</w:t>
      </w:r>
      <w:bookmarkStart w:id="50" w:name="_Hlk88327292"/>
      <w:bookmarkEnd w:id="49"/>
      <w:r>
        <w:rPr>
          <w:bCs/>
          <w:iCs/>
        </w:rPr>
        <w:t>, приведенной в Документации о закупке.</w:t>
      </w:r>
    </w:p>
    <w:p>
      <w:pPr>
        <w:pStyle w:val="Normal"/>
        <w:numPr>
          <w:ilvl w:val="1"/>
          <w:numId w:val="9"/>
        </w:numPr>
        <w:ind w:firstLine="709" w:left="0"/>
        <w:rPr>
          <w:iCs/>
        </w:rPr>
      </w:pPr>
      <w:r>
        <w:rPr>
          <w:bCs/>
          <w:iCs/>
        </w:rPr>
        <w:t>Дополнительные документы по ценообразованию</w:t>
      </w:r>
      <w:bookmarkEnd w:id="50"/>
      <w:r>
        <w:rPr>
          <w:bCs/>
          <w:iCs/>
        </w:rPr>
        <w:t xml:space="preserve"> в состав заявки не включаются.</w:t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</w:rPr>
      </w:pPr>
      <w:bookmarkStart w:id="51" w:name="__RefHeading___Toc2217_1137777136"/>
      <w:bookmarkStart w:id="52" w:name="_Toc51339699"/>
      <w:bookmarkStart w:id="53" w:name="_Toc46743519"/>
      <w:bookmarkStart w:id="54" w:name="_Toc187745024"/>
      <w:bookmarkEnd w:id="51"/>
      <w:r>
        <w:rPr>
          <w:iCs/>
        </w:rPr>
        <w:t>Приложения</w:t>
      </w:r>
      <w:bookmarkEnd w:id="52"/>
      <w:bookmarkEnd w:id="53"/>
      <w:bookmarkEnd w:id="54"/>
    </w:p>
    <w:p>
      <w:pPr>
        <w:pStyle w:val="Normal"/>
        <w:ind w:firstLine="709"/>
        <w:jc w:val="both"/>
        <w:rPr>
          <w:szCs w:val="24"/>
        </w:rPr>
      </w:pPr>
      <w:r>
        <w:rPr>
          <w:szCs w:val="24"/>
        </w:rPr>
        <w:t>Приложение №1: «Положение о пропускном и внутриобъектовом режимах филиала ПАО «РусГидро»-«Саратовская ГЭС».</w:t>
      </w:r>
    </w:p>
    <w:p>
      <w:pPr>
        <w:pStyle w:val="Normal"/>
        <w:ind w:firstLine="709"/>
        <w:jc w:val="both"/>
        <w:rPr>
          <w:szCs w:val="24"/>
        </w:rPr>
      </w:pPr>
      <w:r>
        <w:rPr>
          <w:szCs w:val="24"/>
        </w:rPr>
        <w:t>Приложение №2: Положение «О входном контроле материально-технических ресурсов Филиала ПАО «РусГидро» - «Саратовская ГЭС», утвержденное приказом Филиала ПАО «РусГидро» - «Саратовская ГЭС» № СарГЭС/94-639 от 06.12.2018 г.</w:t>
      </w:r>
    </w:p>
    <w:p>
      <w:pPr>
        <w:pStyle w:val="Normal"/>
        <w:ind w:firstLine="709"/>
        <w:jc w:val="both"/>
        <w:rPr>
          <w:szCs w:val="24"/>
        </w:rPr>
      </w:pPr>
      <w:r>
        <w:rPr>
          <w:szCs w:val="24"/>
        </w:rPr>
        <w:t>Приложение №3: «Основные технические данные и характеристики электродвигателя АО3-400S-6У2».</w:t>
      </w:r>
    </w:p>
    <w:p>
      <w:pPr>
        <w:pStyle w:val="Normal"/>
        <w:ind w:firstLine="709"/>
        <w:jc w:val="both"/>
        <w:rPr>
          <w:szCs w:val="24"/>
        </w:rPr>
      </w:pPr>
      <w:r>
        <w:rPr>
          <w:szCs w:val="24"/>
        </w:rPr>
        <w:t>Приложение №4: «Габаритные, установочные, присоединительные размеры электродвигателя»;</w:t>
      </w:r>
    </w:p>
    <w:p>
      <w:pPr>
        <w:pStyle w:val="Normal"/>
        <w:ind w:firstLine="709"/>
        <w:jc w:val="both"/>
        <w:rPr>
          <w:szCs w:val="24"/>
          <w:lang w:val="en-US"/>
        </w:rPr>
      </w:pPr>
      <w:r>
        <w:rPr>
          <w:szCs w:val="24"/>
        </w:rPr>
        <w:t>Приложение № 5 «</w:t>
      </w:r>
      <w:r>
        <w:rPr>
          <w:szCs w:val="24"/>
          <w:lang w:val="en-US"/>
        </w:rPr>
        <w:t>Таблица параметров эквивалентности</w:t>
      </w:r>
      <w:r>
        <w:rPr>
          <w:szCs w:val="24"/>
        </w:rPr>
        <w:t>»</w:t>
      </w:r>
      <w:r>
        <w:rPr>
          <w:szCs w:val="24"/>
          <w:lang w:val="en-US"/>
        </w:rPr>
        <w:t>.</w:t>
      </w:r>
    </w:p>
    <w:p>
      <w:pPr>
        <w:pStyle w:val="Normal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9"/>
      <w:headerReference w:type="first" r:id="rId10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43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9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5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2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6d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<Relationship Id="rId16" Type="http://schemas.openxmlformats.org/officeDocument/2006/relationships/customXml" Target="../customXml/item2.xml"/><Relationship Id="rId17" Type="http://schemas.openxmlformats.org/officeDocument/2006/relationships/customXml" Target="../customXml/item3.xml"/><Relationship Id="rId18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E6183A76AE1B9479D13E692560BA3A1" ma:contentTypeVersion="1" ma:contentTypeDescription="Создание документа." ma:contentTypeScope="" ma:versionID="fe9656d68f00400e483b82b86049f42a">
  <xsd:schema xmlns:xsd="http://www.w3.org/2001/XMLSchema" xmlns:xs="http://www.w3.org/2001/XMLSchema" xmlns:p="http://schemas.microsoft.com/office/2006/metadata/properties" xmlns:ns2="e20b8c0d-372d-4424-b649-01a7cb84bca0" targetNamespace="http://schemas.microsoft.com/office/2006/metadata/properties" ma:root="true" ma:fieldsID="6ef416ee02a1e34638b763bf9babf4c8" ns2:_="">
    <xsd:import namespace="e20b8c0d-372d-4424-b649-01a7cb84bca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b8c0d-372d-4424-b649-01a7cb84bc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3CA7C-84AF-4DA4-A133-D2193755E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b8c0d-372d-4424-b649-01a7cb84b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830907-B5C2-460F-9008-880C6B7AB7E2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e20b8c0d-372d-4424-b649-01a7cb84bca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DE5C302-3A04-4DDA-A661-E5E2C6D67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B88C39-DE52-4BFF-B259-AA6396BE5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Application>AlterOffice/2026.2.0.0$Linux_X86_64 LibreOffice_project/bc4ef1adf80b36c7a6365f8ed6cbf29021361edd</Application>
  <AppVersion>15.0000</AppVersion>
  <Pages>12</Pages>
  <Words>1160</Words>
  <Characters>7786</Characters>
  <CharactersWithSpaces>8701</CharactersWithSpaces>
  <Paragraphs>252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2025-05-29T14:30:00Z</dcterms:created>
  <dc:creator>Быстров Олег Геннадьевич</dc:creator>
  <dc:description/>
  <dc:language>ru-RU</dc:language>
  <cp:lastModifiedBy>stepanovals@corp.gidroogk.com</cp:lastModifiedBy>
  <cp:lastPrinted>2006-07-26T14:04:00Z</cp:lastPrinted>
  <dcterms:modified xsi:type="dcterms:W3CDTF">2026-09-15T16:02:47Z</dcterms:modified>
  <cp:revision>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0x0101002E6183A76AE1B9479D13E692560BA3A1</vt:lpwstr>
  </property>
</Properties>
</file>