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header9.xml" ContentType="application/vnd.openxmlformats-officedocument.wordprocessingml.header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theme/theme1.xml" ContentType="application/vnd.openxmlformats-officedocument.theme+xml"/>
  <Override PartName="/word/header8.xml" ContentType="application/vnd.openxmlformats-officedocument.wordprocessingml.header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keepNext w:val="false"/>
        <w:keepLines w:val="false"/>
        <w:widowControl/>
        <w:pBdr/>
        <w:suppressAutoHyphens w:val="true"/>
        <w:kinsoku w:val="true"/>
        <w:overflowPunct w:val="true"/>
        <w:autoSpaceDE w:val="true"/>
        <w:bidi w:val="0"/>
        <w:snapToGrid w:val="false"/>
        <w:spacing w:lineRule="auto" w:line="240" w:before="0" w:after="0"/>
        <w:ind w:hanging="0" w:left="-108" w:right="-108"/>
        <w:jc w:val="center"/>
        <w:textAlignment w:val="baseline"/>
        <w:rPr>
          <w:rFonts w:eastAsia="Calibri"/>
          <w:b/>
          <w:sz w:val="32"/>
          <w:szCs w:val="32"/>
        </w:rPr>
      </w:pPr>
      <w:r>
        <w:rPr>
          <w:rStyle w:val="Style15"/>
          <w:rFonts w:eastAsia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ОКПД2 29.32.30 Поставка запасных частей для автотракторной и грузовой техники под ремонтные работы для нужд филиала АО "ДРСК" "Хабаровские электрические сети" (Хабаровск)</w:t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widowControl/>
        <w:suppressAutoHyphens w:val="true"/>
        <w:bidi w:val="0"/>
        <w:spacing w:before="0" w:after="0"/>
        <w:jc w:val="center"/>
        <w:rPr>
          <w:rFonts w:eastAsia="Calibri"/>
          <w:b/>
          <w:sz w:val="32"/>
          <w:szCs w:val="32"/>
        </w:rPr>
      </w:pPr>
      <w:r>
        <w:rPr>
          <w:rFonts w:eastAsia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Лот №</w:t>
      </w:r>
      <w:bookmarkStart w:id="0" w:name="__DdeLink__23457_1010180630"/>
      <w:r>
        <w:rPr>
          <w:rStyle w:val="Style15"/>
          <w:rFonts w:eastAsia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26201-ЭКСП ПРОД-2027-ДРСК-ХЭС</w:t>
      </w:r>
      <w:bookmarkEnd w:id="0"/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  <w:bookmarkStart w:id="1" w:name="_GoBack"/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  <w:rFonts w:eastAsia="Calibri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  <w:rFonts w:eastAsia="Calibri"/>
            </w:rPr>
            <w:fldChar w:fldCharType="separate"/>
          </w:r>
          <w:hyperlink w:anchor="_Toc211933692">
            <w:bookmarkEnd w:id="1"/>
            <w:r>
              <w:rPr>
                <w:webHidden/>
                <w:rStyle w:val="Style14"/>
                <w:rFonts w:eastAsia="Calibri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_Toc211933692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1933693">
            <w:r>
              <w:rPr>
                <w:webHidden/>
                <w:rStyle w:val="Style14"/>
                <w:rFonts w:eastAsia="Calibri"/>
                <w:iCs/>
                <w:vanish w:val="false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_Toc211933693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1933694">
            <w:r>
              <w:rPr>
                <w:webHidden/>
                <w:rStyle w:val="Style14"/>
                <w:rFonts w:eastAsia="Calibri"/>
                <w:iCs/>
                <w:vanish w:val="false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_Toc211933694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1933695">
            <w:r>
              <w:rPr>
                <w:webHidden/>
                <w:rStyle w:val="Style14"/>
                <w:rFonts w:eastAsia="Calibri"/>
                <w:iCs/>
                <w:vanish w:val="false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Цель использования закупаемой продукции: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_Toc211933695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1933696">
            <w:r>
              <w:rPr>
                <w:webHidden/>
                <w:rStyle w:val="Style14"/>
                <w:rFonts w:eastAsia="Calibri" w:ascii="Liberation Serif" w:hAnsi="Liberation Serif"/>
                <w:vanish w:val="false"/>
              </w:rPr>
              <w:t>Для замены находившихся в эксплуатации деталей (узлов, агрегатов) с целью поддержания или восстановления исправного или работоспособного состояния техники.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_Toc211933696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11933697">
            <w:r>
              <w:rPr>
                <w:webHidden/>
                <w:rStyle w:val="Style14"/>
                <w:rFonts w:eastAsia="Calibri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1933698">
            <w:r>
              <w:rPr>
                <w:webHidden/>
                <w:rStyle w:val="Style14"/>
                <w:rFonts w:eastAsia="Calibri"/>
                <w:iCs/>
                <w:vanish w:val="false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_Toc211933698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1933699">
            <w:r>
              <w:rPr>
                <w:webHidden/>
                <w:rStyle w:val="Style14"/>
                <w:rFonts w:eastAsia="Calibri"/>
                <w:vanish w:val="false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_Toc211933699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11933700">
            <w:r>
              <w:rPr>
                <w:webHidden/>
                <w:rStyle w:val="Style14"/>
                <w:rFonts w:eastAsia="Calibri"/>
                <w:vanish w:val="false"/>
              </w:rPr>
              <w:t>Таблица 1.1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_Toc211933700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11933701">
            <w:r>
              <w:rPr>
                <w:webHidden/>
                <w:rStyle w:val="Style14"/>
                <w:rFonts w:eastAsia="Calibri"/>
                <w:vanish w:val="false"/>
              </w:rPr>
              <w:t>Таблица 1.2 Перечень и объем закупаемых сопутствующих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_Toc211933701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1933702">
            <w:r>
              <w:rPr>
                <w:webHidden/>
                <w:rStyle w:val="Style14"/>
                <w:rFonts w:eastAsia="Calibri"/>
                <w:vanish w:val="false"/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Требования к срокам поставки продукции и оказания сопутствующих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_Toc211933702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11933703">
            <w:r>
              <w:rPr>
                <w:webHidden/>
                <w:rStyle w:val="Style14"/>
                <w:rFonts w:eastAsia="Calibri"/>
                <w:vanish w:val="false"/>
              </w:rPr>
              <w:t>Таблица 2.1 Требования по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_Toc211933703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11933704">
            <w:r>
              <w:rPr>
                <w:webHidden/>
                <w:rStyle w:val="Style14"/>
                <w:rFonts w:eastAsia="Calibri"/>
                <w:vanish w:val="false"/>
              </w:rPr>
              <w:t>Таблица 2.2 Требования по срокам оказания сопутствующих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_Toc211933704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1933705">
            <w:r>
              <w:rPr>
                <w:webHidden/>
                <w:rStyle w:val="Style14"/>
                <w:rFonts w:eastAsia="Calibri"/>
                <w:iCs/>
                <w:vanish w:val="false"/>
              </w:rPr>
              <w:t>2.2.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_Toc211933705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11933706">
            <w:r>
              <w:rPr>
                <w:webHidden/>
                <w:rStyle w:val="Style14"/>
                <w:rFonts w:eastAsia="Calibri"/>
                <w:vanish w:val="false"/>
              </w:rPr>
              <w:t>Таблица 3. 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_Toc211933706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11933707">
            <w:r>
              <w:rPr>
                <w:webHidden/>
                <w:rStyle w:val="Style14"/>
                <w:rFonts w:eastAsia="Calibri"/>
                <w:vanish w:val="false"/>
              </w:rPr>
              <w:t>9. 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_Toc211933707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11933708">
            <w:r>
              <w:rPr>
                <w:webHidden/>
                <w:rStyle w:val="Style14"/>
                <w:rFonts w:eastAsia="Calibri"/>
                <w:caps/>
                <w:vanish w:val="false"/>
              </w:rPr>
              <w:t>Приложение 1 к техническим требованиям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_Toc211933708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17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right" w:pos="9921" w:leader="dot"/>
        </w:tabs>
        <w:rPr/>
      </w:pPr>
      <w:r>
        <w:rPr/>
      </w:r>
    </w:p>
    <w:p>
      <w:pPr>
        <w:pStyle w:val="TOC1"/>
        <w:tabs>
          <w:tab w:val="clear" w:pos="708"/>
          <w:tab w:val="right" w:pos="9921" w:leader="dot"/>
        </w:tabs>
        <w:rPr/>
      </w:pPr>
      <w:r>
        <w:rPr/>
      </w:r>
    </w:p>
    <w:p>
      <w:pPr>
        <w:pStyle w:val="Heading2"/>
        <w:tabs>
          <w:tab w:val="clear" w:pos="0"/>
        </w:tabs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2" w:name="_Toc211862524"/>
      <w:bookmarkStart w:id="3" w:name="_Toc75446566"/>
      <w:bookmarkStart w:id="4" w:name="_Toc51339692"/>
      <w:bookmarkStart w:id="5" w:name="_Toc211933692"/>
      <w:r>
        <w:rPr>
          <w:lang w:val="ru-RU"/>
        </w:rPr>
        <w:t>Общие сведения</w:t>
      </w:r>
      <w:bookmarkEnd w:id="2"/>
      <w:bookmarkEnd w:id="3"/>
      <w:bookmarkEnd w:id="4"/>
      <w:bookmarkEnd w:id="5"/>
    </w:p>
    <w:p>
      <w:pPr>
        <w:pStyle w:val="Heading4"/>
        <w:numPr>
          <w:ilvl w:val="1"/>
          <w:numId w:val="3"/>
        </w:numPr>
        <w:rPr/>
      </w:pPr>
      <w:bookmarkStart w:id="6" w:name="_Toc211862525"/>
      <w:bookmarkStart w:id="7" w:name="_Toc75446567"/>
      <w:bookmarkStart w:id="8" w:name="_Toc46743505"/>
      <w:bookmarkStart w:id="9" w:name="_Toc211933693"/>
      <w:r>
        <w:rPr/>
        <w:t>Обозначения и сокращения</w:t>
      </w:r>
      <w:bookmarkEnd w:id="6"/>
      <w:bookmarkEnd w:id="7"/>
      <w:bookmarkEnd w:id="8"/>
      <w:bookmarkEnd w:id="9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trHeight w:val="218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ЗМЗ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Заволжский моторный завод</w:t>
            </w:r>
          </w:p>
        </w:tc>
      </w:tr>
      <w:tr>
        <w:trPr>
          <w:trHeight w:val="218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ЧЗА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Чебоксарский завод автокомпонентов</w:t>
            </w:r>
          </w:p>
        </w:tc>
      </w:tr>
      <w:tr>
        <w:trPr>
          <w:trHeight w:val="218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б/а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Без артикула</w:t>
            </w:r>
          </w:p>
        </w:tc>
      </w:tr>
      <w:tr>
        <w:trPr>
          <w:trHeight w:val="218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ШРУС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Шарнир равных угловых скоростей</w:t>
            </w:r>
          </w:p>
        </w:tc>
      </w:tr>
      <w:tr>
        <w:trPr>
          <w:trHeight w:val="218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КПП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Коробка перемены передач</w:t>
            </w:r>
          </w:p>
        </w:tc>
      </w:tr>
      <w:tr>
        <w:trPr>
          <w:trHeight w:val="218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KYB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Kayaba Industry Company (Япония)</w:t>
            </w:r>
          </w:p>
        </w:tc>
      </w:tr>
      <w:tr>
        <w:trPr>
          <w:trHeight w:val="218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CTR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Central Corporation (Ю. Корея)</w:t>
            </w:r>
          </w:p>
        </w:tc>
      </w:tr>
      <w:tr>
        <w:trPr>
          <w:trHeight w:val="218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ГРМ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Газораспределительный механизм</w:t>
            </w:r>
          </w:p>
        </w:tc>
      </w:tr>
      <w:tr>
        <w:trPr>
          <w:trHeight w:val="317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ММЗ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Минский моторный завод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rPr/>
      </w:pPr>
      <w:bookmarkStart w:id="10" w:name="_Toc211862526"/>
      <w:bookmarkStart w:id="11" w:name="_Toc211933694"/>
      <w:r>
        <w:rPr/>
        <w:t>Н</w:t>
      </w:r>
      <w:bookmarkStart w:id="12" w:name="_Toc46743506"/>
      <w:bookmarkStart w:id="13" w:name="_Toc75446568"/>
      <w:r>
        <w:rPr/>
        <w:t>аименование закупаемой продукции</w:t>
      </w:r>
      <w:bookmarkEnd w:id="10"/>
      <w:bookmarkEnd w:id="11"/>
      <w:bookmarkEnd w:id="12"/>
      <w:bookmarkEnd w:id="1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rStyle w:val="Style8"/>
          <w:b w:val="false"/>
          <w:bCs/>
          <w:sz w:val="24"/>
          <w:szCs w:val="24"/>
        </w:rPr>
      </w:pPr>
      <w:r>
        <w:rPr>
          <w:rFonts w:eastAsia="Calibri"/>
          <w:i/>
          <w:sz w:val="24"/>
          <w:szCs w:val="24"/>
          <w:lang w:eastAsia="x-none"/>
        </w:rPr>
        <w:t>«</w:t>
      </w:r>
      <w:r>
        <w:rPr>
          <w:rFonts w:eastAsia="Calibri"/>
          <w:b/>
          <w:i/>
          <w:iCs/>
          <w:color w:val="000000"/>
          <w:sz w:val="22"/>
          <w:szCs w:val="22"/>
          <w:lang w:eastAsia="en-US"/>
        </w:rPr>
        <w:t>Запасные части для специальной и тракторной техники</w:t>
      </w:r>
      <w:r>
        <w:rPr>
          <w:rFonts w:eastAsia="Calibri"/>
          <w:i/>
          <w:sz w:val="24"/>
          <w:szCs w:val="24"/>
          <w:lang w:eastAsia="x-none"/>
        </w:rPr>
        <w:t>»</w:t>
      </w:r>
      <w:r>
        <w:rPr>
          <w:rFonts w:eastAsia="Calibri"/>
          <w:i/>
          <w:lang w:eastAsia="x-none"/>
        </w:rPr>
        <w:br/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14" w:name="_Toc75446569"/>
      <w:bookmarkStart w:id="15" w:name="_Toc211862527"/>
      <w:bookmarkStart w:id="16" w:name="_Toc211933695"/>
      <w:bookmarkStart w:id="17" w:name="_Toc46743507"/>
      <w:r>
        <w:rPr/>
        <w:t xml:space="preserve">Цель </w:t>
      </w:r>
      <w:bookmarkEnd w:id="17"/>
      <w:r>
        <w:rPr>
          <w:lang w:val="ru-RU"/>
        </w:rPr>
        <w:t>использования закупаемой продукции:</w:t>
      </w:r>
      <w:bookmarkEnd w:id="15"/>
      <w:bookmarkEnd w:id="16"/>
      <w:r>
        <w:rPr>
          <w:lang w:val="ru-RU"/>
        </w:rPr>
        <w:t xml:space="preserve"> </w:t>
      </w:r>
      <w:bookmarkEnd w:id="14"/>
    </w:p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  <w:pStyle w:val="Heading4"/>
        <w:tabs>
          <w:tab w:val="clear" w:pos="0"/>
        </w:tabs>
        <w:spacing w:before="240" w:after="60"/>
        <w:ind w:hanging="0" w:left="431"/>
        <w:rPr/>
      </w:pPr>
      <w:bookmarkStart w:id="18" w:name="_Toc211933696"/>
      <w:bookmarkStart w:id="19" w:name="_Toc211862528"/>
      <w:r>
        <w:rPr>
          <w:rFonts w:ascii="Liberation Serif" w:hAnsi="Liberation Serif"/>
          <w:sz w:val="26"/>
          <w:szCs w:val="26"/>
          <w:lang w:val="ru-RU"/>
        </w:rPr>
        <w:t>Для замены находившихся в эксплуатации деталей (узлов, агрегатов) с целью поддержания или восстановления исправного или работоспособного состояния т</w:t>
      </w:r>
      <w:bookmarkEnd w:id="19"/>
      <w:r>
        <w:rPr>
          <w:rFonts w:ascii="Liberation Serif" w:hAnsi="Liberation Serif"/>
          <w:sz w:val="26"/>
          <w:szCs w:val="26"/>
          <w:lang w:val="ru-RU"/>
        </w:rPr>
        <w:t>е</w:t>
      </w:r>
      <w:bookmarkEnd w:id="18"/>
      <w:r>
        <w:rPr>
          <w:rFonts w:ascii="Liberation Serif" w:hAnsi="Liberation Serif"/>
          <w:sz w:val="26"/>
          <w:szCs w:val="26"/>
          <w:lang w:val="ru-RU"/>
        </w:rPr>
        <w:t>хники.</w:t>
      </w:r>
    </w:p>
    <w:p>
      <w:pPr>
        <w:pStyle w:val="Normal"/>
        <w:ind w:hanging="0" w:left="432"/>
        <w:rPr>
          <w:bCs/>
          <w:sz w:val="24"/>
          <w:szCs w:val="24"/>
        </w:rPr>
      </w:pPr>
      <w:r>
        <w:rPr>
          <w:bCs/>
          <w:sz w:val="24"/>
          <w:szCs w:val="24"/>
        </w:rPr>
      </w:r>
      <w:bookmarkStart w:id="20" w:name="_Toc50125126"/>
      <w:bookmarkStart w:id="21" w:name="_Toc46743510"/>
      <w:bookmarkStart w:id="22" w:name="_Toc50125126"/>
      <w:bookmarkStart w:id="23" w:name="_Toc46743510"/>
      <w:bookmarkEnd w:id="22"/>
      <w:bookmarkEnd w:id="23"/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24" w:name="_Toc211862529"/>
      <w:bookmarkStart w:id="25" w:name="_Toc75446573"/>
      <w:bookmarkStart w:id="26" w:name="_Toc51339693"/>
      <w:bookmarkStart w:id="27" w:name="_Toc211933697"/>
      <w:r>
        <w:rPr>
          <w:iCs/>
        </w:rPr>
        <w:t>Требования к продукции</w:t>
      </w:r>
      <w:bookmarkEnd w:id="24"/>
      <w:bookmarkEnd w:id="25"/>
      <w:bookmarkEnd w:id="26"/>
      <w:bookmarkEnd w:id="27"/>
    </w:p>
    <w:p>
      <w:pPr>
        <w:pStyle w:val="Heading4"/>
        <w:numPr>
          <w:ilvl w:val="1"/>
          <w:numId w:val="3"/>
        </w:numPr>
        <w:rPr/>
      </w:pPr>
      <w:bookmarkStart w:id="28" w:name="_Toc211862530"/>
      <w:bookmarkStart w:id="29" w:name="_Toc75446574"/>
      <w:bookmarkStart w:id="30" w:name="_Toc211933698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28"/>
      <w:bookmarkEnd w:id="29"/>
      <w:bookmarkEnd w:id="30"/>
    </w:p>
    <w:p>
      <w:pPr>
        <w:pStyle w:val="Heading3"/>
        <w:numPr>
          <w:ilvl w:val="2"/>
          <w:numId w:val="3"/>
        </w:numPr>
        <w:rPr/>
      </w:pPr>
      <w:bookmarkStart w:id="31" w:name="_Toc211862531"/>
      <w:bookmarkStart w:id="32" w:name="_Toc75446575"/>
      <w:bookmarkStart w:id="33" w:name="_Toc211933699"/>
      <w:r>
        <w:rPr>
          <w:lang w:val="ru-RU"/>
        </w:rPr>
        <w:t>Перечень и объем закупаемой продукции</w:t>
      </w:r>
      <w:bookmarkEnd w:id="31"/>
      <w:bookmarkEnd w:id="32"/>
      <w:bookmarkEnd w:id="33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34" w:name="_Toc211862532"/>
      <w:bookmarkStart w:id="35" w:name="_Toc75446576"/>
      <w:bookmarkStart w:id="36" w:name="_Toc211933700"/>
      <w:bookmarkStart w:id="37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37"/>
      <w:r>
        <w:rPr>
          <w:sz w:val="24"/>
          <w:szCs w:val="24"/>
          <w:lang w:val="ru-RU"/>
        </w:rPr>
        <w:t>и объем закупаемой продукции</w:t>
      </w:r>
      <w:bookmarkEnd w:id="34"/>
      <w:bookmarkEnd w:id="35"/>
      <w:bookmarkEnd w:id="36"/>
    </w:p>
    <w:p>
      <w:pPr>
        <w:pStyle w:val="Normal"/>
        <w:ind w:hanging="0" w:left="-142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tbl>
      <w:tblPr>
        <w:tblW w:w="14659" w:type="dxa"/>
        <w:jc w:val="left"/>
        <w:tblInd w:w="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15"/>
        <w:gridCol w:w="2385"/>
        <w:gridCol w:w="6355"/>
        <w:gridCol w:w="2209"/>
        <w:gridCol w:w="1812"/>
        <w:gridCol w:w="1282"/>
      </w:tblGrid>
      <w:tr>
        <w:trPr>
          <w:trHeight w:val="416" w:hRule="atLeast"/>
        </w:trPr>
        <w:tc>
          <w:tcPr>
            <w:tcW w:w="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№ 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>п/п</w:t>
            </w:r>
          </w:p>
        </w:tc>
        <w:tc>
          <w:tcPr>
            <w:tcW w:w="140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Требование Заказчика</w:t>
            </w:r>
            <w:r>
              <w:rPr>
                <w:rFonts w:ascii="Liberation Serif" w:hAnsi="Liberation Serif"/>
                <w:b/>
                <w:color w:val="FF0000"/>
                <w:sz w:val="22"/>
                <w:szCs w:val="22"/>
              </w:rPr>
              <w:t>*</w:t>
            </w:r>
          </w:p>
        </w:tc>
      </w:tr>
      <w:tr>
        <w:trPr>
          <w:trHeight w:val="490" w:hRule="atLeast"/>
        </w:trPr>
        <w:tc>
          <w:tcPr>
            <w:tcW w:w="6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Артикул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i/>
                <w:iCs/>
                <w:sz w:val="22"/>
                <w:szCs w:val="22"/>
              </w:rPr>
              <w:t>Наименование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rFonts w:ascii="Liberation Serif" w:hAnsi="Liberation Serif"/>
                <w:b/>
                <w:bCs/>
                <w:i/>
                <w:iCs/>
                <w:sz w:val="22"/>
                <w:szCs w:val="22"/>
              </w:rPr>
              <w:t>Эквивалент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Arial Unicode MS" w:ascii="Liberation Serif" w:hAnsi="Liberation Serif"/>
                <w:b/>
                <w:bCs/>
                <w:sz w:val="22"/>
                <w:szCs w:val="22"/>
              </w:rPr>
              <w:t>Ед.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Arial Unicode MS" w:ascii="Liberation Serif" w:hAnsi="Liberation Serif"/>
                <w:b/>
                <w:bCs/>
                <w:i/>
                <w:iCs/>
                <w:sz w:val="22"/>
                <w:szCs w:val="22"/>
              </w:rPr>
              <w:t>измер.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Кол-во.</w:t>
            </w:r>
          </w:p>
        </w:tc>
      </w:tr>
      <w:tr>
        <w:trPr>
          <w:trHeight w:val="150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Liberation Serif" w:hAnsi="Liberation Serif"/>
                <w:sz w:val="22"/>
                <w:szCs w:val="22"/>
              </w:rPr>
              <w:t>2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Liberation Serif" w:hAnsi="Liberation Serif"/>
                <w:sz w:val="22"/>
                <w:szCs w:val="22"/>
              </w:rPr>
              <w:t>3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Arial Unicode MS" w:ascii="Liberation Serif" w:hAnsi="Liberation Serif"/>
                <w:sz w:val="22"/>
                <w:szCs w:val="22"/>
              </w:rPr>
              <w:t>4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Liberation Serif" w:hAnsi="Liberation Serif"/>
                <w:sz w:val="22"/>
                <w:szCs w:val="22"/>
              </w:rPr>
              <w:t>5</w:t>
            </w:r>
          </w:p>
        </w:tc>
      </w:tr>
      <w:tr>
        <w:trPr>
          <w:trHeight w:val="351" w:hRule="atLeast"/>
        </w:trPr>
        <w:tc>
          <w:tcPr>
            <w:tcW w:w="146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филиал АО «ДРСК» «Хабаровские электрические сети» 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СП «Центральные электрически сети) г. Хабаровск</w:t>
            </w:r>
          </w:p>
        </w:tc>
      </w:tr>
      <w:tr>
        <w:trPr>
          <w:trHeight w:val="269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928400844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Блок дозировочный ТНВД 0928400844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,000</w:t>
            </w:r>
          </w:p>
        </w:tc>
      </w:tr>
      <w:tr>
        <w:trPr>
          <w:trHeight w:val="28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33036-2203010-10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Вал 33036-2203010-10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27057.2201010 ГАЗ (шрусовый 6 болтов)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Вал карданный 27057.2201010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33097-2201010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Вал карданный 33097-2201010 1360мм ГАЗ,ПАЗ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53205-2201011-10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Вал карданный заднего моста 53205-2201011-10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2206-2201010-10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Вал карданный задний 2206-2201010-10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22177.2201010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Вал карданный задний 22177.2201010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27527-5022382-1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Вал карданный задний 27527-5022382-1 ГАЗ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27527-5022382-1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Вал карданный задний 27527-5022382-1 ГАЗ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43114-2203011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Вал карданный моста переднего 43114-2203011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220695-2203010-10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Вал карданный передний 220695-2203010-10 УАЗ 850мм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27527-5022382-2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Вал карданный передний 27527-5022382-2 ГАЗ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27057-2202010 ГАЗ (6 болтов)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Вал карданный промежуточный 27057-2202010 ГАЗ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33081-2202010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Вал карданный промежуточный 33081-2202010 ММЗ 650мм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5022380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Вал карданный промежуточный шрус 5022380 736мм ГАЗ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5022380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Вал карданный промежуточный шрус 5022380 736мм ГАЗ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У43114-2205011 699мм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Вал карданный среднего моста У43114-2205011 699мм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3142.3771 КамАЗ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Генератор 3142.3771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3212М.3771000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Генератор 3212М.3771000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32182.3771000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Генератор 32182.3771000 14В 110А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5122-3771000-50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Генератор 5122-3771000-50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4310-5003014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Гидроцилиндр опрокидывающего механизма кабины 4310-5003014 КамАЗ в сборе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110308-0239010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Датчик абсолютного давления воздуха 110308-0239010 УАЗ в сборе с встроенным датчиком температуры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258006537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Датчик кислорода 0258006537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1878000205/1878007196 КПП ZF 16S151 (SACHS)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Диск 1878000205/1878007196 Sachs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409-1601130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Диск сцепления ведомый 409-1601130 ГАЗ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4216-1148010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Дроссель 4216-1148010 ГАЗ с электроприводом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245.1104300 (Я)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Комплект трубок высокого давления 245.1104300(Я) Д245 Евро-2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ПК306-01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Компрессор одноцилиндровый ПК306-01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53205-3509015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Компрессор одноцилиндровый пневматического привода тормозной системы 53205-3509015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3482083032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Корзина сцепления 3482083032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406.1601090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Корзина сцепления 406-1601090 ГАЗ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PF 19001P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Коробка отбора мощности PF 19001P UNI МКМ,ПСКБМ 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33081-1700010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Коробка переключения передач 33081-1700010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32217-1800013-20 (дв. УМЗ)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Коробка раздаточная 32217-1800013-20 ГАЗ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43114-1800020-60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Коробка раздаточная 43114-1800020-60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33027-1700010-30 (дв. УМЗ 405,406, 4216)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КПП 33027-1700010-30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11-3514308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Кран тормозной двухсекционный 11-3514308 ЗИЛ,КамАЗ,МАЗ ПААЗ в сборе с педалью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53205-2403081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Крестовина 53205-2403081-00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17-1601180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Муфта 17-1601180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3151000034/343151001051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Муфта выключения сцепления 3151000034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47-1111005-10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Насос высокого давления топливный двигателя дизельного 47-1111005-10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6520-3407200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Насос гидроусилителя руля 6520-3407200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740.21-1011010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Насос масляный 740.21-1011010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3741-1139020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Насос топливный 3741-1139020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4324101040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Осушитель воздуха 4324101040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43118-2403070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Полуось заднего моста короткая правая 43118-2403070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43118-2403069 КамАЗ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Полуось левая 43118-2403069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3741-8101060-20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Радиатор 3741-8101060-20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5320-1301010 КамАЗ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Радиатор 5320-1301010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54115-1301010-10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Радиатор водяного охлаждения 54115-1301010-10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124-1301010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Радиатор двигателя 124-1301010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3741-1301010-04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Радиатор двигателя 3741-1301010-04 УАЗ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316З-1301010-З0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Радиатор охлаждения двигателя 316З-1301010-З0 УАЗ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100-3512010 КамАЗ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Регулятор давления воздуха 100-3512010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53205-2402010-30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Редуктор задний 48/14 53205-2402010-30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452-2902012-03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Рессора (13 листов) передняя задняя 452-2902012-03 L1259мм УАЗ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55111-2902012-05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Рессора 55111-2902012-05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55111-2912012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Рессора задняя 55111-2912012 КамАЗ в сборе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11-131-827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Стартер 11.131.827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422.3708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Стартер 422.3708 БАТЭ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33027-3103004-10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Ступица передняя 33027-3103004-10 ГАЗель с подшипники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23107-3103013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Ступица передняя колеса 23107-3103013 ГАЗ УАЗ в сборе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3302.3501136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Суппорт переднего тормоза 3302-3501136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3302.3501137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Суппорт переднего тормоза 3302-3501137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4216-1600010М в сборе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Сцепление 4216-1600010М ГАЗ (муфта выключения)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740.60-1118013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Турбокомпрессор левый 740.60-1118013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740.60-1118012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Турбокомпрессор правый 740.60-1118012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4310-3414009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Тяга сошки рулевого механизма 4310-3414009 L800мм КамАЗ в сборе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А-04-001 (0445120153)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Форсунка А-04-001 (0445120153)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А-04-011-00-00-03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Форсунка топливная А-04-011-00-00-03 АЗПИ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0501.008.958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Цилиндр выключения сцепления 0501.008.958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5022382-1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Шрус карданного вала 5022382-1 ГАЗ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5022382-2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Шрус карданного вала 5022382-2 ГАЗ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43114-3805010-02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Щиток приборов 43114-3805010-02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Arial" w:hAnsi="Arial" w:eastAsia="Times New Roman" w:cs="Times New Roman"/>
                <w:color w:val="auto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16"/>
                <w:szCs w:val="16"/>
                <w:lang w:val="ru-RU" w:eastAsia="ru-RU" w:bidi="ar-SA"/>
              </w:rPr>
              <w:t>1,000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</w:t>
            </w:r>
          </w:p>
        </w:tc>
      </w:tr>
    </w:tbl>
    <w:p>
      <w:pPr>
        <w:pStyle w:val="Normal"/>
        <w:ind w:hanging="0" w:left="-142"/>
        <w:rPr>
          <w:rStyle w:val="Style8"/>
          <w:b w:val="false"/>
          <w:bCs/>
          <w:sz w:val="24"/>
          <w:szCs w:val="24"/>
        </w:rPr>
      </w:pPr>
      <w:r>
        <w:rPr>
          <w:b w:val="false"/>
          <w:bCs/>
          <w:sz w:val="24"/>
          <w:szCs w:val="24"/>
        </w:rPr>
      </w:r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38" w:name="_Toc211862533"/>
      <w:bookmarkStart w:id="39" w:name="_Toc75446577"/>
      <w:bookmarkStart w:id="40" w:name="_Toc211933701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1.2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и объем закупаемых сопутствующих услуг</w:t>
      </w:r>
      <w:bookmarkEnd w:id="38"/>
      <w:bookmarkEnd w:id="39"/>
      <w:bookmarkEnd w:id="40"/>
    </w:p>
    <w:tbl>
      <w:tblPr>
        <w:tblW w:w="10136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5386"/>
        <w:gridCol w:w="1189"/>
        <w:gridCol w:w="2711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Style w:val="Style8"/>
                <w:b w:val="false"/>
                <w:bCs/>
                <w:iCs/>
                <w:color w:val="000000"/>
                <w:sz w:val="24"/>
                <w:szCs w:val="24"/>
                <w:shd w:fill="auto" w:val="clear"/>
              </w:rPr>
            </w:pPr>
            <w:r>
              <w:rPr>
                <w:rStyle w:val="Style8"/>
                <w:b w:val="false"/>
                <w:bCs/>
                <w:iCs/>
                <w:color w:val="000000"/>
                <w:sz w:val="24"/>
                <w:szCs w:val="24"/>
                <w:shd w:fill="auto" w:val="clear"/>
              </w:rPr>
              <w:t>Необходимость в сопутствующих услугах отсутствует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41" w:name="_Toc211862534"/>
      <w:bookmarkStart w:id="42" w:name="_Toc75446578"/>
      <w:bookmarkStart w:id="43" w:name="_Toc211933702"/>
      <w:bookmarkStart w:id="44" w:name="_Toc51339696"/>
      <w:r>
        <w:rPr>
          <w:lang w:val="ru-RU"/>
        </w:rPr>
        <w:t xml:space="preserve">Требования </w:t>
      </w:r>
      <w:bookmarkEnd w:id="44"/>
      <w:r>
        <w:rPr>
          <w:lang w:val="ru-RU"/>
        </w:rPr>
        <w:t>к срокам поставки продукции и оказания сопутствующих услуг</w:t>
      </w:r>
      <w:bookmarkEnd w:id="41"/>
      <w:bookmarkEnd w:id="42"/>
      <w:bookmarkEnd w:id="43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45" w:name="_Toc211862535"/>
      <w:bookmarkStart w:id="46" w:name="_Toc75446579"/>
      <w:bookmarkStart w:id="47" w:name="_Toc211933703"/>
      <w:bookmarkStart w:id="48" w:name="_Toc51339697"/>
      <w:bookmarkStart w:id="49" w:name="_Toc50125127"/>
      <w:bookmarkStart w:id="50" w:name="_Toc50125126_Копия_1"/>
      <w:bookmarkEnd w:id="5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51" w:name="_Hlk50465284"/>
      <w:r>
        <w:rPr>
          <w:sz w:val="24"/>
          <w:szCs w:val="24"/>
        </w:rPr>
        <w:t xml:space="preserve">Требования по срокам </w:t>
      </w:r>
      <w:bookmarkEnd w:id="48"/>
      <w:bookmarkEnd w:id="49"/>
      <w:bookmarkEnd w:id="51"/>
      <w:r>
        <w:rPr>
          <w:sz w:val="24"/>
          <w:szCs w:val="24"/>
          <w:lang w:val="ru-RU"/>
        </w:rPr>
        <w:t>поставки продукции</w:t>
      </w:r>
      <w:bookmarkEnd w:id="45"/>
      <w:bookmarkEnd w:id="46"/>
      <w:bookmarkEnd w:id="47"/>
      <w:r>
        <w:rPr>
          <w:sz w:val="24"/>
          <w:szCs w:val="24"/>
          <w:lang w:val="ru-RU"/>
        </w:rPr>
        <w:t xml:space="preserve"> </w:t>
      </w:r>
    </w:p>
    <w:tbl>
      <w:tblPr>
        <w:tblW w:w="1422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4079"/>
        <w:gridCol w:w="3682"/>
        <w:gridCol w:w="5332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Style w:val="Style8"/>
                <w:b w:val="false"/>
                <w:bCs/>
                <w:sz w:val="24"/>
                <w:szCs w:val="24"/>
              </w:rPr>
            </w:pPr>
            <w:r>
              <w:rPr>
                <w:rStyle w:val="14"/>
                <w:rFonts w:eastAsia="Calibri" w:ascii="Liberation Serif" w:hAnsi="Liberation Serif"/>
                <w:b/>
                <w:i/>
                <w:iCs/>
                <w:color w:val="000000"/>
                <w:sz w:val="22"/>
                <w:szCs w:val="22"/>
                <w:lang w:eastAsia="en-US"/>
              </w:rPr>
              <w:t>З</w:t>
            </w:r>
            <w:r>
              <w:rPr>
                <w:rFonts w:eastAsia="Calibri" w:ascii="Liberation Serif" w:hAnsi="Liberation Serif"/>
                <w:b/>
                <w:i/>
                <w:iCs/>
                <w:color w:val="000000"/>
                <w:sz w:val="22"/>
                <w:szCs w:val="22"/>
                <w:lang w:eastAsia="en-US"/>
              </w:rPr>
              <w:t>апасные части для специальной и тракторной техники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Cs/>
                <w:sz w:val="20"/>
                <w:szCs w:val="20"/>
              </w:rPr>
            </w:pPr>
            <w:r>
              <w:rPr>
                <w:rFonts w:ascii="Liberation Serif" w:hAnsi="Liberation Serif"/>
                <w:iCs/>
                <w:sz w:val="20"/>
                <w:szCs w:val="20"/>
              </w:rPr>
              <w:t>15.01.2027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Cs/>
                <w:sz w:val="20"/>
                <w:szCs w:val="20"/>
              </w:rPr>
            </w:pPr>
            <w:r>
              <w:rPr>
                <w:rFonts w:eastAsia="Times New Roman" w:cs="Times New Roman" w:ascii="Liberation Serif" w:hAnsi="Liberation Serif"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Поставка партиями ежемесячно, в течение 1-го календарного дня после получения заявки покупателя, в период с 15.01.2027  до</w:t>
            </w:r>
            <w:r>
              <w:rPr>
                <w:rFonts w:ascii="Liberation Serif" w:hAnsi="Liberation Serif"/>
                <w:iCs/>
                <w:sz w:val="26"/>
                <w:szCs w:val="26"/>
              </w:rPr>
              <w:t xml:space="preserve"> </w:t>
            </w:r>
            <w:r>
              <w:rPr>
                <w:rFonts w:ascii="Liberation Serif" w:hAnsi="Liberation Serif"/>
                <w:iCs/>
                <w:sz w:val="20"/>
                <w:szCs w:val="20"/>
              </w:rPr>
              <w:t>31.12.2027</w:t>
            </w:r>
          </w:p>
        </w:tc>
      </w:tr>
    </w:tbl>
    <w:p>
      <w:pPr>
        <w:pStyle w:val="Heading1"/>
        <w:tabs>
          <w:tab w:val="clear" w:pos="0"/>
        </w:tabs>
        <w:ind w:hanging="0" w:left="0"/>
        <w:rPr>
          <w:sz w:val="24"/>
          <w:szCs w:val="24"/>
        </w:rPr>
      </w:pPr>
      <w:bookmarkStart w:id="52" w:name="_Toc211862536"/>
      <w:bookmarkStart w:id="53" w:name="_Toc75446580"/>
      <w:bookmarkStart w:id="54" w:name="_Toc54785622"/>
      <w:bookmarkStart w:id="55" w:name="_Toc211933704"/>
      <w:bookmarkStart w:id="56" w:name="_Toc46743510_Копия_1"/>
      <w:bookmarkEnd w:id="5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 Требования по срокам </w:t>
      </w:r>
      <w:r>
        <w:rPr>
          <w:sz w:val="24"/>
          <w:szCs w:val="24"/>
          <w:lang w:val="ru-RU"/>
        </w:rPr>
        <w:t xml:space="preserve">оказания </w:t>
      </w:r>
      <w:r>
        <w:rPr>
          <w:sz w:val="24"/>
          <w:szCs w:val="24"/>
        </w:rPr>
        <w:t>сопутствующих услуг</w:t>
      </w:r>
      <w:bookmarkEnd w:id="52"/>
      <w:bookmarkEnd w:id="53"/>
      <w:bookmarkEnd w:id="54"/>
      <w:bookmarkEnd w:id="55"/>
    </w:p>
    <w:tbl>
      <w:tblPr>
        <w:tblW w:w="99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12"/>
        <w:gridCol w:w="2144"/>
        <w:gridCol w:w="2268"/>
        <w:gridCol w:w="2551"/>
        <w:gridCol w:w="1843"/>
      </w:tblGrid>
      <w:tr>
        <w:trPr/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>
        <w:trPr/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1.</w:t>
            </w:r>
          </w:p>
        </w:tc>
        <w:tc>
          <w:tcPr>
            <w:tcW w:w="8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отсутствуют</w:t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57" w:name="_Toc51339698"/>
      <w:bookmarkStart w:id="58" w:name="_Toc211862537"/>
      <w:bookmarkStart w:id="59" w:name="_Toc75446581"/>
      <w:bookmarkStart w:id="60" w:name="_Toc211933705"/>
      <w:bookmarkStart w:id="61" w:name="_Toc46743511"/>
      <w:r>
        <w:rPr/>
        <w:t xml:space="preserve">Требования к </w:t>
      </w:r>
      <w:bookmarkEnd w:id="61"/>
      <w:r>
        <w:rPr>
          <w:lang w:val="ru-RU"/>
        </w:rPr>
        <w:t>качеству продукции</w:t>
      </w:r>
      <w:bookmarkEnd w:id="58"/>
      <w:bookmarkEnd w:id="59"/>
      <w:bookmarkEnd w:id="60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62" w:name="_Toc211862538"/>
      <w:bookmarkStart w:id="63" w:name="_Toc75446582"/>
      <w:bookmarkStart w:id="64" w:name="_Toc211933706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качеству продукции</w:t>
      </w:r>
      <w:bookmarkEnd w:id="62"/>
      <w:bookmarkEnd w:id="63"/>
      <w:bookmarkEnd w:id="64"/>
      <w:r>
        <w:rPr>
          <w:sz w:val="24"/>
          <w:szCs w:val="24"/>
        </w:rPr>
        <w:t xml:space="preserve"> </w:t>
      </w:r>
      <w:bookmarkEnd w:id="57"/>
    </w:p>
    <w:p>
      <w:pPr>
        <w:pStyle w:val="Normal"/>
        <w:rPr>
          <w:rStyle w:val="Style8"/>
          <w:b w:val="false"/>
        </w:rPr>
      </w:pPr>
      <w:r>
        <w:rPr>
          <w:rStyle w:val="Style8"/>
          <w:b w:val="false"/>
        </w:rPr>
        <w:t xml:space="preserve"> 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продукции:</w:t>
      </w:r>
      <w:r>
        <w:rPr>
          <w:rStyle w:val="Style8"/>
          <w:rFonts w:eastAsia="Times New Roman" w:cs="Times New Roman"/>
          <w:b/>
          <w:bCs/>
          <w:i/>
          <w:iCs/>
          <w:color w:val="auto"/>
          <w:kern w:val="0"/>
          <w:sz w:val="24"/>
          <w:szCs w:val="24"/>
          <w:lang w:val="ru-RU" w:eastAsia="ru-RU" w:bidi="ar-SA"/>
        </w:rPr>
        <w:t xml:space="preserve"> </w:t>
      </w:r>
      <w:r>
        <w:rPr>
          <w:rStyle w:val="Style15"/>
          <w:rFonts w:eastAsia="Times New Roman" w:cs="Times New Roman"/>
          <w:b/>
          <w:bCs/>
          <w:i/>
          <w:iCs/>
          <w:color w:val="auto"/>
          <w:kern w:val="0"/>
          <w:sz w:val="24"/>
          <w:szCs w:val="24"/>
          <w:lang w:val="ru-RU" w:eastAsia="ru-RU" w:bidi="ar-SA"/>
        </w:rPr>
        <w:t xml:space="preserve">запасные частеи для автотракторной и грузовой техники </w:t>
      </w:r>
    </w:p>
    <w:tbl>
      <w:tblPr>
        <w:tblStyle w:val="affff8"/>
        <w:tblW w:w="1530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1"/>
        <w:gridCol w:w="1980"/>
        <w:gridCol w:w="12"/>
        <w:gridCol w:w="2987"/>
        <w:gridCol w:w="2990"/>
        <w:gridCol w:w="3262"/>
        <w:gridCol w:w="3406"/>
      </w:tblGrid>
      <w:tr>
        <w:trPr/>
        <w:tc>
          <w:tcPr>
            <w:tcW w:w="67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1992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98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625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40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</w:r>
          </w:p>
        </w:tc>
        <w:tc>
          <w:tcPr>
            <w:tcW w:w="1992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</w:r>
          </w:p>
        </w:tc>
        <w:tc>
          <w:tcPr>
            <w:tcW w:w="298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</w:r>
          </w:p>
        </w:tc>
        <w:tc>
          <w:tcPr>
            <w:tcW w:w="29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6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199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29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9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34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6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97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979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должна соответствовать параметрам, указанным в Приложении №1 к данному ТТ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6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1992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eastAsia="en-US" w:bidi="ar-SA"/>
              </w:rPr>
              <w:t>Требования к новизне продукции</w:t>
            </w:r>
          </w:p>
        </w:tc>
        <w:tc>
          <w:tcPr>
            <w:tcW w:w="2987" w:type="dxa"/>
            <w:tcBorders/>
            <w:shd w:color="auto" w:fill="auto" w:val="clear"/>
          </w:tcPr>
          <w:p>
            <w:pPr>
              <w:pStyle w:val="ListNumber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0" w:after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Продукция должна быть новой, пригодной для использования по своему назначению.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6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1.3.</w:t>
            </w:r>
          </w:p>
        </w:tc>
        <w:tc>
          <w:tcPr>
            <w:tcW w:w="1992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Требования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к году выпуска</w:t>
            </w:r>
          </w:p>
        </w:tc>
        <w:tc>
          <w:tcPr>
            <w:tcW w:w="2987" w:type="dxa"/>
            <w:tcBorders/>
            <w:shd w:color="auto" w:fill="auto" w:val="clear"/>
          </w:tcPr>
          <w:p>
            <w:pPr>
              <w:pStyle w:val="ListNumber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0" w:after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2025-2026, для запасных частей, снятых с производства, год изготовления может быть ранее 2025-2026 года, но остальные требования без изменений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eastAsia="en-US" w:bidi="ar-SA"/>
              </w:rPr>
              <w:t>Указать год изготовления по каждой позиции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6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97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Соответствие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стандартам</w:t>
            </w:r>
          </w:p>
        </w:tc>
        <w:tc>
          <w:tcPr>
            <w:tcW w:w="299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Продукция должна быть изготовлена в соответствии с требованиями технического регламента таможенного союза ТР ТС 018/2011 «О безопасности колесных транспортных средств»;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ТР ТС 031/2012 «О безопасности сельскохозяйственных и лесохозяйственных тракторов и прицепов к ним»;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ТР ТС 010/2011 «О безопасности машин и оборудования». Должны быть соблюдены  условия предоставления копий паспортов изделий заводов-изготовителей и другие сопроводительные документы в соответствии с нормами заводов изготовителей. Для запасных частей не подлежащих обязательной сертификации, приложить к техническому предложению обосновывающие документы об отсутствии необходимости сертификации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</w:r>
          </w:p>
        </w:tc>
      </w:tr>
      <w:tr>
        <w:trPr/>
        <w:tc>
          <w:tcPr>
            <w:tcW w:w="6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97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97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55" w:leader="none"/>
              </w:tabs>
              <w:suppressAutoHyphens w:val="true"/>
              <w:spacing w:before="0" w:after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Продукция, ее конструкция, форма, материал изготовления, вид и т.п. должны соответствовать назначению и применению.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</w:r>
          </w:p>
        </w:tc>
      </w:tr>
      <w:tr>
        <w:trPr/>
        <w:tc>
          <w:tcPr>
            <w:tcW w:w="6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979" w:type="dxa"/>
            <w:gridSpan w:val="3"/>
            <w:tcBorders/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255" w:leader="none"/>
                <w:tab w:val="left" w:pos="1134" w:leader="none"/>
              </w:tabs>
              <w:suppressAutoHyphens w:val="true"/>
              <w:spacing w:before="0" w:after="0"/>
              <w:ind w:hanging="0" w:left="0"/>
              <w:contextualSpacing w:val="false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По каждой запасной части, отличающейся от затребованной, в технических требованиях Заказчика необходимо дополнительно в отразить различия.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</w:r>
          </w:p>
        </w:tc>
      </w:tr>
      <w:tr>
        <w:trPr/>
        <w:tc>
          <w:tcPr>
            <w:tcW w:w="671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0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3.3.</w:t>
            </w:r>
          </w:p>
        </w:tc>
        <w:tc>
          <w:tcPr>
            <w:tcW w:w="497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2"/>
                <w:szCs w:val="22"/>
                <w:lang w:val="ru-RU" w:eastAsia="ru-RU" w:bidi="ar-SA"/>
              </w:rPr>
              <w:t>Для единичных неделимых деталей ед. измер – шт. Для ремонтных комплектов или набора деталей   ед.   измер – к-т.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67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0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4.</w:t>
            </w:r>
          </w:p>
        </w:tc>
        <w:tc>
          <w:tcPr>
            <w:tcW w:w="4979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9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4.1.</w:t>
            </w:r>
          </w:p>
        </w:tc>
        <w:tc>
          <w:tcPr>
            <w:tcW w:w="199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Требование к упаковке и транспортировке</w:t>
            </w:r>
          </w:p>
        </w:tc>
        <w:tc>
          <w:tcPr>
            <w:tcW w:w="298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Все запасные части не должны иметь  сколов, вмятин, трещин, застарелой ржавчины и других повреждений, указывающих на проведение какого-либо ремонта; должны быть окрашены в один слой в заводских условиях и не иметь следов повторного окрашивания. Запчасти должны быть в заводской упаковке, кроме случаев упаковки нескольких деталей в общую упаковку (при отделении нужного кол-ва деталей от стандартного кол-ва).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Отдельные узлы и агрегаты должны иметь пломбировку и соответствующую упаковку заводов-изготовителей в соответствии с нормами заводов-изготовителей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67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4.2.</w:t>
            </w:r>
          </w:p>
        </w:tc>
        <w:tc>
          <w:tcPr>
            <w:tcW w:w="1992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 xml:space="preserve">Требования к доставке </w:t>
            </w:r>
          </w:p>
        </w:tc>
        <w:tc>
          <w:tcPr>
            <w:tcW w:w="2987" w:type="dxa"/>
            <w:tcBorders>
              <w:top w:val="nil"/>
            </w:tcBorders>
          </w:tcPr>
          <w:p>
            <w:pPr>
              <w:pStyle w:val="Normal"/>
              <w:numPr>
                <w:ilvl w:val="1"/>
              </w:numPr>
              <w:spacing w:lineRule="auto" w:line="240"/>
              <w:ind w:hanging="0" w:left="0" w:right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 xml:space="preserve">Доставку до г. </w:t>
            </w:r>
            <w:r>
              <w:rPr>
                <w:rFonts w:ascii="Liberation Serif" w:hAnsi="Liberation Serif"/>
                <w:sz w:val="22"/>
                <w:szCs w:val="22"/>
              </w:rPr>
              <w:t>Хабаровска</w:t>
            </w:r>
            <w:r>
              <w:rPr>
                <w:rFonts w:ascii="Liberation Serif" w:hAnsi="Liberation Serif"/>
                <w:sz w:val="22"/>
                <w:szCs w:val="22"/>
              </w:rPr>
              <w:t xml:space="preserve"> осуществляет Продавец. </w:t>
            </w:r>
          </w:p>
        </w:tc>
        <w:tc>
          <w:tcPr>
            <w:tcW w:w="299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Согласие с требованием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326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-//-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34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6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4.</w:t>
            </w: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3.</w:t>
            </w:r>
          </w:p>
        </w:tc>
        <w:tc>
          <w:tcPr>
            <w:tcW w:w="199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Требование к маркировке</w:t>
            </w:r>
          </w:p>
        </w:tc>
        <w:tc>
          <w:tcPr>
            <w:tcW w:w="298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55" w:leader="none"/>
              </w:tabs>
              <w:suppressAutoHyphens w:val="true"/>
              <w:spacing w:before="0" w:after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Продукция товарный знак производителя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6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4.</w:t>
            </w: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4.</w:t>
            </w: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199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contextualSpacing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contextualSpacing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Arial Unicode MS" w:cs="Times New Roman" w:ascii="Liberation Serif" w:hAnsi="Liberation Serif"/>
                <w:color w:val="000000"/>
                <w:kern w:val="0"/>
                <w:sz w:val="22"/>
                <w:szCs w:val="22"/>
                <w:lang w:val="ru-RU" w:eastAsia="ru-RU" w:bidi="ar-SA"/>
              </w:rPr>
              <w:t>Партия 1 для филиала АО «ДРСК» «Хабаровские электрические сети»</w:t>
            </w:r>
          </w:p>
        </w:tc>
        <w:tc>
          <w:tcPr>
            <w:tcW w:w="298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pacing w:val="-1"/>
                <w:kern w:val="0"/>
                <w:sz w:val="22"/>
                <w:szCs w:val="22"/>
                <w:lang w:val="ru-RU" w:eastAsia="en-US" w:bidi="ar-SA"/>
              </w:rPr>
              <w:t>Филиал АО «ДРСК» «Хабаровские электрические сети» СП ЦЭС, Хабаровский край, г. Хабаровск, ул. Промышленная, 13.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671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0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497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71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5.1.</w:t>
            </w:r>
          </w:p>
        </w:tc>
        <w:tc>
          <w:tcPr>
            <w:tcW w:w="199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2"/>
                <w:szCs w:val="22"/>
                <w:lang w:val="ru-RU" w:eastAsia="ru-RU" w:bidi="ar-SA"/>
              </w:rPr>
              <w:t>Срок гарантии на поставляемую продукцию</w:t>
            </w:r>
          </w:p>
        </w:tc>
        <w:tc>
          <w:tcPr>
            <w:tcW w:w="298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2"/>
                <w:szCs w:val="22"/>
                <w:lang w:val="ru-RU" w:eastAsia="ru-RU" w:bidi="ar-SA"/>
              </w:rPr>
              <w:t>не менее 12 месяцев. Время начала исчисления гарантийного срока с момента подписания ТОРГ-12 или УПД.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2"/>
                <w:szCs w:val="22"/>
                <w:lang w:val="ru-RU" w:eastAsia="ru-RU" w:bidi="ar-SA"/>
              </w:rPr>
              <w:t>Указать срок гарантии на предлагаемую продукцию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3406" w:type="dxa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ascii="Liberation Serif" w:hAnsi="Liberation Serif" w:eastAsia="Times New Roman"/>
                <w:b w:val="false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 w:ascii="Liberation Serif" w:hAnsi="Liberation Serif"/>
                <w:b w:val="false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671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360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6.</w:t>
            </w:r>
          </w:p>
        </w:tc>
        <w:tc>
          <w:tcPr>
            <w:tcW w:w="497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71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6.1</w:t>
            </w:r>
          </w:p>
        </w:tc>
        <w:tc>
          <w:tcPr>
            <w:tcW w:w="199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contextualSpacing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Документы, передаваемые вместе с продукцией</w:t>
            </w:r>
          </w:p>
        </w:tc>
        <w:tc>
          <w:tcPr>
            <w:tcW w:w="29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Поставщик обязан одновременно с передачей запасных частей передать Покупателю относящиеся к продукции документы, оформленные надлежащим образом: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сертификаты качества;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технические паспорта (при наличии);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руководства по эксплуатации (при наличии);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color w:val="A6A6A6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671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720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7</w:t>
            </w:r>
          </w:p>
        </w:tc>
        <w:tc>
          <w:tcPr>
            <w:tcW w:w="497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Требования к эквивалентной продукции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71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color w:val="000000"/>
                <w:kern w:val="0"/>
                <w:sz w:val="22"/>
                <w:szCs w:val="22"/>
                <w:lang w:val="ru-RU" w:eastAsia="ru-RU" w:bidi="ar-SA"/>
              </w:rPr>
              <w:t>7.1.</w:t>
            </w:r>
          </w:p>
        </w:tc>
        <w:tc>
          <w:tcPr>
            <w:tcW w:w="497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2"/>
                <w:szCs w:val="22"/>
                <w:lang w:val="ru-RU" w:eastAsia="ru-RU" w:bidi="ar-SA"/>
              </w:rPr>
              <w:t>Указанные в настоящем ТТ ссылки на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2"/>
                <w:szCs w:val="22"/>
                <w:lang w:val="ru-RU" w:eastAsia="ru-RU" w:bidi="ar-SA"/>
              </w:rPr>
      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671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color w:val="000000"/>
                <w:kern w:val="0"/>
                <w:sz w:val="22"/>
                <w:szCs w:val="22"/>
                <w:lang w:val="ru-RU" w:eastAsia="ru-RU" w:bidi="ar-SA"/>
              </w:rPr>
              <w:t>7.2.</w:t>
            </w:r>
          </w:p>
        </w:tc>
        <w:tc>
          <w:tcPr>
            <w:tcW w:w="497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55" w:leader="none"/>
              </w:tabs>
              <w:suppressAutoHyphens w:val="true"/>
              <w:spacing w:before="60" w:after="0"/>
              <w:contextualSpacing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Cs/>
                <w:color w:val="000000"/>
                <w:kern w:val="0"/>
                <w:sz w:val="22"/>
                <w:szCs w:val="22"/>
                <w:lang w:val="ru-RU" w:eastAsia="ru-RU" w:bidi="ar-SA"/>
              </w:rPr>
              <w:t>Эквивалентной запасной частью является запасная часть, которая по назначению, габаритным и присоединительным размерам, сроком службы, надежности, материалом, формой и видом совпадает с затребованной (либо является более лучшей по ряду параметров) и при ее применении не изменятся эксплуатационные функции узла, механизма, агрегата, техники.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67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8</w:t>
            </w:r>
          </w:p>
        </w:tc>
        <w:tc>
          <w:tcPr>
            <w:tcW w:w="4979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55" w:leader="none"/>
              </w:tabs>
              <w:suppressAutoHyphens w:val="true"/>
              <w:spacing w:before="60" w:after="0"/>
              <w:contextualSpacing/>
              <w:jc w:val="both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Требования к предложению</w:t>
            </w:r>
          </w:p>
        </w:tc>
        <w:tc>
          <w:tcPr>
            <w:tcW w:w="299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326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34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67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8.1.</w:t>
            </w:r>
          </w:p>
        </w:tc>
        <w:tc>
          <w:tcPr>
            <w:tcW w:w="4979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55" w:leader="none"/>
              </w:tabs>
              <w:suppressAutoHyphens w:val="true"/>
              <w:bidi w:val="0"/>
              <w:spacing w:before="60" w:after="0"/>
              <w:contextualSpacing/>
              <w:jc w:val="both"/>
              <w:rPr>
                <w:rFonts w:ascii="Liberation Serif" w:hAnsi="Liberation Serif" w:eastAsia="Times New Roman" w:cs="Times New Roman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По результатам настоящей процедуры, Договор будет заключаться с предельной стоимостью </w:t>
            </w:r>
            <w:r>
              <w:rPr>
                <w:rStyle w:val="Style15"/>
                <w:rFonts w:eastAsia="Times New Roman" w:cs="Times New Roman" w:ascii="Liberation Serif" w:hAnsi="Liberation Serif"/>
                <w:b w:val="false"/>
                <w:bCs w:val="false"/>
                <w:i/>
                <w:iCs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0"/>
                <w:w w:val="100"/>
                <w:kern w:val="2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  <w:em w:val="none"/>
                <w:lang w:val="ru-RU" w:eastAsia="ru-RU" w:bidi="ar-SA"/>
              </w:rPr>
              <w:t xml:space="preserve">3 929 628,98 </w:t>
            </w:r>
            <w:r>
              <w:rPr>
                <w:rStyle w:val="Style15"/>
                <w:rFonts w:eastAsia="Times New Roman" w:cs="Times New Roman" w:ascii="Liberation Serif" w:hAnsi="Liberation Serif"/>
                <w:b w:val="false"/>
                <w:bCs w:val="false"/>
                <w:i/>
                <w:iCs/>
                <w:caps w:val="false"/>
                <w:smallCaps w:val="false"/>
                <w:strike w:val="false"/>
                <w:dstrike w:val="false"/>
                <w:outline w:val="false"/>
                <w:color w:val="00000A"/>
                <w:spacing w:val="0"/>
                <w:w w:val="100"/>
                <w:kern w:val="2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  <w:em w:val="none"/>
                <w:lang w:val="ru-RU" w:eastAsia="ru-RU" w:bidi="ar-SA"/>
              </w:rPr>
              <w:t>руб. без НДС</w:t>
            </w:r>
          </w:p>
        </w:tc>
        <w:tc>
          <w:tcPr>
            <w:tcW w:w="299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67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8.2.</w:t>
            </w:r>
          </w:p>
        </w:tc>
        <w:tc>
          <w:tcPr>
            <w:tcW w:w="4979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55" w:leader="none"/>
              </w:tabs>
              <w:suppressAutoHyphens w:val="true"/>
              <w:bidi w:val="0"/>
              <w:spacing w:before="60" w:after="0"/>
              <w:contextualSpacing/>
              <w:jc w:val="both"/>
              <w:rPr>
                <w:rFonts w:ascii="Liberation Serif" w:hAnsi="Liberation Serif" w:eastAsia="Times New Roman" w:cs="Times New Roman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Для оценки заявок участников настоящей неконкурентной закупки будет использоваться суммарная стоимость единичных расценок поставляемых запасных частей согласно Приложения №1 настоящ</w:t>
            </w:r>
            <w:r>
              <w:rPr>
                <w:rFonts w:eastAsia="Times New Roman" w:cs="Times New Roman" w:ascii="Liberation Serif" w:hAnsi="Liberation Serif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их Технических требований</w:t>
            </w:r>
          </w:p>
        </w:tc>
        <w:tc>
          <w:tcPr>
            <w:tcW w:w="299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Согласие с требованием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326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/>
            </w:r>
          </w:p>
        </w:tc>
      </w:tr>
      <w:tr>
        <w:trPr/>
        <w:tc>
          <w:tcPr>
            <w:tcW w:w="67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8.3.</w:t>
            </w:r>
          </w:p>
        </w:tc>
        <w:tc>
          <w:tcPr>
            <w:tcW w:w="4979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bidi w:val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color w:val="CC0000"/>
                <w:sz w:val="22"/>
                <w:szCs w:val="22"/>
              </w:rPr>
              <w:t>Участник дополнительно должен заполнить форму «Протокол согласования договорной цены» (Приложение №</w:t>
            </w:r>
            <w:r>
              <w:rPr>
                <w:rFonts w:ascii="Liberation Serif" w:hAnsi="Liberation Serif"/>
                <w:b/>
                <w:color w:val="CC0000"/>
                <w:sz w:val="22"/>
                <w:szCs w:val="22"/>
              </w:rPr>
              <w:t>2</w:t>
            </w:r>
            <w:r>
              <w:rPr>
                <w:rFonts w:ascii="Liberation Serif" w:hAnsi="Liberation Serif"/>
                <w:b/>
                <w:color w:val="CC0000"/>
                <w:sz w:val="22"/>
                <w:szCs w:val="22"/>
              </w:rPr>
              <w:t xml:space="preserve"> настоящ</w:t>
            </w:r>
            <w:r>
              <w:rPr>
                <w:rFonts w:ascii="Liberation Serif" w:hAnsi="Liberation Serif"/>
                <w:b/>
                <w:color w:val="CC0000"/>
                <w:sz w:val="22"/>
                <w:szCs w:val="22"/>
              </w:rPr>
              <w:t>их</w:t>
            </w:r>
            <w:r>
              <w:rPr>
                <w:rFonts w:ascii="Liberation Serif" w:hAnsi="Liberation Serif"/>
                <w:b/>
                <w:color w:val="CC0000"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/>
                <w:b/>
                <w:color w:val="CC0000"/>
                <w:sz w:val="22"/>
                <w:szCs w:val="22"/>
              </w:rPr>
              <w:t>Технических требований</w:t>
            </w:r>
            <w:r>
              <w:rPr>
                <w:rFonts w:ascii="Liberation Serif" w:hAnsi="Liberation Serif"/>
                <w:b/>
                <w:color w:val="CC0000"/>
                <w:sz w:val="22"/>
                <w:szCs w:val="22"/>
              </w:rPr>
              <w:t>), указав величины единичных расценок. В случае победы Участника, величины предложенных им единичных расценок, указанных в протоколе договорной цены (Приложение №</w:t>
            </w:r>
            <w:r>
              <w:rPr>
                <w:rFonts w:ascii="Liberation Serif" w:hAnsi="Liberation Serif"/>
                <w:b/>
                <w:color w:val="CC0000"/>
                <w:sz w:val="22"/>
                <w:szCs w:val="22"/>
              </w:rPr>
              <w:t>2</w:t>
            </w:r>
            <w:r>
              <w:rPr>
                <w:rFonts w:ascii="Liberation Serif" w:hAnsi="Liberation Serif"/>
                <w:b/>
                <w:color w:val="CC0000"/>
                <w:sz w:val="22"/>
                <w:szCs w:val="22"/>
              </w:rPr>
              <w:t xml:space="preserve"> настоящ</w:t>
            </w:r>
            <w:r>
              <w:rPr>
                <w:rFonts w:ascii="Liberation Serif" w:hAnsi="Liberation Serif"/>
                <w:b/>
                <w:color w:val="CC0000"/>
                <w:sz w:val="22"/>
                <w:szCs w:val="22"/>
              </w:rPr>
              <w:t>их</w:t>
            </w:r>
            <w:r>
              <w:rPr>
                <w:rFonts w:ascii="Liberation Serif" w:hAnsi="Liberation Serif"/>
                <w:b/>
                <w:color w:val="CC0000"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/>
                <w:b/>
                <w:color w:val="CC0000"/>
                <w:sz w:val="22"/>
                <w:szCs w:val="22"/>
              </w:rPr>
              <w:t>Технических требований</w:t>
            </w:r>
            <w:r>
              <w:rPr>
                <w:rFonts w:ascii="Liberation Serif" w:hAnsi="Liberation Serif"/>
                <w:b/>
                <w:color w:val="CC0000"/>
                <w:sz w:val="22"/>
                <w:szCs w:val="22"/>
              </w:rPr>
              <w:t>), будут закреплены  в Договоре.</w:t>
            </w:r>
            <w:r>
              <w:rPr>
                <w:rFonts w:ascii="Liberation Serif" w:hAnsi="Liberation Serif"/>
                <w:b/>
                <w:color w:val="CC0000"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/>
                <w:b/>
                <w:color w:val="CC0000"/>
                <w:sz w:val="22"/>
                <w:szCs w:val="22"/>
              </w:rPr>
              <w:t xml:space="preserve">Максимальная (предельная) цена Договора, а также ставка на ЭТП указываются в строгом соответствии с НМЦ — </w:t>
            </w:r>
            <w:r>
              <w:rPr>
                <w:rFonts w:ascii="Liberation Serif" w:hAnsi="Liberation Serif"/>
                <w:b/>
                <w:color w:val="CC0000"/>
                <w:sz w:val="22"/>
                <w:szCs w:val="22"/>
              </w:rPr>
              <w:t>3 929 628,98</w:t>
            </w:r>
            <w:r>
              <w:rPr>
                <w:rFonts w:ascii="Liberation Serif" w:hAnsi="Liberation Serif"/>
                <w:b/>
                <w:color w:val="CC0000"/>
                <w:sz w:val="22"/>
                <w:szCs w:val="22"/>
              </w:rPr>
              <w:t xml:space="preserve"> руб.  без НДС. Ставка на ЭТП должна оставаться неизменной.</w:t>
            </w:r>
          </w:p>
        </w:tc>
        <w:tc>
          <w:tcPr>
            <w:tcW w:w="299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326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Заполненные Приложения 1,2 к настоящим ТТ</w:t>
            </w:r>
          </w:p>
        </w:tc>
        <w:tc>
          <w:tcPr>
            <w:tcW w:w="34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</w:tbl>
    <w:p>
      <w:pPr>
        <w:pStyle w:val="Heading1"/>
        <w:keepLines/>
        <w:tabs>
          <w:tab w:val="clear" w:pos="0"/>
          <w:tab w:val="left" w:pos="632" w:leader="none"/>
          <w:tab w:val="left" w:pos="1134" w:leader="none"/>
        </w:tabs>
        <w:spacing w:before="0" w:after="0"/>
        <w:ind w:hanging="0" w:left="567"/>
        <w:contextualSpacing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Heading1"/>
        <w:tabs>
          <w:tab w:val="clear" w:pos="0"/>
          <w:tab w:val="left" w:pos="632" w:leader="none"/>
          <w:tab w:val="left" w:pos="1134" w:leader="none"/>
        </w:tabs>
        <w:spacing w:before="0" w:after="0"/>
        <w:ind w:hanging="0" w:left="567"/>
        <w:contextualSpacing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Heading1"/>
        <w:tabs>
          <w:tab w:val="clear" w:pos="0"/>
          <w:tab w:val="left" w:pos="632" w:leader="none"/>
          <w:tab w:val="left" w:pos="1134" w:leader="none"/>
        </w:tabs>
        <w:spacing w:before="0" w:after="0"/>
        <w:ind w:hanging="0" w:left="567"/>
        <w:contextualSpacing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Heading1"/>
        <w:tabs>
          <w:tab w:val="clear" w:pos="0"/>
          <w:tab w:val="left" w:pos="632" w:leader="none"/>
          <w:tab w:val="left" w:pos="1134" w:leader="none"/>
        </w:tabs>
        <w:spacing w:before="0" w:after="0"/>
        <w:ind w:hanging="0" w:left="567"/>
        <w:contextualSpacing/>
        <w:rPr/>
      </w:pPr>
      <w:r>
        <w:rPr>
          <w:sz w:val="22"/>
          <w:szCs w:val="22"/>
          <w:lang w:val="ru-RU"/>
        </w:rPr>
        <w:t>8</w:t>
      </w:r>
      <w:bookmarkStart w:id="65" w:name="_Toc211862539"/>
      <w:bookmarkStart w:id="66" w:name="_Toc211933707"/>
      <w:r>
        <w:rPr>
          <w:sz w:val="22"/>
          <w:szCs w:val="22"/>
          <w:lang w:val="ru-RU"/>
        </w:rPr>
        <w:t xml:space="preserve">. </w:t>
      </w:r>
      <w:bookmarkStart w:id="67" w:name="_Toc75446583"/>
      <w:bookmarkStart w:id="68" w:name="_Toc53393312"/>
      <w:r>
        <w:rPr>
          <w:sz w:val="22"/>
          <w:szCs w:val="22"/>
          <w:lang w:val="ru-RU"/>
        </w:rPr>
        <w:t>Требования к документации по ценообразованию</w:t>
      </w:r>
      <w:bookmarkEnd w:id="68"/>
      <w:r>
        <w:rPr>
          <w:sz w:val="22"/>
          <w:szCs w:val="22"/>
          <w:lang w:val="ru-RU"/>
        </w:rPr>
        <w:t xml:space="preserve"> на этапе закупки</w:t>
      </w:r>
      <w:bookmarkEnd w:id="65"/>
      <w:bookmarkEnd w:id="66"/>
      <w:bookmarkEnd w:id="67"/>
    </w:p>
    <w:p>
      <w:pPr>
        <w:pStyle w:val="Normal"/>
        <w:tabs>
          <w:tab w:val="clear" w:pos="708"/>
          <w:tab w:val="left" w:pos="1134" w:leader="none"/>
        </w:tabs>
        <w:spacing w:before="0" w:after="0"/>
        <w:ind w:hanging="0" w:right="593"/>
        <w:contextualSpacing/>
        <w:jc w:val="both"/>
        <w:rPr>
          <w:bCs/>
          <w:iCs/>
          <w:sz w:val="22"/>
          <w:szCs w:val="22"/>
          <w:lang w:eastAsia="x-none"/>
        </w:rPr>
      </w:pPr>
      <w:r>
        <w:rPr>
          <w:bCs/>
          <w:iCs/>
          <w:sz w:val="22"/>
          <w:szCs w:val="22"/>
          <w:lang w:eastAsia="x-none"/>
        </w:rPr>
        <w:t>8.1.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sectPr>
          <w:headerReference w:type="default" r:id="rId7"/>
          <w:headerReference w:type="first" r:id="rId8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spacing w:before="0" w:after="0"/>
        <w:ind w:hanging="0" w:right="593"/>
        <w:contextualSpacing/>
        <w:jc w:val="both"/>
        <w:rPr/>
      </w:pPr>
      <w:r>
        <w:rPr>
          <w:bCs/>
          <w:sz w:val="22"/>
          <w:szCs w:val="22"/>
        </w:rPr>
        <w:t>8.2.</w:t>
      </w:r>
      <w:r>
        <w:rPr>
          <w:sz w:val="22"/>
          <w:szCs w:val="22"/>
        </w:rPr>
        <w:t xml:space="preserve"> 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p>
      <w:pPr>
        <w:pStyle w:val="Heading1"/>
        <w:keepLines/>
        <w:tabs>
          <w:tab w:val="clear" w:pos="0"/>
        </w:tabs>
        <w:ind w:hanging="0" w:left="357"/>
        <w:jc w:val="right"/>
        <w:rPr>
          <w:iCs/>
          <w:caps/>
        </w:rPr>
      </w:pPr>
      <w:bookmarkStart w:id="69" w:name="_Toc211862540"/>
      <w:bookmarkStart w:id="70" w:name="_Toc211933708"/>
      <w:bookmarkStart w:id="71" w:name="_Toc51339699"/>
      <w:bookmarkStart w:id="72" w:name="_Toc46743519"/>
      <w:bookmarkStart w:id="73" w:name="_Toc75446585"/>
      <w:bookmarkEnd w:id="71"/>
      <w:bookmarkEnd w:id="72"/>
      <w:bookmarkEnd w:id="73"/>
      <w:r>
        <w:rPr>
          <w:b w:val="false"/>
          <w:caps/>
          <w:sz w:val="24"/>
          <w:szCs w:val="24"/>
        </w:rPr>
        <w:t>Приложение 1 к техническим требованиям</w:t>
      </w:r>
      <w:bookmarkEnd w:id="69"/>
      <w:bookmarkEnd w:id="70"/>
    </w:p>
    <w:p>
      <w:pPr>
        <w:pStyle w:val="Normal"/>
        <w:spacing w:before="240" w:after="120"/>
        <w:jc w:val="center"/>
        <w:rPr/>
      </w:pPr>
      <w:r>
        <w:rPr>
          <w:b/>
          <w:bCs/>
          <w:i/>
          <w:caps/>
          <w:sz w:val="24"/>
          <w:szCs w:val="24"/>
        </w:rPr>
        <w:t>Форма для заполнения участником</w:t>
      </w:r>
    </w:p>
    <w:p>
      <w:pPr>
        <w:pStyle w:val="Normal"/>
        <w:spacing w:before="240" w:after="120"/>
        <w:jc w:val="center"/>
        <w:rPr/>
      </w:pPr>
      <w:r>
        <w:rPr/>
      </w:r>
    </w:p>
    <w:tbl>
      <w:tblPr>
        <w:tblW w:w="1465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8"/>
        <w:gridCol w:w="1754"/>
        <w:gridCol w:w="3968"/>
        <w:gridCol w:w="1594"/>
        <w:gridCol w:w="900"/>
        <w:gridCol w:w="804"/>
        <w:gridCol w:w="1540"/>
        <w:gridCol w:w="1747"/>
        <w:gridCol w:w="683"/>
        <w:gridCol w:w="552"/>
        <w:gridCol w:w="541"/>
      </w:tblGrid>
      <w:tr>
        <w:trPr>
          <w:trHeight w:val="416" w:hRule="atLeast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№ 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>п/п</w:t>
            </w:r>
          </w:p>
        </w:tc>
        <w:tc>
          <w:tcPr>
            <w:tcW w:w="90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Требование Заказчика</w:t>
            </w:r>
          </w:p>
        </w:tc>
        <w:tc>
          <w:tcPr>
            <w:tcW w:w="50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Предложение Участника</w:t>
            </w:r>
          </w:p>
        </w:tc>
      </w:tr>
      <w:tr>
        <w:trPr>
          <w:trHeight w:val="490" w:hRule="atLeast"/>
        </w:trPr>
        <w:tc>
          <w:tcPr>
            <w:tcW w:w="5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Наименование, марка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i/>
                <w:iCs/>
                <w:sz w:val="22"/>
                <w:szCs w:val="22"/>
              </w:rPr>
              <w:t>Характеристики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Эквивалент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Arial Unicode MS" w:ascii="Liberation Serif" w:hAnsi="Liberation Serif"/>
                <w:b/>
                <w:bCs/>
                <w:sz w:val="22"/>
                <w:szCs w:val="22"/>
              </w:rPr>
              <w:t>Ед.</w:t>
            </w:r>
            <w:r>
              <w:rPr>
                <w:rFonts w:eastAsia="Arial Unicode MS" w:ascii="Liberation Serif" w:hAnsi="Liberation Serif"/>
                <w:b/>
                <w:bCs/>
                <w:color w:val="C9211E"/>
                <w:sz w:val="22"/>
                <w:szCs w:val="22"/>
              </w:rPr>
              <w:t>**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Arial Unicode MS" w:ascii="Liberation Serif" w:hAnsi="Liberation Serif"/>
                <w:b/>
                <w:bCs/>
                <w:i/>
                <w:iCs/>
                <w:sz w:val="22"/>
                <w:szCs w:val="22"/>
              </w:rPr>
              <w:t>изм.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Кол-во.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Наименование, марка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i/>
                <w:iCs/>
                <w:sz w:val="22"/>
                <w:szCs w:val="22"/>
              </w:rPr>
              <w:t>Характеристики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Год выпуска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Arial Unicode MS" w:ascii="Liberation Serif" w:hAnsi="Liberation Serif"/>
                <w:b/>
                <w:bCs/>
                <w:sz w:val="22"/>
                <w:szCs w:val="22"/>
              </w:rPr>
              <w:t>Ед.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Arial Unicode MS" w:ascii="Liberation Serif" w:hAnsi="Liberation Serif"/>
                <w:b/>
                <w:bCs/>
                <w:sz w:val="22"/>
                <w:szCs w:val="22"/>
              </w:rPr>
              <w:t>изм.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Кол-во.</w:t>
            </w:r>
          </w:p>
        </w:tc>
      </w:tr>
      <w:tr>
        <w:trPr>
          <w:trHeight w:val="150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3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Arial Unicode MS" w:ascii="Liberation Serif" w:hAnsi="Liberation Serif"/>
                <w:sz w:val="22"/>
                <w:szCs w:val="22"/>
              </w:rPr>
              <w:t>4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5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6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7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8</w:t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Arial Unicode MS" w:ascii="Liberation Serif" w:hAnsi="Liberation Serif"/>
                <w:sz w:val="22"/>
                <w:szCs w:val="22"/>
              </w:rPr>
              <w:t>9</w:t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10</w:t>
            </w:r>
          </w:p>
        </w:tc>
      </w:tr>
      <w:tr>
        <w:trPr>
          <w:trHeight w:val="351" w:hRule="atLeast"/>
        </w:trPr>
        <w:tc>
          <w:tcPr>
            <w:tcW w:w="1465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  <w:u w:val="single"/>
              </w:rPr>
              <w:t>филиал АО «ДРСК» «Хабаровские электрические сети»  (партия № 1) СП «Центральные электрически сети) г. Хабаровск</w:t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928400844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Блок дозировочный ТНВД 0928400844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33036-2203010-10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Вал 33036-2203010-10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27057.2201010 ГАЗ (шрусовый 6 болтов)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Вал карданный 27057.2201010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33097-2201010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Вал карданный 33097-2201010 1360мм ГАЗ,ПАЗ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53205-2201011-10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Вал карданный заднего моста 53205-2201011-10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2206-2201010-10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Вал карданный задний 2206-2201010-10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22177.2201010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Вал карданный задний 22177.2201010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27527-5022382-1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Вал карданный задний 27527-5022382-1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27527-5022382-1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Вал карданный задний 27527-5022382-1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43114-2203011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Вал карданный моста переднего 43114-2203011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220695-2203010-10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Вал карданный передний 220695-2203010-10 УАЗ 850мм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27527-5022382-2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Вал карданный передний 27527-5022382-2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27057-2202010 ГАЗ (6 болтов)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Вал карданный промежуточный 27057-2202010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33081-2202010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Вал карданный промежуточный 33081-2202010 ММЗ 650мм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5022380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Вал карданный промежуточный шрус 5022380 736мм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5022380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Вал карданный промежуточный шрус 5022380 736мм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У43114-2205011 699мм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Вал карданный среднего моста У43114-2205011 699мм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3142.3771 КамАЗ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Генератор 3142.3771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3212М.3771000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Генератор 3212М.3771000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32182.3771000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Генератор 32182.3771000 14В 110А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5122-3771000-50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Генератор 5122-3771000-50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4310-5003014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Гидроцилиндр опрокидывающего механизма кабины 4310-5003014 КамАЗ в сборе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110308-0239010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Датчик абсолютного давления воздуха 110308-0239010 УАЗ в сборе с встроенным датчиком температуры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258006537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Датчик кислорода 0258006537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1878000205/1878007196 КПП ZF 16S151 (SACHS)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Диск 1878000205/1878007196 Sachs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409-1601130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Диск сцепления ведомый 409-1601130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4216-1148010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Дроссель 4216-1148010 ГАЗ с электроприводом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245.1104300 (Я)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Комплект трубок высокого давления 245.1104300(Я) Д245 Евро-2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ПК306-01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Компрессор одноцилиндровый ПК306-01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53205-3509015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Компрессор одноцилиндровый пневматического привода тормозной системы 53205-3509015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3482083032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Корзина сцепления 3482083032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406.1601090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Корзина сцепления 406-1601090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PF 19001P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Коробка отбора мощности PF 19001P UNI МКМ,ПСКБМ 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33081-1700010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Коробка переключения передач 33081-1700010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32217-1800013-20 (дв. УМЗ)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Коробка раздаточная 32217-1800013-20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43114-1800020-60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Коробка раздаточная 43114-1800020-60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33027-1700010-30 (дв. УМЗ 405,406, 4216)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КПП 33027-1700010-30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11-3514308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Кран тормозной двухсекционный 11-3514308 ЗИЛ,КамАЗ,МАЗ ПААЗ в сборе с педалью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53205-2403081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Крестовина 53205-2403081-00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17-1601180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Муфта 17-1601180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3151000034/343151001051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Муфта выключения сцепления 3151000034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47-1111005-10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Насос высокого давления топливный двигателя дизельного 47-1111005-10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6520-3407200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Насос гидроусилителя руля 6520-3407200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740.21-1011010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Насос масляный 740.21-1011010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3741-1139020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Насос топливный 3741-1139020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4324101040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Осушитель воздуха 4324101040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43118-2403070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Полуось заднего моста короткая правая 43118-2403070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43118-2403069 КамАЗ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Полуось левая 43118-2403069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3741-8101060-20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Радиатор 3741-8101060-20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5320-1301010 КамАЗ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Радиатор 5320-1301010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54115-1301010-10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Радиатор водяного охлаждения 54115-1301010-10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124-1301010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Радиатор двигателя 124-1301010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3741-1301010-04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Радиатор двигателя 3741-1301010-04 УАЗ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316З-1301010-З0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Радиатор охлаждения двигателя 316З-1301010-З0 УАЗ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100-3512010 КамАЗ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Регулятор давления воздуха 100-3512010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53205-2402010-30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Редуктор задний 48/14 53205-2402010-30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452-2902012-03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Рессора (13 листов) передняя задняя 452-2902012-03 L1259мм УАЗ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55111-2902012-05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Рессора 55111-2902012-05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55111-2912012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Рессора задняя 55111-2912012 КамАЗ в сборе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11-131-827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Стартер 11.131.827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422.3708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Стартер 422.3708 БАТЭ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33027-3103004-10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Ступица передняя 33027-3103004-10 ГАЗель с подшипники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23107-3103013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Ступица передняя колеса 23107-3103013 ГАЗ УАЗ в сборе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3302.3501136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Суппорт переднего тормоза 3302-3501136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3302.3501137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Суппорт переднего тормоза 3302-3501137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4216-1600010М в сборе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Сцепление 4216-1600010М ГАЗ (муфта выключения)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740.60-1118013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Турбокомпрессор левый 740.60-1118013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740.60-1118012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Турбокомпрессор правый 740.60-1118012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4310-3414009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Тяга сошки рулевого механизма 4310-3414009 L800мм КамАЗ в сборе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А-04-001 (0445120153)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Форсунка А-04-001 (0445120153)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А-04-011-00-00-03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Форсунка топливная А-04-011-00-00-03 АЗПИ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0501.008.958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Цилиндр выключения сцепления 0501.008.958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5022382-1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Шрус карданного вала 5022382-1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5022382-2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ind w:hanging="0" w:left="0" w:right="0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Шрус карданного вала 5022382-2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43114-3805010-02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jc w:val="center"/>
              <w:rPr>
                <w:rFonts w:ascii="Arial" w:hAnsi="Arial"/>
                <w:color w:val="00000A"/>
                <w:sz w:val="16"/>
                <w:szCs w:val="16"/>
              </w:rPr>
            </w:pPr>
            <w:r>
              <w:rPr>
                <w:rFonts w:ascii="Arial" w:hAnsi="Arial"/>
                <w:color w:val="00000A"/>
                <w:sz w:val="16"/>
                <w:szCs w:val="16"/>
              </w:rPr>
              <w:t>Щиток приборов 43114-3805010-02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8784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</w:t>
            </w:r>
          </w:p>
        </w:tc>
        <w:tc>
          <w:tcPr>
            <w:tcW w:w="4522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i/>
                <w:i/>
                <w:iCs/>
                <w:sz w:val="22"/>
                <w:szCs w:val="22"/>
              </w:rPr>
            </w:pPr>
            <w:r>
              <w:rPr>
                <w:rFonts w:ascii="Liberation Serif" w:hAnsi="Liberation Serif"/>
                <w:i/>
                <w:iCs/>
                <w:sz w:val="22"/>
                <w:szCs w:val="22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</w:tbl>
    <w:p>
      <w:pPr>
        <w:pStyle w:val="Normal"/>
        <w:spacing w:before="0" w:after="120"/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default" r:id="rId9"/>
      <w:headerReference w:type="first" r:id="rId10"/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auto"/>
    <w:pitch w:val="default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1606CBF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1606CBF7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13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85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46da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 w:customStyle="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14" w:customStyle="1">
    <w:name w:val="Основной шрифт абзаца1"/>
    <w:qFormat/>
    <w:rPr/>
  </w:style>
  <w:style w:type="character" w:styleId="Strong">
    <w:name w:val="Strong"/>
    <w:qFormat/>
    <w:rPr>
      <w:b/>
      <w:bCs/>
    </w:rPr>
  </w:style>
  <w:style w:type="character" w:styleId="Style15">
    <w:name w:val="Основной шрифт абзаца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/>
    <w:rPr/>
  </w:style>
  <w:style w:type="paragraph" w:styleId="ListNumber">
    <w:name w:val="List Number"/>
    <w:basedOn w:val="Normal"/>
    <w:qFormat/>
    <w:pPr>
      <w:spacing w:lineRule="auto" w:line="360" w:before="60" w:after="0"/>
      <w:jc w:val="both"/>
    </w:pPr>
    <w:rPr>
      <w:szCs w:val="24"/>
    </w:rPr>
  </w:style>
  <w:style w:type="paragraph" w:styleId="Style36" w:customStyle="1">
    <w:name w:val="Заголовок таблицы"/>
    <w:basedOn w:val="Style3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header" Target="header9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0C7A66-4FF6-4F9B-8CBF-08CD67F15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1669</TotalTime>
  <Application>AlterOffice/2026.2.0.0$Linux_X86_64 LibreOffice_project/bc4ef1adf80b36c7a6365f8ed6cbf29021361edd</Application>
  <AppVersion>15.0000</AppVersion>
  <Pages>19</Pages>
  <Words>3089</Words>
  <Characters>21178</Characters>
  <CharactersWithSpaces>23022</CharactersWithSpaces>
  <Paragraphs>1262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2021-04-05T15:04:00Z</dcterms:created>
  <dc:creator>Быстров Олег Геннадьевич</dc:creator>
  <dc:description/>
  <dc:language>ru-RU</dc:language>
  <cp:lastModifiedBy>demchuk_ig</cp:lastModifiedBy>
  <cp:lastPrinted>2006-07-26T14:04:00Z</cp:lastPrinted>
  <dcterms:modified xsi:type="dcterms:W3CDTF">2026-09-17T10:45:26Z</dcterms:modified>
  <cp:revision>304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