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header1.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document.xml" ContentType="application/vnd.openxmlformats-officedocument.wordprocessingml.document.main+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9"/>
          <w:tab w:val="left" w:pos="6926" w:leader="none"/>
        </w:tabs>
        <w:jc w:val="center"/>
        <w:rPr>
          <w:b/>
          <w:sz w:val="24"/>
          <w:szCs w:val="24"/>
        </w:rPr>
      </w:pPr>
      <w:r>
        <w:rPr>
          <w:b/>
          <w:bCs/>
          <w:sz w:val="24"/>
          <w:szCs w:val="24"/>
        </w:rPr>
        <w:t xml:space="preserve">Договор поставки  № </w:t>
      </w:r>
    </w:p>
    <w:p>
      <w:pPr>
        <w:pStyle w:val="Normal"/>
        <w:shd w:val="clear" w:color="auto" w:fill="FFFFFF"/>
        <w:tabs>
          <w:tab w:val="clear" w:pos="709"/>
          <w:tab w:val="right" w:pos="9639" w:leader="none"/>
        </w:tabs>
        <w:jc w:val="right"/>
        <w:rPr>
          <w:bCs/>
          <w:sz w:val="24"/>
          <w:szCs w:val="24"/>
        </w:rPr>
      </w:pPr>
      <w:r>
        <w:rPr>
          <w:bCs/>
          <w:sz w:val="24"/>
          <w:szCs w:val="24"/>
        </w:rPr>
        <w:t>г. Пермь</w:t>
        <w:tab/>
        <w:t xml:space="preserve">   «___» _________ 2026 г.</w:t>
      </w:r>
    </w:p>
    <w:p>
      <w:pPr>
        <w:pStyle w:val="Normal"/>
        <w:shd w:val="clear" w:color="auto" w:fill="FFFFFF"/>
        <w:tabs>
          <w:tab w:val="clear" w:pos="709"/>
          <w:tab w:val="right" w:pos="9639" w:leader="none"/>
        </w:tabs>
        <w:jc w:val="right"/>
        <w:rPr>
          <w:bCs/>
          <w:sz w:val="24"/>
          <w:szCs w:val="24"/>
        </w:rPr>
      </w:pPr>
      <w:r>
        <w:rPr>
          <w:bCs/>
          <w:sz w:val="24"/>
          <w:szCs w:val="24"/>
        </w:rPr>
      </w:r>
    </w:p>
    <w:p>
      <w:pPr>
        <w:pStyle w:val="Normal"/>
        <w:ind w:firstLine="709"/>
        <w:jc w:val="both"/>
        <w:rPr>
          <w:rFonts w:ascii="Times New Roman" w:hAnsi="Times New Roman" w:eastAsia="Times New Roman" w:cs="Times New Roman"/>
          <w:bCs/>
          <w:color w:val="auto"/>
          <w:kern w:val="0"/>
          <w:sz w:val="24"/>
          <w:szCs w:val="24"/>
          <w:lang w:val="ru-RU" w:eastAsia="ru-RU" w:bidi="ar-SA"/>
        </w:rPr>
      </w:pPr>
      <w:r>
        <w:rPr>
          <w:rFonts w:eastAsia="Times New Roman" w:cs="Times New Roman"/>
          <w:b/>
          <w:bCs/>
          <w:color w:val="auto"/>
          <w:kern w:val="0"/>
          <w:sz w:val="24"/>
          <w:szCs w:val="24"/>
          <w:lang w:val="ru-RU" w:eastAsia="ru-RU" w:bidi="ar-SA"/>
        </w:rPr>
        <w:t>Публичное акционерное общество «Федеральная гидрогенерирующая компания – РусГидро» (ПАО «РусГидро»)</w:t>
      </w:r>
      <w:r>
        <w:rPr>
          <w:rFonts w:eastAsia="Times New Roman" w:cs="Times New Roman"/>
          <w:bCs/>
          <w:color w:val="auto"/>
          <w:kern w:val="0"/>
          <w:sz w:val="24"/>
          <w:szCs w:val="24"/>
          <w:lang w:val="ru-RU" w:eastAsia="ru-RU" w:bidi="ar-SA"/>
        </w:rPr>
        <w:t xml:space="preserve"> (далее – «Покупатель»), в лице директора филиала ПАО «РусГидро»-«Камская ГЭС» Двинянинова Сергея Валерьевича, действующего на основании</w:t>
      </w:r>
    </w:p>
    <w:p>
      <w:pPr>
        <w:pStyle w:val="Normal"/>
        <w:ind w:hanging="0"/>
        <w:jc w:val="both"/>
        <w:rPr>
          <w:spacing w:val="10"/>
          <w:sz w:val="24"/>
          <w:szCs w:val="24"/>
        </w:rPr>
      </w:pPr>
      <w:r>
        <w:rPr>
          <w:spacing w:val="4"/>
          <w:sz w:val="24"/>
          <w:szCs w:val="24"/>
        </w:rPr>
        <w:t>машиночитаемой доверенности № e726d06c-82be-48e9-afe4-44d2ab33baf5 от 23.01.2025 , с одной стороны, и</w:t>
      </w:r>
      <w:r>
        <w:rPr>
          <w:spacing w:val="10"/>
          <w:sz w:val="24"/>
          <w:szCs w:val="24"/>
        </w:rPr>
        <w:t xml:space="preserve"> </w:t>
      </w:r>
    </w:p>
    <w:p>
      <w:pPr>
        <w:pStyle w:val="Normal"/>
        <w:ind w:firstLine="709"/>
        <w:jc w:val="both"/>
        <w:rPr>
          <w:sz w:val="24"/>
          <w:szCs w:val="24"/>
        </w:rPr>
      </w:pPr>
      <w:r>
        <w:rPr>
          <w:b/>
          <w:bCs/>
          <w:spacing w:val="10"/>
          <w:sz w:val="24"/>
          <w:szCs w:val="24"/>
        </w:rPr>
        <w:t xml:space="preserve">____________________________________________________________________ </w:t>
      </w:r>
      <w:r>
        <w:rPr>
          <w:bCs/>
          <w:sz w:val="24"/>
          <w:szCs w:val="24"/>
        </w:rPr>
        <w:t xml:space="preserve"> </w:t>
      </w:r>
      <w:r>
        <w:rPr>
          <w:sz w:val="24"/>
          <w:szCs w:val="24"/>
        </w:rPr>
        <w:t xml:space="preserve">(далее – «Поставщик»), в лице ___________________________________________, действующего на основании _____________________________, с другой стороны, </w:t>
      </w:r>
    </w:p>
    <w:p>
      <w:pPr>
        <w:pStyle w:val="Normal"/>
        <w:ind w:firstLine="709"/>
        <w:jc w:val="both"/>
        <w:rPr>
          <w:sz w:val="24"/>
          <w:szCs w:val="24"/>
        </w:rPr>
      </w:pPr>
      <w:r>
        <w:rPr>
          <w:sz w:val="24"/>
          <w:szCs w:val="24"/>
        </w:rPr>
        <w:t xml:space="preserve">совместно в дальнейшем именуемые «Стороны», а по отдельности – «Сторона», </w:t>
        <w:br/>
        <w:t>заключили настоящий договор поставки (далее – «Договор») о нижеследующем:</w:t>
      </w:r>
    </w:p>
    <w:p>
      <w:pPr>
        <w:pStyle w:val="Normal"/>
        <w:shd w:val="clear" w:color="auto" w:fill="FFFFFF"/>
        <w:rPr>
          <w:bCs/>
          <w:sz w:val="24"/>
          <w:szCs w:val="24"/>
          <w:lang w:val="x-none"/>
        </w:rPr>
      </w:pPr>
      <w:r>
        <w:rPr>
          <w:bCs/>
          <w:sz w:val="24"/>
          <w:szCs w:val="24"/>
          <w:lang w:val="x-none"/>
        </w:rPr>
      </w:r>
    </w:p>
    <w:p>
      <w:pPr>
        <w:pStyle w:val="Normal"/>
        <w:shd w:val="clear" w:color="auto" w:fill="FFFFFF"/>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ТОРГ-2 «Акт об установленном расхождении по количеству и качеству при приемке товарно-материальных ценностей» и № ТОРГ</w:t>
      </w:r>
      <w:r>
        <w:rPr>
          <w:sz w:val="24"/>
          <w:szCs w:val="24"/>
        </w:rPr>
        <w:t>-</w:t>
      </w:r>
      <w:r>
        <w:rPr>
          <w:sz w:val="24"/>
          <w:szCs w:val="24"/>
          <w:lang w:eastAsia="en-US"/>
        </w:rPr>
        <w:t xml:space="preserve">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9"/>
          <w:tab w:val="left" w:pos="567" w:leader="none"/>
          <w:tab w:val="left" w:pos="1134" w:leader="none"/>
        </w:tabs>
        <w:ind w:firstLine="708" w:left="0"/>
        <w:jc w:val="both"/>
        <w:textAlignment w:val="baseline"/>
        <w:rPr>
          <w:sz w:val="24"/>
          <w:szCs w:val="24"/>
          <w:lang w:eastAsia="en-US"/>
        </w:rPr>
      </w:pPr>
      <w:r>
        <w:rPr>
          <w:b/>
          <w:sz w:val="24"/>
          <w:szCs w:val="24"/>
          <w:lang w:eastAsia="en-US"/>
        </w:rPr>
        <w:t xml:space="preserve"> </w:t>
      </w: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9"/>
          <w:tab w:val="left" w:pos="0" w:leader="none"/>
        </w:tabs>
        <w:ind w:firstLine="709" w:left="0"/>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от 25.12.1998 № 132, подписываемый Сторонами после завершения приемки Товара по количеству, качеству и комплектности.</w:t>
      </w:r>
    </w:p>
    <w:p>
      <w:pPr>
        <w:pStyle w:val="Normal"/>
        <w:numPr>
          <w:ilvl w:val="0"/>
        </w:numPr>
        <w:suppressAutoHyphens w:val="false"/>
        <w:spacing w:lineRule="auto" w:line="240" w:before="0" w:after="0"/>
        <w:ind w:firstLine="567"/>
        <w:jc w:val="both"/>
        <w:rPr>
          <w:rFonts w:ascii="Times New Roman" w:hAnsi="Times New Roman" w:eastAsia="Times New Roman" w:cs="Times New Roman"/>
          <w:b/>
          <w:sz w:val="28"/>
          <w:szCs w:val="28"/>
          <w:lang w:eastAsia="ru-RU"/>
        </w:rPr>
      </w:pPr>
      <w:r>
        <w:rPr>
          <w:rFonts w:eastAsia="Times New Roman" w:cs="Times New Roman"/>
          <w:b/>
          <w:color w:val="auto"/>
          <w:kern w:val="0"/>
          <w:sz w:val="24"/>
          <w:szCs w:val="24"/>
          <w:lang w:val="ru-RU" w:eastAsia="en-US" w:bidi="ar-SA"/>
        </w:rPr>
        <w:t xml:space="preserve">«Универсальный передаточный документ (УПД)» </w:t>
      </w:r>
      <w:r>
        <w:rPr>
          <w:rFonts w:eastAsia="Times New Roman" w:cs="Times New Roman"/>
          <w:color w:val="auto"/>
          <w:kern w:val="0"/>
          <w:sz w:val="24"/>
          <w:szCs w:val="24"/>
          <w:lang w:val="ru-RU" w:eastAsia="en-US" w:bidi="ar-SA"/>
        </w:rPr>
        <w:t xml:space="preserve">– форма документа, рекомендованная для применения письмом ФНС России от 21.10.2013 </w:t>
        <w:br/>
        <w:t xml:space="preserve">№ ММВ-20-3/96@ (объединяет реквизиты </w:t>
      </w:r>
      <w:hyperlink r:id="rId2">
        <w:r>
          <w:rPr>
            <w:rStyle w:val="Hyperlink"/>
            <w:rFonts w:eastAsia="Times New Roman" w:cs="Times New Roman"/>
            <w:color w:val="auto"/>
            <w:kern w:val="0"/>
            <w:sz w:val="24"/>
            <w:szCs w:val="24"/>
            <w:u w:val="none"/>
            <w:lang w:val="ru-RU" w:eastAsia="en-US" w:bidi="ar-SA"/>
          </w:rPr>
          <w:t>счета-фактуры</w:t>
        </w:r>
      </w:hyperlink>
      <w:r>
        <w:rPr>
          <w:rFonts w:eastAsia="Times New Roman" w:cs="Times New Roman"/>
          <w:color w:val="auto"/>
          <w:kern w:val="0"/>
          <w:sz w:val="24"/>
          <w:szCs w:val="24"/>
          <w:u w:val="none"/>
          <w:lang w:val="ru-RU" w:eastAsia="en-US" w:bidi="ar-SA"/>
        </w:rPr>
        <w:t xml:space="preserve"> и </w:t>
      </w:r>
      <w:hyperlink r:id="rId3">
        <w:r>
          <w:rPr>
            <w:rStyle w:val="Hyperlink"/>
            <w:rFonts w:eastAsia="Times New Roman" w:cs="Times New Roman"/>
            <w:color w:val="auto"/>
            <w:kern w:val="0"/>
            <w:sz w:val="24"/>
            <w:szCs w:val="24"/>
            <w:u w:val="none"/>
            <w:lang w:val="ru-RU" w:eastAsia="en-US" w:bidi="ar-SA"/>
          </w:rPr>
          <w:t>первичного документа</w:t>
        </w:r>
      </w:hyperlink>
      <w:r>
        <w:rPr>
          <w:rFonts w:eastAsia="Times New Roman" w:cs="Times New Roman"/>
          <w:color w:val="auto"/>
          <w:kern w:val="0"/>
          <w:sz w:val="24"/>
          <w:szCs w:val="24"/>
          <w:lang w:val="ru-RU" w:eastAsia="en-US" w:bidi="ar-SA"/>
        </w:rPr>
        <w:t xml:space="preserve"> о передаче товаров, работ, услуг).</w:t>
      </w:r>
    </w:p>
    <w:p>
      <w:pPr>
        <w:pStyle w:val="ListParagraph"/>
        <w:shd w:val="clear" w:color="auto" w:fill="FFFFFF"/>
        <w:tabs>
          <w:tab w:val="clear" w:pos="709"/>
          <w:tab w:val="left" w:pos="0" w:leader="none"/>
        </w:tabs>
        <w:overflowPunct w:val="true"/>
        <w:ind w:firstLine="709" w:left="0"/>
        <w:jc w:val="both"/>
        <w:textAlignment w:val="baseline"/>
        <w:rPr>
          <w:b/>
          <w:sz w:val="24"/>
          <w:szCs w:val="24"/>
          <w:lang w:eastAsia="en-US"/>
        </w:rPr>
      </w:pPr>
      <w:r>
        <w:rPr>
          <w:rFonts w:eastAsia="Times New Roman" w:cs="Times New Roman"/>
          <w:b/>
          <w:bCs/>
          <w:color w:val="auto"/>
          <w:kern w:val="0"/>
          <w:sz w:val="24"/>
          <w:szCs w:val="24"/>
          <w:lang w:val="ru-RU" w:eastAsia="en-US" w:bidi="ar-SA"/>
        </w:rPr>
        <w:t>«Национальный режим»</w:t>
      </w:r>
      <w:r>
        <w:rPr>
          <w:rFonts w:eastAsia="Times New Roman" w:cs="Times New Roman"/>
          <w:bCs/>
          <w:color w:val="auto"/>
          <w:kern w:val="0"/>
          <w:sz w:val="24"/>
          <w:szCs w:val="24"/>
          <w:lang w:val="ru-RU" w:eastAsia="en-US" w:bidi="ar-SA"/>
        </w:rPr>
        <w:t xml:space="preserve"> - установленные законодательством Российской Федерации условия, обеспечивающие предоставление (или непредоставление) для происходящей из иностранного государства продукции прав участия в закупке, равных с правами для продукции российского происхождения.</w:t>
      </w:r>
      <w:r>
        <w:rPr>
          <w:rFonts w:eastAsia="Times New Roman" w:cs="Times New Roman"/>
          <w:b/>
          <w:color w:val="auto"/>
          <w:kern w:val="0"/>
          <w:sz w:val="24"/>
          <w:szCs w:val="24"/>
          <w:lang w:val="ru-RU" w:eastAsia="en-US" w:bidi="ar-SA"/>
        </w:rPr>
        <w:t xml:space="preserve"> </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Российской Федерации в случаях, установленных Договором. </w:t>
      </w:r>
    </w:p>
    <w:p>
      <w:pPr>
        <w:pStyle w:val="Normal"/>
        <w:jc w:val="both"/>
        <w:rPr>
          <w:sz w:val="24"/>
          <w:szCs w:val="24"/>
          <w:lang w:eastAsia="en-US"/>
        </w:rPr>
      </w:pPr>
      <w:r>
        <w:rPr>
          <w:b/>
          <w:sz w:val="24"/>
          <w:szCs w:val="24"/>
          <w:lang w:eastAsia="en-US"/>
        </w:rPr>
        <w:t xml:space="preserve">            </w:t>
      </w:r>
      <w:r>
        <w:rPr>
          <w:b/>
          <w:sz w:val="24"/>
          <w:szCs w:val="24"/>
          <w:lang w:eastAsia="en-US"/>
        </w:rPr>
        <w:t>«Применимое право»</w:t>
      </w:r>
      <w:r>
        <w:rPr>
          <w:sz w:val="24"/>
          <w:szCs w:val="24"/>
          <w:lang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8"/>
        <w:jc w:val="both"/>
        <w:rPr>
          <w:sz w:val="24"/>
          <w:szCs w:val="24"/>
          <w:lang w:eastAsia="en-US"/>
        </w:rPr>
      </w:pPr>
      <w:r>
        <w:rPr>
          <w:b/>
          <w:sz w:val="24"/>
          <w:szCs w:val="24"/>
          <w:lang w:eastAsia="en-US"/>
        </w:rPr>
        <w:t xml:space="preserve"> </w:t>
      </w: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tabs>
          <w:tab w:val="clear" w:pos="709"/>
          <w:tab w:val="left" w:pos="0" w:leader="none"/>
        </w:tabs>
        <w:spacing w:before="0" w:after="0"/>
        <w:ind w:firstLine="708"/>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Предмет Договора</w:t>
      </w:r>
    </w:p>
    <w:p>
      <w:pPr>
        <w:pStyle w:val="Normal"/>
        <w:numPr>
          <w:ilvl w:val="1"/>
          <w:numId w:val="2"/>
        </w:numPr>
        <w:shd w:val="clear" w:color="auto" w:fill="FFFFFF"/>
        <w:tabs>
          <w:tab w:val="clear" w:pos="709"/>
          <w:tab w:val="left" w:pos="1134" w:leader="none"/>
        </w:tabs>
        <w:ind w:firstLine="709" w:left="0"/>
        <w:jc w:val="both"/>
        <w:rPr>
          <w:bCs/>
          <w:sz w:val="24"/>
          <w:szCs w:val="24"/>
        </w:rPr>
      </w:pPr>
      <w:r>
        <w:rPr>
          <w:rFonts w:eastAsia="Times New Roman" w:cs="Times New Roman"/>
          <w:bCs/>
          <w:sz w:val="24"/>
          <w:szCs w:val="24"/>
          <w:lang w:eastAsia="ru-RU"/>
        </w:rPr>
        <w:t>Поставщик обязуется в порядке и сроки, установленные Договором, передать в собственность Покупате</w:t>
      </w:r>
      <w:r>
        <w:rPr>
          <w:rFonts w:eastAsia="Times New Roman" w:cs="Times New Roman"/>
          <w:bCs/>
          <w:color w:val="auto"/>
          <w:kern w:val="0"/>
          <w:sz w:val="24"/>
          <w:szCs w:val="24"/>
          <w:lang w:val="ru-RU" w:eastAsia="ru-RU" w:bidi="ar-SA"/>
        </w:rPr>
        <w:t xml:space="preserve">лю канцелярские товары </w:t>
      </w:r>
      <w:r>
        <w:rPr>
          <w:rFonts w:eastAsia="Times New Roman" w:cs="Times New Roman"/>
          <w:bCs/>
          <w:sz w:val="24"/>
          <w:szCs w:val="24"/>
          <w:lang w:eastAsia="ru-RU"/>
        </w:rPr>
        <w:t>(далее – «Товар») в соответствии со Спецификацией (Приложение № 1 к Договору), а Покупатель обязуется принять Товар и уплатить Цену Договора</w:t>
      </w:r>
      <w:r>
        <w:rPr>
          <w:bCs/>
          <w:sz w:val="24"/>
          <w:szCs w:val="24"/>
        </w:rPr>
        <w:t>.</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Поставка Товара по Договору осуществляется для нужд филиала ПАО «РусГидро»-«Камская ГЭС».</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Место поставки Товара: </w:t>
      </w:r>
      <w:r>
        <w:rPr>
          <w:sz w:val="24"/>
          <w:szCs w:val="24"/>
        </w:rPr>
        <w:t>г. Пермь, ул. Соликамская, д. 329 (далее – «Место поставки»).</w:t>
      </w:r>
    </w:p>
    <w:p>
      <w:pPr>
        <w:pStyle w:val="Normal"/>
        <w:numPr>
          <w:ilvl w:val="1"/>
          <w:numId w:val="2"/>
        </w:numPr>
        <w:shd w:val="clear" w:color="auto" w:fill="FFFFFF"/>
        <w:tabs>
          <w:tab w:val="clear" w:pos="709"/>
          <w:tab w:val="left" w:pos="0" w:leader="none"/>
          <w:tab w:val="left" w:pos="540" w:leader="none"/>
          <w:tab w:val="left" w:pos="1134" w:leader="none"/>
        </w:tabs>
        <w:ind w:firstLine="709" w:left="0"/>
        <w:jc w:val="both"/>
        <w:rPr>
          <w:bCs/>
          <w:sz w:val="24"/>
          <w:szCs w:val="24"/>
        </w:rPr>
      </w:pPr>
      <w:r>
        <w:rPr>
          <w:bCs/>
          <w:sz w:val="24"/>
          <w:szCs w:val="24"/>
        </w:rPr>
        <w:t>Общий срок поставки Товара:</w:t>
      </w:r>
    </w:p>
    <w:p>
      <w:pPr>
        <w:pStyle w:val="Standard"/>
        <w:numPr>
          <w:ilvl w:val="2"/>
          <w:numId w:val="2"/>
        </w:numPr>
        <w:shd w:val="clear" w:color="auto" w:fill="FFFFFF"/>
        <w:tabs>
          <w:tab w:val="clear" w:pos="709"/>
          <w:tab w:val="left" w:pos="0" w:leader="none"/>
          <w:tab w:val="left" w:pos="1134" w:leader="none"/>
          <w:tab w:val="left" w:pos="1418" w:leader="none"/>
        </w:tabs>
        <w:ind w:hanging="930" w:left="1639"/>
        <w:jc w:val="both"/>
        <w:rPr>
          <w:bCs/>
        </w:rPr>
      </w:pPr>
      <w:r>
        <w:rPr>
          <w:bCs/>
        </w:rPr>
        <w:t xml:space="preserve">Начало – </w:t>
      </w:r>
      <w:r>
        <w:rPr>
          <w:rFonts w:ascii="Times New Roman" w:hAnsi="Times New Roman"/>
          <w:bCs/>
        </w:rPr>
        <w:t xml:space="preserve">с даты заключения Договора. </w:t>
      </w:r>
    </w:p>
    <w:p>
      <w:pPr>
        <w:pStyle w:val="Normal"/>
        <w:widowControl w:val="false"/>
        <w:numPr>
          <w:ilvl w:val="0"/>
          <w:numId w:val="0"/>
        </w:numPr>
        <w:tabs>
          <w:tab w:val="clear" w:pos="709"/>
          <w:tab w:val="left" w:pos="1412" w:leader="none"/>
        </w:tabs>
        <w:suppressAutoHyphens w:val="true"/>
        <w:bidi w:val="0"/>
        <w:spacing w:before="0" w:after="0"/>
        <w:ind w:hanging="0" w:left="0" w:right="0"/>
        <w:jc w:val="both"/>
        <w:rPr>
          <w:highlight w:val="none"/>
          <w:shd w:fill="auto" w:val="clear"/>
        </w:rPr>
      </w:pPr>
      <w:r>
        <w:rPr>
          <w:bCs/>
          <w:sz w:val="24"/>
          <w:szCs w:val="24"/>
          <w:shd w:fill="auto" w:val="clear"/>
        </w:rPr>
        <w:t xml:space="preserve">            </w:t>
      </w:r>
      <w:r>
        <w:rPr>
          <w:bCs/>
          <w:sz w:val="24"/>
          <w:szCs w:val="24"/>
          <w:shd w:fill="auto" w:val="clear"/>
        </w:rPr>
        <w:t>1.4.2. Окончание – «30» ноября 2026 года.</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Товар поставляется одной партией в рамках общих сроков, указанных в пункте 1.4 Договора. </w:t>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Цена Договора и порядок расчетов</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sz w:val="24"/>
          <w:szCs w:val="24"/>
        </w:rPr>
        <w:t xml:space="preserve">Цена Договора в соответствии со Спецификацией (Приложение № 1 к Договору) </w:t>
      </w:r>
      <w:r>
        <w:rPr>
          <w:bCs/>
          <w:sz w:val="24"/>
          <w:szCs w:val="24"/>
        </w:rPr>
        <w:t>является  твердой и составляет __________________________________________ (________________________________________) рублей _______ копеек без учета НДС, при этом НДС исчисляется дополнительно по ставке, установленной статьей 164 Налогового Кодекса Российской Федерации (далее – НК РФ).</w:t>
      </w:r>
    </w:p>
    <w:p>
      <w:pPr>
        <w:pStyle w:val="ListParagraph"/>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производство и / или приобретение Товара;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транспортировку Товара до Места поставки, погрузку, разгрузку, перемещение по территории Покупателя, стоимость тары и упаковки, лицензий, необходимых для использования Товара (если применимо);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r>
        <w:rPr>
          <w:bCs/>
          <w:sz w:val="24"/>
          <w:szCs w:val="24"/>
          <w:lang w:val="en-US"/>
        </w:rPr>
        <w:t>;</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заработную плату, накладные и командировочные расходы, перемещение и размещение персонала Поставщика;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9"/>
          <w:tab w:val="left" w:pos="568" w:leader="none"/>
          <w:tab w:val="left" w:pos="1134" w:leader="none"/>
        </w:tabs>
        <w:ind w:firstLine="709" w:left="0"/>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numPr>
          <w:ilvl w:val="1"/>
          <w:numId w:val="2"/>
        </w:numPr>
        <w:shd w:val="clear" w:color="auto" w:fill="FFFFFF"/>
        <w:tabs>
          <w:tab w:val="clear" w:pos="709"/>
          <w:tab w:val="left" w:pos="0" w:leader="none"/>
          <w:tab w:val="left" w:pos="1134" w:leader="none"/>
        </w:tabs>
        <w:ind w:firstLine="709" w:left="0"/>
        <w:jc w:val="both"/>
        <w:rPr>
          <w:sz w:val="24"/>
          <w:szCs w:val="24"/>
        </w:rPr>
      </w:pPr>
      <w:r>
        <w:rPr>
          <w:sz w:val="24"/>
          <w:szCs w:val="24"/>
        </w:rPr>
        <w:t xml:space="preserve">Оплата по Договору осуществляется Покупателем в следующем порядке: </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24"/>
          <w:szCs w:val="24"/>
        </w:rPr>
      </w:pPr>
      <w:r>
        <w:rPr>
          <w:sz w:val="24"/>
          <w:szCs w:val="24"/>
        </w:rPr>
        <w:t>Авансовый платеж за Товар в размере 30 (тридцати) процентов от стоимости Товара без учета НДС, кроме того НДС по ставке, установленной статьей 164 НК РФ на дату выплаты авансового платежа, выплачивается Поставщику в течение 30 (тридцати) календарных дней с даты получения Покупателем счета, выставленного Поставщиком, но не ранее чем за 30 (тридцать) календарных дней до даты поставки  Товара, и с учетом пункта 2.4.3 Договора.</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24"/>
          <w:szCs w:val="24"/>
        </w:rPr>
      </w:pPr>
      <w:r>
        <w:rPr>
          <w:sz w:val="24"/>
          <w:szCs w:val="24"/>
        </w:rPr>
        <w:t>Последующий платеж в размере разницы между стоимостью Товара без учета НДС, кроме того НДС по ставке, установленной статьей 164 НК РФ на дату подписания Сторонами нак</w:t>
      </w:r>
      <w:r>
        <w:rPr>
          <w:sz w:val="24"/>
          <w:szCs w:val="24"/>
          <w:shd w:fill="auto" w:val="clear"/>
        </w:rPr>
        <w:t>ладной ТОРГ-12/УПД, и суммой ранее уплаченного авансового платежа, выплачивается Поставщику в течение 20 (двадцати) календарных дней с даты подписания Сторонами накладной ТОРГ-12/УПД, на основании счета, выставленного Поставщиком, и с учетом пункта 2.4.3 Договора.</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Индексация Цены Договора не допускается.</w:t>
      </w:r>
    </w:p>
    <w:p>
      <w:pPr>
        <w:pStyle w:val="ListParagraph"/>
        <w:numPr>
          <w:ilvl w:val="1"/>
          <w:numId w:val="2"/>
        </w:numPr>
        <w:tabs>
          <w:tab w:val="clear" w:pos="709"/>
          <w:tab w:val="left" w:pos="1134" w:leader="none"/>
        </w:tabs>
        <w:ind w:firstLine="709" w:left="0"/>
        <w:jc w:val="both"/>
        <w:rPr>
          <w:sz w:val="24"/>
          <w:szCs w:val="24"/>
        </w:rPr>
      </w:pPr>
      <w:r>
        <w:rPr>
          <w:sz w:val="24"/>
          <w:szCs w:val="24"/>
        </w:rPr>
        <w:t>Поставщик обязан представить Покупателю счета-фактуры (УПД),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 (УПД)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(УПД),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2"/>
        </w:numPr>
        <w:tabs>
          <w:tab w:val="clear" w:pos="709"/>
          <w:tab w:val="left" w:pos="1134" w:leader="none"/>
        </w:tabs>
        <w:ind w:firstLine="709" w:left="0"/>
        <w:jc w:val="both"/>
        <w:rPr>
          <w:sz w:val="24"/>
          <w:szCs w:val="24"/>
        </w:rPr>
      </w:pPr>
      <w:r>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pPr>
        <w:pStyle w:val="ListParagraph"/>
        <w:numPr>
          <w:ilvl w:val="1"/>
          <w:numId w:val="2"/>
        </w:numPr>
        <w:tabs>
          <w:tab w:val="clear" w:pos="709"/>
          <w:tab w:val="left" w:pos="1134" w:leader="none"/>
        </w:tabs>
        <w:ind w:firstLine="709" w:left="0"/>
        <w:jc w:val="both"/>
        <w:rPr>
          <w:sz w:val="24"/>
          <w:szCs w:val="24"/>
        </w:rPr>
      </w:pPr>
      <w:r>
        <w:rPr>
          <w:sz w:val="24"/>
        </w:rPr>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w:t>
      </w:r>
      <w:r>
        <w:rPr>
          <w:iCs/>
          <w:sz w:val="24"/>
          <w:szCs w:val="24"/>
        </w:rPr>
        <w:t>Поставщика перед Покупателем</w:t>
      </w:r>
      <w:r>
        <w:rPr>
          <w:sz w:val="24"/>
        </w:rPr>
        <w:t>,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Normal"/>
        <w:tabs>
          <w:tab w:val="clear" w:pos="709"/>
          <w:tab w:val="left" w:pos="1134" w:leader="none"/>
        </w:tabs>
        <w:ind w:firstLine="709"/>
        <w:jc w:val="both"/>
        <w:rPr>
          <w:sz w:val="24"/>
          <w:szCs w:val="24"/>
        </w:rPr>
      </w:pPr>
      <w:r>
        <w:rPr>
          <w:sz w:val="24"/>
          <w:szCs w:val="24"/>
        </w:rPr>
        <w:t>Покупатель направляет Поставщику уведомление о проведении сальдо взаимных обязательств Сторон по Договору.</w:t>
      </w:r>
    </w:p>
    <w:p>
      <w:pPr>
        <w:pStyle w:val="Normal"/>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sz w:val="24"/>
          <w:szCs w:val="24"/>
        </w:rPr>
        <w:t>Поставка Товара осуществляется одной партией в Место поставки, указанное в пункте 1.3 Договора.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Качество, комплектность, количество и ассортимент поставляемого по Договору Товара должны соответствовать требованиям Договора и Покупателя,</w:t>
      </w:r>
      <w:r>
        <w:rPr>
          <w:b/>
          <w:bCs/>
          <w:sz w:val="24"/>
          <w:szCs w:val="24"/>
        </w:rPr>
        <w:t xml:space="preserve"> </w:t>
      </w:r>
      <w:r>
        <w:rPr>
          <w:bCs/>
          <w:sz w:val="24"/>
          <w:szCs w:val="24"/>
        </w:rPr>
        <w:t>в том числе, указанным в Спецификации (Приложение № 1 к Договору), а также Применимого права.</w:t>
      </w:r>
    </w:p>
    <w:p>
      <w:pPr>
        <w:pStyle w:val="ListParagraph"/>
        <w:widowControl/>
        <w:numPr>
          <w:ilvl w:val="0"/>
          <w:numId w:val="0"/>
        </w:numPr>
        <w:shd w:val="clear" w:color="auto" w:fill="FFFFFF"/>
        <w:tabs>
          <w:tab w:val="clear" w:pos="709"/>
          <w:tab w:val="left" w:pos="1134" w:leader="none"/>
        </w:tabs>
        <w:ind w:hanging="0" w:left="0"/>
        <w:jc w:val="both"/>
        <w:rPr>
          <w:bCs/>
          <w:sz w:val="24"/>
          <w:szCs w:val="24"/>
        </w:rPr>
      </w:pPr>
      <w:r>
        <w:rPr>
          <w:bCs/>
          <w:sz w:val="24"/>
          <w:szCs w:val="24"/>
          <w:shd w:fill="auto" w:val="clear"/>
        </w:rPr>
        <w:t xml:space="preserve">           </w:t>
      </w:r>
      <w:r>
        <w:rPr>
          <w:bCs/>
          <w:sz w:val="24"/>
          <w:szCs w:val="24"/>
          <w:shd w:fill="auto" w:val="clear"/>
        </w:rPr>
        <w:t xml:space="preserve">Поставщик не вправе производить замену Товара, содержащегося в одном из реестров, предусмотренных Постановлением Правительства РФ от 23.12.2024 № 1875 </w:t>
      </w:r>
      <w:r>
        <w:rPr>
          <w:b w:val="false"/>
          <w:bCs/>
          <w:i w:val="false"/>
          <w:caps w:val="false"/>
          <w:smallCaps w:val="false"/>
          <w:color w:val="000000"/>
          <w:spacing w:val="0"/>
          <w:sz w:val="24"/>
          <w:szCs w:val="24"/>
          <w:shd w:fill="auto" w:val="clear"/>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Normal"/>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Одновременно с передачей Товара Поставщик обязан передать Покупателю оригиналы следующих относящихся к Товару документов: </w:t>
      </w:r>
    </w:p>
    <w:p>
      <w:pPr>
        <w:pStyle w:val="Normal"/>
        <w:numPr>
          <w:ilvl w:val="0"/>
          <w:numId w:val="4"/>
        </w:numPr>
        <w:tabs>
          <w:tab w:val="clear" w:pos="709"/>
          <w:tab w:val="left" w:pos="1418" w:leader="none"/>
        </w:tabs>
        <w:ind w:firstLine="709" w:left="0"/>
        <w:jc w:val="both"/>
        <w:rPr>
          <w:sz w:val="24"/>
          <w:szCs w:val="24"/>
        </w:rPr>
      </w:pPr>
      <w:r>
        <w:rPr>
          <w:sz w:val="24"/>
          <w:szCs w:val="24"/>
        </w:rPr>
        <w:t>сертификат качества в 2 (двух) экз.;</w:t>
      </w:r>
    </w:p>
    <w:p>
      <w:pPr>
        <w:pStyle w:val="Normal"/>
        <w:numPr>
          <w:ilvl w:val="0"/>
          <w:numId w:val="4"/>
        </w:numPr>
        <w:tabs>
          <w:tab w:val="clear" w:pos="709"/>
          <w:tab w:val="left" w:pos="1418" w:leader="none"/>
        </w:tabs>
        <w:ind w:firstLine="709" w:left="0"/>
        <w:jc w:val="both"/>
        <w:rPr>
          <w:sz w:val="24"/>
          <w:szCs w:val="24"/>
        </w:rPr>
      </w:pPr>
      <w:r>
        <w:rPr>
          <w:sz w:val="24"/>
          <w:szCs w:val="24"/>
        </w:rPr>
        <w:t>технический паспорт на русском языке в 2 (двух) экз.;</w:t>
      </w:r>
    </w:p>
    <w:p>
      <w:pPr>
        <w:pStyle w:val="Normal"/>
        <w:numPr>
          <w:ilvl w:val="0"/>
          <w:numId w:val="4"/>
        </w:numPr>
        <w:tabs>
          <w:tab w:val="clear" w:pos="709"/>
          <w:tab w:val="left" w:pos="1418" w:leader="none"/>
        </w:tabs>
        <w:ind w:firstLine="709" w:left="0"/>
        <w:jc w:val="both"/>
        <w:rPr>
          <w:sz w:val="24"/>
          <w:szCs w:val="24"/>
        </w:rPr>
      </w:pPr>
      <w:r>
        <w:rPr>
          <w:sz w:val="24"/>
          <w:szCs w:val="24"/>
        </w:rPr>
        <w:t>инструкция по эксплуатации на русском языке в 2 (двух) экз.;</w:t>
      </w:r>
    </w:p>
    <w:p>
      <w:pPr>
        <w:pStyle w:val="Normal"/>
        <w:numPr>
          <w:ilvl w:val="0"/>
          <w:numId w:val="4"/>
        </w:numPr>
        <w:tabs>
          <w:tab w:val="clear" w:pos="709"/>
          <w:tab w:val="left" w:pos="1418" w:leader="none"/>
        </w:tabs>
        <w:ind w:firstLine="709" w:left="0"/>
        <w:jc w:val="both"/>
        <w:rPr>
          <w:sz w:val="24"/>
          <w:szCs w:val="24"/>
        </w:rPr>
      </w:pPr>
      <w:r>
        <w:rPr>
          <w:sz w:val="24"/>
          <w:szCs w:val="24"/>
        </w:rPr>
        <w:t>упаковочный лист в 2 (двух) экз.;</w:t>
      </w:r>
    </w:p>
    <w:p>
      <w:pPr>
        <w:pStyle w:val="Normal"/>
        <w:numPr>
          <w:ilvl w:val="0"/>
          <w:numId w:val="3"/>
        </w:numPr>
        <w:tabs>
          <w:tab w:val="clear" w:pos="709"/>
          <w:tab w:val="left" w:pos="1418" w:leader="none"/>
        </w:tabs>
        <w:ind w:firstLine="709" w:left="0"/>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3"/>
        </w:numPr>
        <w:shd w:val="clear" w:color="auto" w:fill="FFFFFF"/>
        <w:tabs>
          <w:tab w:val="clear" w:pos="709"/>
          <w:tab w:val="left" w:pos="1418" w:leader="none"/>
        </w:tabs>
        <w:ind w:firstLine="709" w:left="0"/>
        <w:jc w:val="both"/>
        <w:rPr>
          <w:sz w:val="24"/>
          <w:szCs w:val="24"/>
        </w:rPr>
      </w:pPr>
      <w:r>
        <w:rPr>
          <w:sz w:val="24"/>
          <w:szCs w:val="24"/>
        </w:rPr>
        <w:t>товарно-транспортная накладная формы № 1-Т (для учета товарно-материальных ценностей и расчетов за их перевозки) или транспортная железнодорожная накладная (форма № ГУ-27) в  2 (двух) экз.;</w:t>
      </w:r>
    </w:p>
    <w:p>
      <w:pPr>
        <w:pStyle w:val="Normal"/>
        <w:numPr>
          <w:ilvl w:val="0"/>
          <w:numId w:val="3"/>
        </w:numPr>
        <w:shd w:val="clear" w:color="auto" w:fill="FFFFFF"/>
        <w:tabs>
          <w:tab w:val="clear" w:pos="709"/>
          <w:tab w:val="left" w:pos="1418" w:leader="none"/>
        </w:tabs>
        <w:ind w:firstLine="709" w:left="0"/>
        <w:jc w:val="both"/>
        <w:rPr>
          <w:sz w:val="24"/>
          <w:szCs w:val="24"/>
        </w:rPr>
      </w:pPr>
      <w:r>
        <w:rPr>
          <w:sz w:val="24"/>
          <w:szCs w:val="24"/>
        </w:rPr>
        <w:t>накладная ТОРГ-12 в 2 (двух) экз/(УПД).</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bCs/>
          <w:sz w:val="24"/>
          <w:szCs w:val="24"/>
        </w:rPr>
      </w:pPr>
      <w:r>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ListParagraph"/>
        <w:shd w:val="clear" w:color="auto" w:fill="FFFFFF"/>
        <w:tabs>
          <w:tab w:val="clear" w:pos="709"/>
          <w:tab w:val="left" w:pos="1134" w:leader="none"/>
          <w:tab w:val="left" w:pos="1418" w:leader="none"/>
        </w:tabs>
        <w:ind w:firstLine="709" w:left="0"/>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bCs/>
          <w:sz w:val="24"/>
          <w:szCs w:val="24"/>
        </w:rPr>
      </w:pPr>
      <w:r>
        <w:rPr>
          <w:bCs/>
          <w:sz w:val="24"/>
          <w:szCs w:val="24"/>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bCs/>
          <w:sz w:val="24"/>
          <w:szCs w:val="24"/>
        </w:rPr>
      </w:pPr>
      <w:bookmarkStart w:id="0" w:name="_Ref361408474"/>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0"/>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Отдельные требования к упаковке и маркировке негабаритного Товара, </w:t>
        <w:br/>
        <w:t xml:space="preserve">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sz w:val="24"/>
          <w:szCs w:val="24"/>
        </w:rPr>
        <w:t xml:space="preserve">Погрузка, доставка, разгрузка и перемещение Товара (в том числе </w:t>
        <w:br/>
        <w:t xml:space="preserve">по территории Покупателя) </w:t>
      </w:r>
      <w:r>
        <w:rPr>
          <w:bCs/>
          <w:sz w:val="24"/>
          <w:szCs w:val="24"/>
        </w:rPr>
        <w:t>осуществляется</w:t>
      </w:r>
      <w:r>
        <w:rPr>
          <w:sz w:val="24"/>
          <w:szCs w:val="24"/>
        </w:rPr>
        <w:t xml:space="preserve"> Поставщиком. Стоимость погрузки, доставки, разгрузки и перемещения Товара включена в стоимость Товара.</w:t>
      </w:r>
    </w:p>
    <w:p>
      <w:pPr>
        <w:pStyle w:val="ListParagraph"/>
        <w:widowContro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bookmarkStart w:id="1" w:name="_Ref361396594"/>
      <w:r>
        <w:rPr>
          <w:sz w:val="24"/>
          <w:szCs w:val="24"/>
        </w:rPr>
        <w:t xml:space="preserve">Датой поставки Товара является дата подписания Сторонами накладной </w:t>
        <w:br/>
        <w:t>ТОРГ-12/(УПД).</w:t>
      </w:r>
      <w:bookmarkEnd w:id="1"/>
      <w:r>
        <w:rPr>
          <w:sz w:val="24"/>
          <w:szCs w:val="24"/>
        </w:rPr>
        <w:t xml:space="preserve">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Приемка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3 (трех) календарных дней с даты выявления указанных нарушений представить Покупателю необходимые принадлежности и / или документы, а также восполнить недопоставку Товара в срок, письменно согласованный с Покупателем. </w:t>
      </w:r>
    </w:p>
    <w:p>
      <w:pPr>
        <w:pStyle w:val="ListParagraph"/>
        <w:shd w:val="clear" w:color="auto" w:fill="FFFFFF"/>
        <w:tabs>
          <w:tab w:val="clear" w:pos="709"/>
          <w:tab w:val="left" w:pos="1418" w:leader="none"/>
        </w:tabs>
        <w:ind w:firstLine="709" w:left="0"/>
        <w:jc w:val="both"/>
        <w:rPr>
          <w:sz w:val="24"/>
          <w:szCs w:val="24"/>
        </w:rPr>
      </w:pPr>
      <w:bookmarkStart w:id="2" w:name="_Ref361408232"/>
      <w:r>
        <w:rPr>
          <w:sz w:val="24"/>
          <w:szCs w:val="24"/>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2"/>
      <w:r>
        <w:rPr>
          <w:sz w:val="24"/>
          <w:szCs w:val="24"/>
        </w:rPr>
        <w:t xml:space="preserve">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Приемка Товара со вскрытием тары и упаковки производится Покупателем в присутствии представителя Поставщика в течение 10 (десяти) рабочих дней </w:t>
        <w:br/>
        <w:t>с даты подписания Покупателем транспортных документов. В случае отсутствия замечаний Покупатель подписывает накладную ТОРГ-12/(УПД).</w:t>
      </w:r>
    </w:p>
    <w:p>
      <w:pPr>
        <w:pStyle w:val="Normal"/>
        <w:numPr>
          <w:ilvl w:val="1"/>
          <w:numId w:val="2"/>
        </w:numPr>
        <w:shd w:val="clear" w:color="auto" w:fill="FFFFFF"/>
        <w:tabs>
          <w:tab w:val="clear" w:pos="709"/>
          <w:tab w:val="left" w:pos="568" w:leader="none"/>
          <w:tab w:val="left" w:pos="1134" w:leader="none"/>
          <w:tab w:val="left" w:pos="1418" w:leader="none"/>
        </w:tabs>
        <w:ind w:firstLine="709" w:left="0"/>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следующей Товара.</w:t>
      </w:r>
    </w:p>
    <w:p>
      <w:pPr>
        <w:pStyle w:val="Normal"/>
        <w:numPr>
          <w:ilvl w:val="1"/>
          <w:numId w:val="2"/>
        </w:numPr>
        <w:shd w:val="clear" w:color="auto" w:fill="FFFFFF"/>
        <w:tabs>
          <w:tab w:val="clear" w:pos="709"/>
          <w:tab w:val="left" w:pos="1418" w:leader="none"/>
        </w:tabs>
        <w:ind w:firstLine="709" w:left="0"/>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пунктами 3.12,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(ранее полученный авансовый платеж),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9"/>
          <w:tab w:val="left" w:pos="1283" w:leader="none"/>
          <w:tab w:val="left" w:pos="1851" w:leader="none"/>
        </w:tabs>
        <w:ind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b/>
          <w:color w:val="000000"/>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абзаца 3 пункта 30, 35, 38-42).</w:t>
      </w:r>
      <w:r>
        <w:rPr>
          <w:b/>
          <w:bCs/>
          <w:color w:val="000000"/>
          <w:sz w:val="24"/>
          <w:szCs w:val="24"/>
        </w:rPr>
        <w:t xml:space="preserve"> </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pPr>
        <w:pStyle w:val="Normal"/>
        <w:shd w:val="clear" w:color="auto" w:fill="FFFFFF"/>
        <w:ind w:firstLine="709"/>
        <w:jc w:val="both"/>
        <w:rPr>
          <w:sz w:val="24"/>
          <w:szCs w:val="24"/>
        </w:rPr>
      </w:pPr>
      <w:r>
        <w:rPr>
          <w:sz w:val="24"/>
          <w:szCs w:val="24"/>
        </w:rPr>
      </w:r>
    </w:p>
    <w:p>
      <w:pPr>
        <w:pStyle w:val="ListParagraph"/>
        <w:numPr>
          <w:ilvl w:val="0"/>
          <w:numId w:val="2"/>
        </w:numPr>
        <w:shd w:val="clear" w:color="auto" w:fill="FFFFFF"/>
        <w:tabs>
          <w:tab w:val="clear" w:pos="709"/>
          <w:tab w:val="left" w:pos="284" w:leader="none"/>
        </w:tabs>
        <w:ind w:hanging="357" w:left="357"/>
        <w:jc w:val="center"/>
        <w:rPr>
          <w:b/>
          <w:sz w:val="24"/>
          <w:szCs w:val="24"/>
        </w:rPr>
      </w:pPr>
      <w:r>
        <w:rPr>
          <w:b/>
          <w:sz w:val="24"/>
          <w:szCs w:val="24"/>
        </w:rPr>
        <w:t>Гарантийный срок</w:t>
      </w:r>
    </w:p>
    <w:p>
      <w:pPr>
        <w:pStyle w:val="ListParagraph"/>
        <w:numPr>
          <w:ilvl w:val="1"/>
          <w:numId w:val="2"/>
        </w:numPr>
        <w:tabs>
          <w:tab w:val="left" w:pos="709" w:leader="none"/>
          <w:tab w:val="left" w:pos="1134" w:leader="none"/>
        </w:tabs>
        <w:ind w:firstLine="709" w:left="0"/>
        <w:jc w:val="both"/>
        <w:rPr>
          <w:sz w:val="24"/>
          <w:szCs w:val="24"/>
        </w:rPr>
      </w:pPr>
      <w:r>
        <w:rPr>
          <w:sz w:val="24"/>
          <w:szCs w:val="24"/>
        </w:rPr>
        <w:t xml:space="preserve">Гарантийный срок на Товар, поставленный по Договору, составляет 12 (двенадцать) месяцев и начинает течь с даты подписания Сторонами накладной ТОРГ-12/УПД. Гарантийный срок может быть продлен в соответствии с условиями Договора. </w:t>
      </w:r>
    </w:p>
    <w:p>
      <w:pPr>
        <w:pStyle w:val="ListParagraph"/>
        <w:tabs>
          <w:tab w:val="clear" w:pos="709"/>
          <w:tab w:val="left" w:pos="1134" w:leader="none"/>
          <w:tab w:val="left" w:pos="1851" w:leader="none"/>
        </w:tabs>
        <w:ind w:firstLine="709" w:left="0"/>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3" w:name="OLE_LINK5"/>
      <w:bookmarkStart w:id="4" w:name="OLE_LINK6"/>
      <w:r>
        <w:rPr>
          <w:sz w:val="24"/>
          <w:szCs w:val="24"/>
        </w:rPr>
        <w:t>Покупателем в соответствии с пунктом 4.3 Договора</w:t>
      </w:r>
      <w:bookmarkEnd w:id="3"/>
      <w:bookmarkEnd w:id="4"/>
      <w:r>
        <w:rPr>
          <w:sz w:val="24"/>
          <w:szCs w:val="24"/>
        </w:rPr>
        <w:t xml:space="preserve">, путем замены или ремонта Товара. </w:t>
      </w:r>
    </w:p>
    <w:p>
      <w:pPr>
        <w:pStyle w:val="Normal"/>
        <w:shd w:val="clear" w:color="auto" w:fill="FFFFFF"/>
        <w:ind w:firstLine="709"/>
        <w:jc w:val="both"/>
        <w:rPr>
          <w:sz w:val="24"/>
          <w:szCs w:val="24"/>
        </w:rPr>
      </w:pPr>
      <w:r>
        <w:rPr>
          <w:sz w:val="24"/>
          <w:szCs w:val="24"/>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или ремонта Товара возвратить Покупателю его стоимость (ранее полученный авансовый платеж). Вывоз Товара для целей устранения недостатков (дефектов) осуществляется силами Поставщика и за его счет.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pPr>
        <w:pStyle w:val="Normal"/>
        <w:rPr/>
      </w:pPr>
      <w:r>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Ответственность Сторон</w:t>
      </w:r>
    </w:p>
    <w:p>
      <w:pPr>
        <w:pStyle w:val="ListParagraph"/>
        <w:numPr>
          <w:ilvl w:val="1"/>
          <w:numId w:val="2"/>
        </w:numPr>
        <w:tabs>
          <w:tab w:val="clear" w:pos="709"/>
          <w:tab w:val="left" w:pos="1134" w:leader="none"/>
        </w:tabs>
        <w:ind w:firstLine="709" w:left="0"/>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Покупатель не несет ответственности за ненадлежащее исполнение обязательств </w:t>
        <w:br/>
        <w:t>по внесению предварительной оплаты (аванса). В случае нарушения Покупателем срока выплаты авансового платежа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pPr>
        <w:pStyle w:val="Normal"/>
        <w:widowControl/>
        <w:numPr>
          <w:ilvl w:val="1"/>
          <w:numId w:val="2"/>
        </w:numPr>
        <w:tabs>
          <w:tab w:val="clear" w:pos="709"/>
          <w:tab w:val="left" w:pos="1134" w:leader="none"/>
        </w:tabs>
        <w:ind w:firstLine="709" w:left="0"/>
        <w:jc w:val="both"/>
        <w:rPr>
          <w:bCs/>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Покупатель вправе требовать уплаты Поставщиком н</w:t>
      </w:r>
      <w:r>
        <w:rPr>
          <w:rFonts w:eastAsia="Calibri"/>
          <w:bCs/>
          <w:sz w:val="24"/>
          <w:szCs w:val="24"/>
        </w:rPr>
        <w:t xml:space="preserve">еустойки в размере 0,1 (ноль целых и одна десятая) </w:t>
      </w:r>
      <w:r>
        <w:rPr>
          <w:bCs/>
          <w:sz w:val="24"/>
          <w:szCs w:val="24"/>
        </w:rPr>
        <w:t>процента от Цены</w:t>
      </w:r>
      <w:r>
        <w:rPr>
          <w:rFonts w:eastAsia="Calibri"/>
          <w:bCs/>
          <w:sz w:val="24"/>
          <w:szCs w:val="24"/>
        </w:rPr>
        <w:t xml:space="preserve"> Договора</w:t>
      </w:r>
      <w:r>
        <w:rPr>
          <w:bCs/>
          <w:sz w:val="24"/>
          <w:szCs w:val="24"/>
        </w:rPr>
        <w:t xml:space="preserve"> за каждый день просрочки.</w:t>
      </w:r>
    </w:p>
    <w:p>
      <w:pPr>
        <w:pStyle w:val="Normal"/>
        <w:widowControl/>
        <w:numPr>
          <w:ilvl w:val="1"/>
          <w:numId w:val="2"/>
        </w:numPr>
        <w:tabs>
          <w:tab w:val="clear" w:pos="709"/>
          <w:tab w:val="left" w:pos="1134" w:leader="none"/>
        </w:tabs>
        <w:ind w:firstLine="709" w:left="0"/>
        <w:jc w:val="both"/>
        <w:rPr>
          <w:bCs/>
          <w:sz w:val="24"/>
          <w:szCs w:val="24"/>
        </w:rPr>
      </w:pPr>
      <w:r>
        <w:rPr>
          <w:rFonts w:eastAsia="Calibri"/>
          <w:bCs/>
          <w:sz w:val="24"/>
          <w:szCs w:val="24"/>
        </w:rPr>
        <w:t>В случае несвоевременного устранения Поставщиком выявленных недостатков Товара,  Покупатель вправе требовать уплаты Поставщиком:</w:t>
      </w:r>
    </w:p>
    <w:p>
      <w:pPr>
        <w:pStyle w:val="ListParagraph"/>
        <w:widowControl/>
        <w:numPr>
          <w:ilvl w:val="2"/>
          <w:numId w:val="2"/>
        </w:numPr>
        <w:tabs>
          <w:tab w:val="clear" w:pos="709"/>
          <w:tab w:val="left" w:pos="1418" w:leader="none"/>
          <w:tab w:val="left" w:pos="1701" w:leader="none"/>
          <w:tab w:val="left" w:pos="1985" w:leader="none"/>
        </w:tabs>
        <w:ind w:firstLine="709" w:left="0"/>
        <w:jc w:val="both"/>
        <w:rPr>
          <w:bCs/>
          <w:sz w:val="24"/>
          <w:szCs w:val="24"/>
        </w:rPr>
      </w:pPr>
      <w:r>
        <w:rPr>
          <w:bCs/>
          <w:sz w:val="24"/>
          <w:szCs w:val="24"/>
        </w:rPr>
        <w:t xml:space="preserve">Неустойки в размере 0,1 </w:t>
      </w:r>
      <w:r>
        <w:rPr>
          <w:sz w:val="24"/>
          <w:szCs w:val="24"/>
        </w:rPr>
        <w:t>(ноль целых и одна десятая) процента</w:t>
      </w:r>
      <w:r>
        <w:rPr>
          <w:bCs/>
          <w:sz w:val="24"/>
          <w:szCs w:val="24"/>
        </w:rPr>
        <w:t xml:space="preserve"> от Цены Договора за каждый день просрочки – в случае несвоевременного устранения недостатков, влияющих на возможность эксплуатации (использования) Товара в целом</w:t>
      </w:r>
      <w:r>
        <w:rPr>
          <w:rFonts w:eastAsia="Calibri"/>
          <w:bCs/>
          <w:sz w:val="24"/>
          <w:szCs w:val="24"/>
        </w:rPr>
        <w:t>;</w:t>
      </w:r>
    </w:p>
    <w:p>
      <w:pPr>
        <w:pStyle w:val="ListParagraph"/>
        <w:widowControl/>
        <w:numPr>
          <w:ilvl w:val="2"/>
          <w:numId w:val="2"/>
        </w:numPr>
        <w:tabs>
          <w:tab w:val="clear" w:pos="709"/>
          <w:tab w:val="left" w:pos="1418" w:leader="none"/>
          <w:tab w:val="left" w:pos="1701" w:leader="none"/>
          <w:tab w:val="left" w:pos="1985" w:leader="none"/>
        </w:tabs>
        <w:ind w:firstLine="709" w:left="0"/>
        <w:jc w:val="both"/>
        <w:rPr>
          <w:bCs/>
          <w:sz w:val="24"/>
          <w:szCs w:val="24"/>
        </w:rPr>
      </w:pPr>
      <w:r>
        <w:rPr>
          <w:rFonts w:eastAsia="Calibri"/>
          <w:bCs/>
          <w:sz w:val="24"/>
          <w:szCs w:val="24"/>
        </w:rPr>
        <w:t>Неустойки в размере 0,1 (ноль целых и одна десятая) процента от стоимости некачественного Товара за каждый день просрочки – в случае несвоевременного устранения недостатков Товара, не влияющих на возможность эксплуатации (использования) Товара в целом.</w:t>
      </w:r>
    </w:p>
    <w:p>
      <w:pPr>
        <w:pStyle w:val="ListParagraph"/>
        <w:widowControl/>
        <w:numPr>
          <w:ilvl w:val="1"/>
          <w:numId w:val="2"/>
        </w:numPr>
        <w:tabs>
          <w:tab w:val="clear" w:pos="709"/>
          <w:tab w:val="left" w:pos="1134" w:leader="none"/>
          <w:tab w:val="left" w:pos="1701" w:leader="none"/>
        </w:tabs>
        <w:ind w:firstLine="709" w:left="0"/>
        <w:jc w:val="both"/>
        <w:rPr>
          <w:sz w:val="24"/>
          <w:szCs w:val="24"/>
        </w:rPr>
      </w:pPr>
      <w:r>
        <w:rPr>
          <w:rFonts w:eastAsia="Calibri"/>
          <w:bCs/>
          <w:sz w:val="24"/>
          <w:szCs w:val="24"/>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r>
        <w:rPr>
          <w:sz w:val="24"/>
          <w:szCs w:val="24"/>
        </w:rPr>
        <w:t>.</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Если в результате составления и выставления Поставщиком счетов-фактур (УПД) </w:t>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 xml:space="preserve">по такому основанию сумм НДС, пеней и налоговых санкций, Поставщик обязан компенсировать Покупателю сумму таких расходов. </w:t>
      </w:r>
    </w:p>
    <w:p>
      <w:pPr>
        <w:pStyle w:val="ListParagraph"/>
        <w:widowControl/>
        <w:numPr>
          <w:ilvl w:val="0"/>
          <w:numId w:val="0"/>
        </w:numPr>
        <w:shd w:val="clear" w:color="auto" w:fill="FFFFFF"/>
        <w:tabs>
          <w:tab w:val="clear" w:pos="709"/>
          <w:tab w:val="left" w:pos="1134" w:leader="none"/>
        </w:tabs>
        <w:ind w:hanging="0" w:left="0"/>
        <w:jc w:val="both"/>
        <w:rPr>
          <w:bCs/>
          <w:sz w:val="24"/>
          <w:szCs w:val="24"/>
        </w:rPr>
      </w:pPr>
      <w:r>
        <w:rPr>
          <w:bCs/>
          <w:sz w:val="24"/>
          <w:szCs w:val="24"/>
        </w:rPr>
        <w:t xml:space="preserve">       </w:t>
      </w:r>
      <w:r>
        <w:rPr>
          <w:bCs/>
          <w:sz w:val="24"/>
          <w:szCs w:val="24"/>
        </w:rPr>
        <w:t xml:space="preserve">Основанием для компенсации являются решения налоговых органов, вынесенные по итогам проведения мероприятий налогового контроля. </w:t>
      </w:r>
    </w:p>
    <w:p>
      <w:pPr>
        <w:pStyle w:val="ListParagraph"/>
        <w:widowControl/>
        <w:numPr>
          <w:ilvl w:val="0"/>
          <w:numId w:val="0"/>
        </w:numPr>
        <w:shd w:val="clear" w:color="auto" w:fill="FFFFFF"/>
        <w:tabs>
          <w:tab w:val="clear" w:pos="709"/>
          <w:tab w:val="left" w:pos="1134" w:leader="none"/>
        </w:tabs>
        <w:ind w:hanging="0" w:left="0"/>
        <w:jc w:val="both"/>
        <w:rPr>
          <w:bCs/>
          <w:sz w:val="24"/>
          <w:szCs w:val="24"/>
        </w:rPr>
      </w:pPr>
      <w:r>
        <w:rPr>
          <w:bCs/>
          <w:sz w:val="24"/>
          <w:szCs w:val="24"/>
        </w:rPr>
        <w:t xml:space="preserve">       </w:t>
      </w:r>
      <w:r>
        <w:rPr>
          <w:bCs/>
          <w:sz w:val="24"/>
          <w:szCs w:val="24"/>
        </w:rPr>
        <w:t>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tabs>
          <w:tab w:val="clear" w:pos="709"/>
          <w:tab w:val="left" w:pos="1134" w:leader="none"/>
        </w:tabs>
        <w:ind w:firstLine="709" w:left="0"/>
        <w:jc w:val="both"/>
        <w:rPr/>
      </w:pPr>
      <w:r>
        <w:rPr>
          <w:bCs/>
          <w:sz w:val="24"/>
          <w:szCs w:val="24"/>
        </w:rPr>
        <w:t>В случае нарушения Поставщиком сроков предоставления счетов-фактур (УПД), установленных пунктом 2.7 Договора, Покупатель вправе требовать уплаты Поставщиком штрафа в размере 50 000 (Пятидесяти тысяч) рублей за каждый случай нарушения.</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Поставщик несет ответственность перед Покупателем за причиненные убытки 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2"/>
        </w:numPr>
        <w:shd w:val="clear" w:color="auto" w:fill="FFFFFF"/>
        <w:tabs>
          <w:tab w:val="clear" w:pos="709"/>
          <w:tab w:val="left" w:pos="1276" w:leader="none"/>
          <w:tab w:val="left" w:pos="1418" w:leader="none"/>
        </w:tabs>
        <w:ind w:firstLine="709" w:left="0"/>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2"/>
        </w:numPr>
        <w:shd w:val="clear" w:color="auto" w:fill="FFFFFF"/>
        <w:tabs>
          <w:tab w:val="clear" w:pos="709"/>
          <w:tab w:val="left" w:pos="1276" w:leader="none"/>
          <w:tab w:val="left" w:pos="1418" w:leader="none"/>
        </w:tabs>
        <w:ind w:firstLine="709" w:left="0"/>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1"/>
          <w:numId w:val="2"/>
        </w:numPr>
        <w:shd w:val="clear" w:color="auto" w:fill="FFFFFF"/>
        <w:tabs>
          <w:tab w:val="clear" w:pos="709"/>
          <w:tab w:val="left" w:pos="1276" w:leader="none"/>
          <w:tab w:val="left" w:pos="1418" w:leader="none"/>
        </w:tabs>
        <w:ind w:firstLine="709" w:left="0"/>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2"/>
        </w:numPr>
        <w:shd w:val="clear" w:color="auto" w:fill="FFFFFF"/>
        <w:tabs>
          <w:tab w:val="clear" w:pos="709"/>
          <w:tab w:val="left" w:pos="1276" w:leader="none"/>
          <w:tab w:val="left" w:pos="1418" w:leader="none"/>
        </w:tabs>
        <w:ind w:firstLine="709" w:left="0"/>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9"/>
          <w:tab w:val="left" w:pos="0" w:leader="none"/>
          <w:tab w:val="left" w:pos="284" w:leader="none"/>
        </w:tabs>
        <w:ind w:hanging="0" w:left="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5"/>
        </w:numPr>
        <w:tabs>
          <w:tab w:val="left" w:pos="0" w:leader="none"/>
          <w:tab w:val="left" w:pos="709" w:leader="none"/>
          <w:tab w:val="left" w:pos="1418" w:leader="none"/>
        </w:tabs>
        <w:ind w:firstLine="709" w:left="0"/>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5"/>
        </w:numPr>
        <w:tabs>
          <w:tab w:val="left" w:pos="0" w:leader="none"/>
          <w:tab w:val="left" w:pos="709" w:leader="none"/>
          <w:tab w:val="left" w:pos="1418" w:leader="none"/>
        </w:tabs>
        <w:ind w:firstLine="709" w:left="0"/>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учетные регистры бухгалтерского учета;</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бизнес-планы;</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bookmarkStart w:id="5"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5"/>
      <w:r>
        <w:rPr>
          <w:bCs/>
          <w:sz w:val="24"/>
          <w:szCs w:val="24"/>
        </w:rPr>
        <w:t xml:space="preserve"> </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 6.6.7 Договора.</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bookmarkStart w:id="6"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6"/>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bookmarkStart w:id="7"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7"/>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Normal"/>
        <w:shd w:val="clear" w:color="auto" w:fill="FFFFFF"/>
        <w:jc w:val="both"/>
        <w:rPr>
          <w:bCs/>
          <w:sz w:val="24"/>
          <w:szCs w:val="24"/>
        </w:rPr>
      </w:pPr>
      <w:r>
        <w:rPr>
          <w:bCs/>
          <w:sz w:val="24"/>
          <w:szCs w:val="24"/>
        </w:rPr>
      </w:r>
    </w:p>
    <w:p>
      <w:pPr>
        <w:pStyle w:val="ListParagraph"/>
        <w:widowControl/>
        <w:numPr>
          <w:ilvl w:val="0"/>
          <w:numId w:val="2"/>
        </w:numPr>
        <w:shd w:val="clear" w:color="auto" w:fill="FFFFFF"/>
        <w:tabs>
          <w:tab w:val="clear" w:pos="709"/>
          <w:tab w:val="left" w:pos="426" w:leader="none"/>
        </w:tabs>
        <w:ind w:hanging="0" w:left="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Споры, указанные в пункте 7.1 Договора, которые не были урегулированы Сторонами путем переговоров, подлежат разрешению в Арбитражном суде Пермского края в соответствии с законодательством Российской Федерации.</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w:t>
      </w:r>
      <w:r>
        <w:rPr>
          <w:bCs/>
          <w:sz w:val="24"/>
          <w:szCs w:val="24"/>
          <w:lang w:val="en-US"/>
        </w:rPr>
        <w:t>3</w:t>
      </w:r>
      <w:r>
        <w:rPr>
          <w:bCs/>
          <w:sz w:val="24"/>
          <w:szCs w:val="24"/>
        </w:rPr>
        <w:t>.</w:t>
      </w:r>
      <w:r>
        <w:rPr>
          <w:bCs/>
          <w:sz w:val="24"/>
          <w:szCs w:val="24"/>
          <w:lang w:val="en-US"/>
        </w:rPr>
        <w:t>6</w:t>
      </w:r>
      <w:r>
        <w:rPr>
          <w:bCs/>
          <w:sz w:val="24"/>
          <w:szCs w:val="24"/>
        </w:rPr>
        <w:t xml:space="preserve">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Условия настоящего раздела сохраняют свою силу в случае признания Договора незаключенным и / или недействительным.</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0" w:left="0"/>
        <w:jc w:val="center"/>
        <w:rPr>
          <w:b/>
          <w:bCs/>
          <w:sz w:val="24"/>
          <w:szCs w:val="24"/>
        </w:rPr>
      </w:pPr>
      <w:r>
        <w:rPr>
          <w:b/>
          <w:bCs/>
          <w:sz w:val="24"/>
          <w:szCs w:val="24"/>
        </w:rPr>
        <w:t>Антикоррупционная оговорка</w:t>
      </w:r>
    </w:p>
    <w:p>
      <w:pPr>
        <w:pStyle w:val="ListParagraph"/>
        <w:numPr>
          <w:ilvl w:val="1"/>
          <w:numId w:val="2"/>
        </w:numPr>
        <w:shd w:val="clear" w:color="auto" w:fill="FFFFFF"/>
        <w:tabs>
          <w:tab w:val="clear" w:pos="709"/>
          <w:tab w:val="left" w:pos="1134" w:leader="none"/>
        </w:tabs>
        <w:ind w:firstLine="709" w:left="0"/>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8.5.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8.6.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sz w:val="24"/>
          <w:szCs w:val="24"/>
        </w:rPr>
      </w:pPr>
      <w:r>
        <w:rPr>
          <w:color w:val="000000"/>
          <w:sz w:val="24"/>
          <w:szCs w:val="24"/>
        </w:rPr>
        <w:t xml:space="preserve">8.7.  Каналы связи Линия доверия Группы РусГидро: </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8.7.1. Электронная почта: ld@rushydro.ru.</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8.7.2.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8.7.3.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widowControl/>
        <w:numPr>
          <w:ilvl w:val="0"/>
          <w:numId w:val="2"/>
        </w:numPr>
        <w:shd w:val="clear" w:color="auto" w:fill="FFFFFF"/>
        <w:tabs>
          <w:tab w:val="clear" w:pos="709"/>
          <w:tab w:val="left" w:pos="426" w:leader="none"/>
        </w:tabs>
        <w:ind w:hanging="0" w:left="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jc w:val="both"/>
        <w:rPr>
          <w:sz w:val="24"/>
          <w:szCs w:val="24"/>
        </w:rPr>
      </w:pPr>
      <w:r>
        <w:rPr>
          <w:sz w:val="24"/>
          <w:szCs w:val="24"/>
        </w:rPr>
      </w:r>
    </w:p>
    <w:p>
      <w:pPr>
        <w:pStyle w:val="Normal"/>
        <w:widowControl/>
        <w:numPr>
          <w:ilvl w:val="0"/>
          <w:numId w:val="2"/>
        </w:numPr>
        <w:shd w:val="clear" w:color="auto" w:fill="FFFFFF"/>
        <w:tabs>
          <w:tab w:val="clear" w:pos="709"/>
          <w:tab w:val="left" w:pos="426" w:leader="none"/>
        </w:tabs>
        <w:spacing w:before="0" w:after="0"/>
        <w:ind w:hanging="0" w:left="0"/>
        <w:contextualSpacing/>
        <w:jc w:val="center"/>
        <w:rPr>
          <w:b/>
          <w:bCs/>
          <w:sz w:val="24"/>
          <w:szCs w:val="24"/>
        </w:rPr>
      </w:pPr>
      <w:r>
        <w:rPr>
          <w:b/>
          <w:bCs/>
          <w:sz w:val="24"/>
          <w:szCs w:val="24"/>
        </w:rPr>
        <w:t>Особые положения</w:t>
      </w:r>
    </w:p>
    <w:p>
      <w:pPr>
        <w:pStyle w:val="ListParagraph"/>
        <w:widowControl/>
        <w:numPr>
          <w:ilvl w:val="1"/>
          <w:numId w:val="2"/>
        </w:numPr>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4">
        <w:r>
          <w:rPr>
            <w:bCs/>
            <w:sz w:val="24"/>
            <w:szCs w:val="24"/>
          </w:rPr>
          <w:t>№ 18162/09</w:t>
        </w:r>
      </w:hyperlink>
      <w:r>
        <w:rPr>
          <w:bCs/>
          <w:sz w:val="24"/>
          <w:szCs w:val="24"/>
        </w:rPr>
        <w:t xml:space="preserve"> и от 25.05.2010 </w:t>
      </w:r>
      <w:hyperlink r:id="rId5">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6">
        <w:r>
          <w:rPr>
            <w:bCs/>
            <w:sz w:val="24"/>
            <w:szCs w:val="24"/>
          </w:rPr>
          <w:t>Критери</w:t>
        </w:r>
      </w:hyperlink>
      <w:r>
        <w:rPr>
          <w:bCs/>
          <w:sz w:val="24"/>
          <w:szCs w:val="24"/>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pPr>
        <w:pStyle w:val="ListParagraph"/>
        <w:widowControl/>
        <w:numPr>
          <w:ilvl w:val="1"/>
          <w:numId w:val="2"/>
        </w:numPr>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пункте 10.1 Договора, а также обеспечить прекращение участия таких организаций в исполнении Договора.</w:t>
      </w:r>
    </w:p>
    <w:p>
      <w:pPr>
        <w:pStyle w:val="ListParagraph"/>
        <w:widowControl/>
        <w:numPr>
          <w:ilvl w:val="1"/>
          <w:numId w:val="2"/>
        </w:numPr>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В случае нарушения Поставщиком обязательств, установленных пунктами 10.1, 10.2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p>
    <w:p>
      <w:pPr>
        <w:pStyle w:val="ListParagraph"/>
        <w:widowControl/>
        <w:numPr>
          <w:ilvl w:val="1"/>
          <w:numId w:val="2"/>
        </w:numPr>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p>
    <w:p>
      <w:pPr>
        <w:pStyle w:val="ListParagraph"/>
        <w:widowControl/>
        <w:numPr>
          <w:ilvl w:val="1"/>
          <w:numId w:val="2"/>
        </w:numPr>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Штраф, предусмотренный пунктом 10.4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10.3 Договора.</w:t>
      </w:r>
    </w:p>
    <w:p>
      <w:pPr>
        <w:pStyle w:val="ListParagraph"/>
        <w:widowControl/>
        <w:numPr>
          <w:ilvl w:val="1"/>
          <w:numId w:val="2"/>
        </w:numPr>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При этом Покупатель не будет считаться просрочившим и / или нарушившим свои обязательства по Договору.</w:t>
      </w:r>
    </w:p>
    <w:p>
      <w:pPr>
        <w:pStyle w:val="ListParagraph"/>
        <w:widowControl/>
        <w:numPr>
          <w:ilvl w:val="1"/>
          <w:numId w:val="2"/>
        </w:numPr>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pPr>
        <w:pStyle w:val="Normal"/>
        <w:shd w:val="clear" w:color="auto" w:fill="FFFFFF"/>
        <w:tabs>
          <w:tab w:val="clear" w:pos="709"/>
          <w:tab w:val="left" w:pos="1134" w:leader="none"/>
        </w:tabs>
        <w:ind w:firstLine="709"/>
        <w:jc w:val="both"/>
        <w:rPr>
          <w:bCs/>
          <w:sz w:val="24"/>
          <w:szCs w:val="24"/>
        </w:rPr>
      </w:pPr>
      <w:r>
        <w:rPr>
          <w:bCs/>
          <w:sz w:val="24"/>
          <w:szCs w:val="24"/>
        </w:rPr>
      </w:r>
    </w:p>
    <w:p>
      <w:pPr>
        <w:pStyle w:val="ListParagraph"/>
        <w:widowControl/>
        <w:numPr>
          <w:ilvl w:val="0"/>
          <w:numId w:val="2"/>
        </w:numPr>
        <w:shd w:val="clear" w:color="auto" w:fill="FFFFFF"/>
        <w:tabs>
          <w:tab w:val="clear" w:pos="709"/>
          <w:tab w:val="left" w:pos="426" w:leader="none"/>
          <w:tab w:val="left" w:pos="567" w:leader="none"/>
        </w:tabs>
        <w:ind w:hanging="0" w:left="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7"/>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7"/>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7"/>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7"/>
        </w:numPr>
        <w:shd w:val="clear" w:color="auto" w:fill="FFFFFF"/>
        <w:tabs>
          <w:tab w:val="left" w:pos="0" w:leader="none"/>
          <w:tab w:val="left" w:pos="709" w:leader="none"/>
          <w:tab w:val="left" w:pos="1418" w:leader="none"/>
        </w:tabs>
        <w:ind w:firstLine="709" w:left="0"/>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7"/>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9"/>
        </w:numPr>
        <w:shd w:val="clear" w:color="auto" w:fill="FFFFFF"/>
        <w:tabs>
          <w:tab w:val="left" w:pos="0" w:leader="none"/>
          <w:tab w:val="left" w:pos="709"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9"/>
        </w:numPr>
        <w:shd w:val="clear" w:color="auto" w:fill="FFFFFF"/>
        <w:tabs>
          <w:tab w:val="left" w:pos="0" w:leader="none"/>
          <w:tab w:val="left" w:pos="709"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9"/>
        </w:numPr>
        <w:shd w:val="clear" w:color="auto" w:fill="FFFFFF"/>
        <w:tabs>
          <w:tab w:val="left" w:pos="0" w:leader="none"/>
          <w:tab w:val="left" w:pos="709" w:leader="none"/>
        </w:tabs>
        <w:ind w:firstLine="709" w:left="0"/>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9"/>
        </w:numPr>
        <w:shd w:val="clear" w:color="auto" w:fill="FFFFFF"/>
        <w:tabs>
          <w:tab w:val="left" w:pos="0" w:leader="none"/>
          <w:tab w:val="left" w:pos="709" w:leader="none"/>
        </w:tabs>
        <w:ind w:firstLine="709" w:left="0"/>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8"/>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Договора или в связи с ним;</w:t>
      </w:r>
    </w:p>
    <w:p>
      <w:pPr>
        <w:pStyle w:val="ListParagraph"/>
        <w:widowControl/>
        <w:numPr>
          <w:ilvl w:val="0"/>
          <w:numId w:val="8"/>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тщательно изучил всю информацию, связанную с Договором, </w:t>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8"/>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8"/>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вся информация, предоставленная Покупателю, является достоверной, полной </w:t>
        <w:br/>
        <w:t>и точной, и Поставщик не скрыл никаких обстоятельств, которые при их обнаружении могли 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9"/>
          <w:tab w:val="left" w:pos="0" w:leader="none"/>
          <w:tab w:val="left" w:pos="1418" w:leader="none"/>
        </w:tabs>
        <w:ind w:firstLine="709" w:left="0"/>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обязан 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9"/>
          <w:tab w:val="left" w:pos="1134" w:leader="none"/>
          <w:tab w:val="left" w:pos="1418" w:leader="none"/>
        </w:tabs>
        <w:ind w:hanging="0" w:left="0"/>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0" w:left="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13.6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 случае существенного нарушения Договора Поставщиком Покупатель вправе </w:t>
        <w:br/>
        <w:t>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ListParagraph"/>
        <w:shd w:val="clear" w:color="auto" w:fill="FFFFFF"/>
        <w:tabs>
          <w:tab w:val="clear" w:pos="709"/>
          <w:tab w:val="left" w:pos="0" w:leader="none"/>
          <w:tab w:val="left" w:pos="1418" w:leader="none"/>
        </w:tabs>
        <w:ind w:firstLine="709" w:left="0"/>
        <w:jc w:val="both"/>
        <w:rPr>
          <w:sz w:val="24"/>
          <w:szCs w:val="24"/>
        </w:rPr>
      </w:pPr>
      <w:r>
        <w:rPr>
          <w:sz w:val="24"/>
          <w:szCs w:val="24"/>
        </w:rPr>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от Покупателя.</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Стороны установили, что существенным нарушением Договора Поставщиком является:</w:t>
      </w:r>
    </w:p>
    <w:p>
      <w:pPr>
        <w:pStyle w:val="ListParagraph"/>
        <w:widowControl/>
        <w:numPr>
          <w:ilvl w:val="0"/>
          <w:numId w:val="6"/>
        </w:numPr>
        <w:tabs>
          <w:tab w:val="clear" w:pos="709"/>
          <w:tab w:val="left" w:pos="0" w:leader="none"/>
          <w:tab w:val="left" w:pos="1418" w:leader="none"/>
        </w:tabs>
        <w:ind w:firstLine="709" w:left="0"/>
        <w:jc w:val="both"/>
        <w:rPr>
          <w:sz w:val="24"/>
          <w:szCs w:val="24"/>
        </w:rPr>
      </w:pPr>
      <w:r>
        <w:rPr>
          <w:sz w:val="24"/>
          <w:szCs w:val="24"/>
        </w:rPr>
        <w:t>нарушение Поставщиком общего срока поставки Товара по Договору, а также промежуточных сроков поставки Товара, установленных Договором, более чем на 60 (шестьдесят) календарных дней по причинам, не зависящим от Покупателя;</w:t>
      </w:r>
    </w:p>
    <w:p>
      <w:pPr>
        <w:pStyle w:val="ListParagraph"/>
        <w:widowControl/>
        <w:numPr>
          <w:ilvl w:val="0"/>
          <w:numId w:val="6"/>
        </w:numPr>
        <w:tabs>
          <w:tab w:val="clear" w:pos="709"/>
          <w:tab w:val="left" w:pos="0" w:leader="none"/>
          <w:tab w:val="left" w:pos="1418" w:leader="none"/>
        </w:tabs>
        <w:ind w:firstLine="709" w:left="0"/>
        <w:jc w:val="both"/>
        <w:rPr>
          <w:sz w:val="24"/>
          <w:szCs w:val="24"/>
        </w:rPr>
      </w:pPr>
      <w:r>
        <w:rPr>
          <w:sz w:val="24"/>
          <w:szCs w:val="24"/>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pPr>
        <w:pStyle w:val="ListParagraph"/>
        <w:widowControl/>
        <w:numPr>
          <w:ilvl w:val="0"/>
          <w:numId w:val="6"/>
        </w:numPr>
        <w:tabs>
          <w:tab w:val="clear" w:pos="709"/>
          <w:tab w:val="left" w:pos="0" w:leader="none"/>
          <w:tab w:val="left" w:pos="1418" w:leader="none"/>
        </w:tabs>
        <w:ind w:firstLine="709" w:left="0"/>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ListParagraph"/>
        <w:widowControl/>
        <w:numPr>
          <w:ilvl w:val="0"/>
          <w:numId w:val="6"/>
        </w:numPr>
        <w:tabs>
          <w:tab w:val="clear" w:pos="709"/>
          <w:tab w:val="left" w:pos="0" w:leader="none"/>
          <w:tab w:val="left" w:pos="1418" w:leader="none"/>
        </w:tabs>
        <w:ind w:firstLine="709" w:left="0"/>
        <w:jc w:val="both"/>
        <w:rPr>
          <w:sz w:val="24"/>
          <w:szCs w:val="24"/>
        </w:rPr>
      </w:pPr>
      <w:r>
        <w:rPr>
          <w:sz w:val="24"/>
          <w:szCs w:val="24"/>
        </w:rPr>
        <w:t>установление в ходе исполнения Договора фактов недостоверности, неточности или неполноты заверений Поставщика об обстоятельствах, указанных в разделе 11 Договора, и имеющих существенное значение для его заключения и исполнения.</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 случае отказа Покупателя от Договора в случаях, предусмотренных пунктами 12.2, 12.3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ListParagraph"/>
        <w:widowControl/>
        <w:shd w:val="clear" w:color="auto" w:fill="FFFFFF"/>
        <w:tabs>
          <w:tab w:val="clear" w:pos="709"/>
          <w:tab w:val="left" w:pos="1134" w:leader="none"/>
        </w:tabs>
        <w:ind w:hanging="0" w:left="0"/>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0" w:left="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Договор вступает в силу с даты его подписания Сторонами и действует </w:t>
        <w:br/>
        <w:t xml:space="preserve">до полного исполнения ими принятых на себя обязательств. </w:t>
      </w:r>
    </w:p>
    <w:p>
      <w:pPr>
        <w:pStyle w:val="Normal"/>
        <w:widowControl/>
        <w:numPr>
          <w:ilvl w:val="1"/>
          <w:numId w:val="2"/>
        </w:numPr>
        <w:snapToGrid w:val="false"/>
        <w:ind w:firstLine="709" w:left="0"/>
        <w:jc w:val="both"/>
        <w:rPr/>
      </w:pPr>
      <w:r>
        <w:rPr>
          <w:sz w:val="24"/>
          <w:szCs w:val="24"/>
        </w:rPr>
        <w:t>Договор заключается в электронной форме с</w:t>
      </w:r>
      <w:r>
        <w:rPr>
          <w:i/>
          <w:sz w:val="24"/>
          <w:szCs w:val="24"/>
        </w:rPr>
        <w:t xml:space="preserve"> </w:t>
      </w:r>
      <w:r>
        <w:rPr>
          <w:sz w:val="24"/>
          <w:szCs w:val="24"/>
        </w:rPr>
        <w:t xml:space="preserve">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widowControl/>
        <w:shd w:val="clear" w:color="auto" w:fill="FFFFFF"/>
        <w:tabs>
          <w:tab w:val="clear" w:pos="709"/>
          <w:tab w:val="left" w:pos="0" w:leader="none"/>
        </w:tabs>
        <w:ind w:firstLine="709"/>
        <w:jc w:val="both"/>
        <w:rPr/>
      </w:pPr>
      <w:r>
        <w:rPr>
          <w:sz w:val="24"/>
          <w:szCs w:val="24"/>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13.7 Договора.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в письменной форме в порядке, предусмотренном пунктом 13.8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bookmarkStart w:id="8" w:name="_Ref361338004"/>
      <w:r>
        <w:rPr>
          <w:sz w:val="24"/>
          <w:szCs w:val="24"/>
        </w:rPr>
        <w:t>Стороны обязуются уведомлять друг друга об изменении адреса и / или реквизитов, указанных в разделе 15 Договора, не позднее 3 (трех) рабочих дней после такого изменения в порядке, установленном пунктом 13.8 Договора.</w:t>
      </w:r>
      <w:bookmarkEnd w:id="8"/>
      <w:r>
        <w:rPr>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numPr>
          <w:ilvl w:val="2"/>
          <w:numId w:val="2"/>
        </w:numPr>
        <w:ind w:firstLine="709" w:left="0"/>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2"/>
        </w:numPr>
        <w:ind w:firstLine="709" w:left="0"/>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numPr>
          <w:ilvl w:val="2"/>
          <w:numId w:val="2"/>
        </w:numPr>
        <w:ind w:firstLine="709" w:left="0"/>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13.8.1 – 13.8.2 Договора. </w:t>
      </w:r>
    </w:p>
    <w:p>
      <w:pPr>
        <w:pStyle w:val="Normal"/>
        <w:widowControl/>
        <w:numPr>
          <w:ilvl w:val="1"/>
          <w:numId w:val="2"/>
        </w:numPr>
        <w:tabs>
          <w:tab w:val="clear" w:pos="709"/>
          <w:tab w:val="left" w:pos="0" w:leader="none"/>
          <w:tab w:val="left" w:pos="1418" w:leader="none"/>
        </w:tabs>
        <w:ind w:firstLine="709" w:left="0"/>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Normal"/>
        <w:widowControl/>
        <w:numPr>
          <w:ilvl w:val="1"/>
          <w:numId w:val="2"/>
        </w:numPr>
        <w:tabs>
          <w:tab w:val="clear" w:pos="709"/>
          <w:tab w:val="left" w:pos="0" w:leader="none"/>
          <w:tab w:val="left" w:pos="1418" w:leader="none"/>
        </w:tabs>
        <w:ind w:firstLine="709" w:left="0"/>
        <w:jc w:val="both"/>
        <w:rPr>
          <w:bCs/>
          <w:sz w:val="24"/>
          <w:szCs w:val="24"/>
        </w:rPr>
      </w:pPr>
      <w:r>
        <w:rPr>
          <w:bCs/>
          <w:sz w:val="24"/>
          <w:szCs w:val="24"/>
        </w:rPr>
        <w:t>Уступка (передача), в том числе в залог, прав (требований) к Покупателю по денежным обязательствам, возникшим из Договора, и принадлежащих Поставщику, осуществляется только при условии предварительного письменного согласия Покупателя и оформляется трёхсторонним договором.</w:t>
      </w:r>
    </w:p>
    <w:p>
      <w:pPr>
        <w:pStyle w:val="Normal"/>
        <w:ind w:firstLine="709"/>
        <w:jc w:val="both"/>
        <w:rPr>
          <w:sz w:val="24"/>
          <w:szCs w:val="24"/>
        </w:rPr>
      </w:pPr>
      <w:r>
        <w:rPr>
          <w:bCs/>
          <w:sz w:val="24"/>
          <w:szCs w:val="24"/>
        </w:rPr>
        <w:t>Уступка (передача) прав (требований) в пользу финансово-кредитных учреждений (факторинг) осуществляется при условии предварительного письменного уведомления Покупателя</w:t>
      </w:r>
      <w:r>
        <w:rPr>
          <w:sz w:val="24"/>
          <w:szCs w:val="24"/>
        </w:rPr>
        <w:t xml:space="preserve">.  </w:t>
      </w:r>
    </w:p>
    <w:p>
      <w:pPr>
        <w:pStyle w:val="ListParagraph"/>
        <w:numPr>
          <w:ilvl w:val="1"/>
          <w:numId w:val="2"/>
        </w:numPr>
        <w:ind w:firstLine="709" w:left="0"/>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Normal"/>
        <w:shd w:val="clear" w:color="auto" w:fill="FFFFFF"/>
        <w:ind w:firstLine="567"/>
        <w:jc w:val="both"/>
        <w:rPr>
          <w:sz w:val="24"/>
          <w:szCs w:val="24"/>
        </w:rPr>
      </w:pPr>
      <w:r>
        <w:rPr>
          <w:sz w:val="24"/>
          <w:szCs w:val="24"/>
        </w:rPr>
      </w:r>
    </w:p>
    <w:p>
      <w:pPr>
        <w:pStyle w:val="Normal"/>
        <w:widowControl/>
        <w:numPr>
          <w:ilvl w:val="0"/>
          <w:numId w:val="2"/>
        </w:numPr>
        <w:shd w:val="clear" w:color="auto" w:fill="FFFFFF"/>
        <w:tabs>
          <w:tab w:val="clear" w:pos="709"/>
          <w:tab w:val="left" w:pos="284" w:leader="none"/>
        </w:tabs>
        <w:spacing w:before="0" w:after="0"/>
        <w:ind w:hanging="360" w:left="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9"/>
          <w:tab w:val="left" w:pos="0" w:leader="none"/>
        </w:tabs>
        <w:ind w:firstLine="709"/>
        <w:jc w:val="both"/>
        <w:rPr>
          <w:rFonts w:eastAsia="Calibri"/>
          <w:sz w:val="24"/>
          <w:szCs w:val="24"/>
          <w:lang w:eastAsia="en-US"/>
        </w:rPr>
      </w:pPr>
      <w:bookmarkStart w:id="9" w:name="sub_1"/>
      <w:r>
        <w:rPr>
          <w:rFonts w:eastAsia="Calibri"/>
          <w:sz w:val="24"/>
          <w:szCs w:val="24"/>
          <w:lang w:eastAsia="en-US"/>
        </w:rPr>
        <w:t>Приложение № 1 – Спецификация.</w:t>
      </w:r>
      <w:bookmarkEnd w:id="9"/>
    </w:p>
    <w:p>
      <w:pPr>
        <w:pStyle w:val="Normal"/>
        <w:ind w:firstLine="709"/>
        <w:jc w:val="both"/>
        <w:rPr>
          <w:bCs/>
          <w:sz w:val="24"/>
          <w:szCs w:val="24"/>
        </w:rPr>
      </w:pPr>
      <w:r>
        <w:rPr>
          <w:bCs/>
          <w:sz w:val="24"/>
          <w:szCs w:val="24"/>
        </w:rPr>
        <w:t xml:space="preserve">Приложение № 2 </w:t>
      </w:r>
      <w:r>
        <w:rPr>
          <w:rFonts w:eastAsia="Calibri"/>
          <w:sz w:val="24"/>
          <w:szCs w:val="24"/>
          <w:lang w:eastAsia="en-US"/>
        </w:rPr>
        <w:t>–</w:t>
      </w:r>
      <w:r>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pPr>
        <w:pStyle w:val="ListParagraph"/>
        <w:widowControl/>
        <w:numPr>
          <w:ilvl w:val="0"/>
          <w:numId w:val="2"/>
        </w:numPr>
        <w:shd w:val="clear" w:color="auto" w:fill="FFFFFF"/>
        <w:tabs>
          <w:tab w:val="clear" w:pos="709"/>
          <w:tab w:val="left" w:pos="426" w:leader="none"/>
        </w:tabs>
        <w:ind w:hanging="0" w:left="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9"/>
          <w:tab w:val="left" w:pos="426" w:leader="none"/>
        </w:tabs>
        <w:ind w:hanging="0" w:left="0"/>
        <w:rPr>
          <w:b/>
          <w:bCs/>
          <w:sz w:val="24"/>
          <w:szCs w:val="24"/>
        </w:rPr>
      </w:pPr>
      <w:r>
        <w:rPr>
          <w:b/>
          <w:bCs/>
          <w:sz w:val="24"/>
          <w:szCs w:val="24"/>
        </w:rPr>
      </w:r>
    </w:p>
    <w:tbl>
      <w:tblPr>
        <w:tblW w:w="9890" w:type="dxa"/>
        <w:jc w:val="left"/>
        <w:tblInd w:w="108" w:type="dxa"/>
        <w:tblLayout w:type="fixed"/>
        <w:tblCellMar>
          <w:top w:w="0" w:type="dxa"/>
          <w:left w:w="108" w:type="dxa"/>
          <w:bottom w:w="0" w:type="dxa"/>
          <w:right w:w="108" w:type="dxa"/>
        </w:tblCellMar>
        <w:tblLook w:val="01e0" w:noHBand="0" w:noVBand="0" w:firstColumn="1" w:lastRow="1" w:lastColumn="1" w:firstRow="1"/>
      </w:tblPr>
      <w:tblGrid>
        <w:gridCol w:w="4928"/>
        <w:gridCol w:w="4961"/>
      </w:tblGrid>
      <w:tr>
        <w:trPr/>
        <w:tc>
          <w:tcPr>
            <w:tcW w:w="4928" w:type="dxa"/>
            <w:tcBorders/>
          </w:tcPr>
          <w:p>
            <w:pPr>
              <w:pStyle w:val="Normal"/>
              <w:widowControl w:val="false"/>
              <w:rPr>
                <w:sz w:val="24"/>
                <w:szCs w:val="24"/>
              </w:rPr>
            </w:pPr>
            <w:r>
              <w:rPr>
                <w:sz w:val="24"/>
                <w:szCs w:val="24"/>
              </w:rPr>
              <w:t>ПОКУПАТЕЛЬ:</w:t>
            </w:r>
          </w:p>
        </w:tc>
        <w:tc>
          <w:tcPr>
            <w:tcW w:w="4961" w:type="dxa"/>
            <w:tcBorders/>
          </w:tcPr>
          <w:p>
            <w:pPr>
              <w:pStyle w:val="Normal"/>
              <w:widowControl w:val="false"/>
              <w:rPr>
                <w:sz w:val="24"/>
                <w:szCs w:val="24"/>
              </w:rPr>
            </w:pPr>
            <w:r>
              <w:rPr>
                <w:sz w:val="24"/>
                <w:szCs w:val="24"/>
              </w:rPr>
              <w:t>ПОСТАВЩИК:</w:t>
            </w:r>
          </w:p>
        </w:tc>
      </w:tr>
      <w:tr>
        <w:trPr/>
        <w:tc>
          <w:tcPr>
            <w:tcW w:w="4928" w:type="dxa"/>
            <w:tcBorders/>
            <w:shd w:color="auto" w:fill="BFBFBF" w:val="clear"/>
          </w:tcPr>
          <w:p>
            <w:pPr>
              <w:pStyle w:val="Normal"/>
              <w:widowControl w:val="false"/>
              <w:rPr>
                <w:sz w:val="24"/>
                <w:szCs w:val="24"/>
                <w:highlight w:val="none"/>
                <w:shd w:fill="auto" w:val="clear"/>
              </w:rPr>
            </w:pPr>
            <w:r>
              <w:rPr>
                <w:sz w:val="24"/>
                <w:szCs w:val="24"/>
                <w:shd w:fill="auto" w:val="clear"/>
              </w:rPr>
            </w:r>
          </w:p>
          <w:p>
            <w:pPr>
              <w:pStyle w:val="Normal"/>
              <w:widowControl w:val="false"/>
              <w:rPr/>
            </w:pPr>
            <w:r>
              <w:rPr>
                <w:b/>
                <w:sz w:val="24"/>
                <w:szCs w:val="24"/>
                <w:shd w:fill="auto" w:val="clear"/>
              </w:rPr>
              <w:t>Публичное акционерное общество</w:t>
            </w:r>
          </w:p>
          <w:p>
            <w:pPr>
              <w:pStyle w:val="Normal"/>
              <w:widowControl w:val="false"/>
              <w:rPr/>
            </w:pPr>
            <w:r>
              <w:rPr>
                <w:b/>
                <w:sz w:val="24"/>
                <w:szCs w:val="24"/>
                <w:shd w:fill="auto" w:val="clear"/>
              </w:rPr>
              <w:t>«Федеральная гидрогенерирующая компания - РусГидро» (ПАО «РусГидро»)</w:t>
            </w:r>
          </w:p>
          <w:p>
            <w:pPr>
              <w:pStyle w:val="Normal"/>
              <w:widowControl w:val="false"/>
              <w:rPr>
                <w:sz w:val="24"/>
                <w:szCs w:val="24"/>
                <w:highlight w:val="none"/>
                <w:shd w:fill="auto" w:val="clear"/>
              </w:rPr>
            </w:pPr>
            <w:r>
              <w:rPr>
                <w:sz w:val="24"/>
                <w:szCs w:val="24"/>
                <w:shd w:fill="auto" w:val="clear"/>
              </w:rPr>
            </w:r>
          </w:p>
          <w:p>
            <w:pPr>
              <w:pStyle w:val="Normal"/>
              <w:widowControl w:val="false"/>
              <w:rPr/>
            </w:pPr>
            <w:r>
              <w:rPr>
                <w:sz w:val="24"/>
                <w:szCs w:val="24"/>
                <w:shd w:fill="auto" w:val="clear"/>
              </w:rPr>
              <w:t>Публичное акционерное общество</w:t>
            </w:r>
          </w:p>
          <w:p>
            <w:pPr>
              <w:pStyle w:val="Normal"/>
              <w:widowControl w:val="false"/>
              <w:rPr/>
            </w:pPr>
            <w:r>
              <w:rPr>
                <w:sz w:val="24"/>
                <w:szCs w:val="24"/>
                <w:shd w:fill="auto" w:val="clear"/>
              </w:rPr>
              <w:t>«Федеральная гидрогенерирующая компания - РусГидро» (ПАО «РусГидро»)</w:t>
            </w:r>
          </w:p>
          <w:p>
            <w:pPr>
              <w:pStyle w:val="Normal"/>
              <w:widowControl w:val="false"/>
              <w:rPr/>
            </w:pPr>
            <w:r>
              <w:rPr>
                <w:sz w:val="24"/>
                <w:szCs w:val="24"/>
                <w:shd w:fill="auto" w:val="clear"/>
              </w:rPr>
              <w:t>Местонахождение: 660049, Красноярский край, г.о.  Красноярск, г. Красноярск, ул. Перенсона, зд. 2а, помещ. 1</w:t>
            </w:r>
          </w:p>
          <w:p>
            <w:pPr>
              <w:pStyle w:val="Normal"/>
              <w:widowControl w:val="false"/>
              <w:rPr/>
            </w:pPr>
            <w:r>
              <w:rPr/>
            </w:r>
          </w:p>
          <w:p>
            <w:pPr>
              <w:pStyle w:val="Normal"/>
              <w:widowControl w:val="false"/>
              <w:rPr/>
            </w:pPr>
            <w:r>
              <w:rPr>
                <w:sz w:val="24"/>
                <w:szCs w:val="24"/>
                <w:shd w:fill="auto" w:val="clear"/>
              </w:rPr>
              <w:t>Наименование филиала:</w:t>
            </w:r>
          </w:p>
          <w:p>
            <w:pPr>
              <w:pStyle w:val="Normal"/>
              <w:widowControl w:val="false"/>
              <w:rPr/>
            </w:pPr>
            <w:r>
              <w:rPr>
                <w:sz w:val="24"/>
                <w:szCs w:val="24"/>
                <w:shd w:fill="auto" w:val="clear"/>
              </w:rPr>
              <w:t>Филиал ПАО «РусГидро» - «Камская ГЭС»</w:t>
            </w:r>
          </w:p>
          <w:p>
            <w:pPr>
              <w:pStyle w:val="Normal"/>
              <w:widowControl w:val="false"/>
              <w:rPr/>
            </w:pPr>
            <w:r>
              <w:rPr>
                <w:sz w:val="24"/>
                <w:szCs w:val="24"/>
                <w:shd w:fill="auto" w:val="clear"/>
              </w:rPr>
              <w:t>Местонахождение филиала:</w:t>
            </w:r>
          </w:p>
          <w:p>
            <w:pPr>
              <w:pStyle w:val="Normal"/>
              <w:widowControl w:val="false"/>
              <w:rPr/>
            </w:pPr>
            <w:r>
              <w:rPr>
                <w:sz w:val="24"/>
                <w:szCs w:val="24"/>
                <w:shd w:fill="auto" w:val="clear"/>
              </w:rPr>
              <w:t>г. Пермь, ул. Соликамская, д.329</w:t>
            </w:r>
          </w:p>
          <w:p>
            <w:pPr>
              <w:pStyle w:val="Normal"/>
              <w:widowControl w:val="false"/>
              <w:rPr/>
            </w:pPr>
            <w:r>
              <w:rPr>
                <w:sz w:val="24"/>
                <w:szCs w:val="24"/>
                <w:shd w:fill="auto" w:val="clear"/>
              </w:rPr>
              <w:t>Почтовый адрес филиала:</w:t>
            </w:r>
          </w:p>
          <w:p>
            <w:pPr>
              <w:pStyle w:val="Normal"/>
              <w:widowControl w:val="false"/>
              <w:rPr/>
            </w:pPr>
            <w:r>
              <w:rPr>
                <w:sz w:val="24"/>
                <w:szCs w:val="24"/>
                <w:shd w:fill="auto" w:val="clear"/>
              </w:rPr>
              <w:t>614030, г. Пермь, Камская ГЭС</w:t>
            </w:r>
          </w:p>
          <w:p>
            <w:pPr>
              <w:pStyle w:val="Normal"/>
              <w:widowControl w:val="false"/>
              <w:rPr/>
            </w:pPr>
            <w:r>
              <w:rPr>
                <w:sz w:val="24"/>
                <w:szCs w:val="24"/>
                <w:shd w:fill="auto" w:val="clear"/>
              </w:rPr>
              <w:t>ИНН 2460066195/КПП 590702001</w:t>
            </w:r>
          </w:p>
          <w:p>
            <w:pPr>
              <w:pStyle w:val="Normal"/>
              <w:widowControl w:val="false"/>
              <w:rPr/>
            </w:pPr>
            <w:r>
              <w:rPr>
                <w:sz w:val="24"/>
                <w:szCs w:val="24"/>
                <w:shd w:fill="auto" w:val="clear"/>
              </w:rPr>
              <w:t>Расчетный счет 40702810800000060254</w:t>
            </w:r>
          </w:p>
          <w:p>
            <w:pPr>
              <w:pStyle w:val="Normal"/>
              <w:widowControl w:val="false"/>
              <w:rPr/>
            </w:pPr>
            <w:r>
              <w:rPr>
                <w:sz w:val="24"/>
                <w:szCs w:val="24"/>
                <w:shd w:fill="auto" w:val="clear"/>
              </w:rPr>
              <w:t>Банка ГПБ (АО), г. Москва (ИНН 7744001497,</w:t>
            </w:r>
          </w:p>
          <w:p>
            <w:pPr>
              <w:pStyle w:val="Normal"/>
              <w:widowControl w:val="false"/>
              <w:rPr/>
            </w:pPr>
            <w:r>
              <w:rPr>
                <w:sz w:val="24"/>
                <w:szCs w:val="24"/>
                <w:shd w:fill="auto" w:val="clear"/>
              </w:rPr>
              <w:t>КПП 997950001)</w:t>
            </w:r>
          </w:p>
          <w:p>
            <w:pPr>
              <w:pStyle w:val="Normal"/>
              <w:widowControl w:val="false"/>
              <w:rPr/>
            </w:pPr>
            <w:r>
              <w:rPr>
                <w:sz w:val="24"/>
                <w:szCs w:val="24"/>
                <w:shd w:fill="auto" w:val="clear"/>
              </w:rPr>
              <w:t>К/с 30101810200000000823 в ГУ Банка России по ЦФО</w:t>
            </w:r>
          </w:p>
          <w:p>
            <w:pPr>
              <w:pStyle w:val="Normal"/>
              <w:widowControl w:val="false"/>
              <w:rPr/>
            </w:pPr>
            <w:r>
              <w:rPr>
                <w:sz w:val="24"/>
                <w:szCs w:val="24"/>
                <w:shd w:fill="auto" w:val="clear"/>
              </w:rPr>
              <w:t>БИК 044 525 823</w:t>
            </w:r>
          </w:p>
          <w:p>
            <w:pPr>
              <w:pStyle w:val="Normal"/>
              <w:widowControl w:val="false"/>
              <w:rPr/>
            </w:pPr>
            <w:r>
              <w:rPr>
                <w:sz w:val="24"/>
                <w:szCs w:val="24"/>
                <w:shd w:fill="auto" w:val="clear"/>
              </w:rPr>
              <w:t>ОКПО 83271699</w:t>
            </w:r>
          </w:p>
          <w:p>
            <w:pPr>
              <w:pStyle w:val="Normal"/>
              <w:widowControl w:val="false"/>
              <w:rPr/>
            </w:pPr>
            <w:r>
              <w:rPr>
                <w:sz w:val="24"/>
                <w:szCs w:val="24"/>
                <w:shd w:fill="auto" w:val="clear"/>
              </w:rPr>
              <w:t>ОГРН 1042401810494</w:t>
            </w:r>
          </w:p>
          <w:p>
            <w:pPr>
              <w:pStyle w:val="Normal"/>
              <w:widowControl w:val="false"/>
              <w:rPr/>
            </w:pPr>
            <w:r>
              <w:rPr>
                <w:sz w:val="24"/>
                <w:szCs w:val="24"/>
                <w:shd w:fill="auto" w:val="clear"/>
              </w:rPr>
              <w:t>Тел.: + 7 (342) 274-54-54</w:t>
            </w:r>
          </w:p>
          <w:p>
            <w:pPr>
              <w:pStyle w:val="Normal"/>
              <w:widowControl w:val="false"/>
              <w:rPr>
                <w:bCs/>
                <w:sz w:val="24"/>
                <w:szCs w:val="24"/>
              </w:rPr>
            </w:pPr>
            <w:r>
              <w:rPr>
                <w:bCs/>
                <w:sz w:val="24"/>
                <w:szCs w:val="24"/>
              </w:rPr>
            </w:r>
          </w:p>
        </w:tc>
        <w:tc>
          <w:tcPr>
            <w:tcW w:w="4961" w:type="dxa"/>
            <w:tcBorders/>
            <w:shd w:color="auto" w:fill="BFBFBF" w:val="clear"/>
          </w:tcPr>
          <w:p>
            <w:pPr>
              <w:pStyle w:val="Normal"/>
              <w:widowControl w:val="false"/>
              <w:rPr>
                <w:rFonts w:ascii="Times New Roman" w:hAnsi="Times New Roman" w:eastAsia="Times New Roman" w:cs="Times New Roman"/>
                <w:color w:val="auto"/>
                <w:kern w:val="0"/>
                <w:sz w:val="24"/>
                <w:szCs w:val="24"/>
                <w:shd w:fill="auto" w:val="clear"/>
                <w:lang w:val="ru-RU" w:eastAsia="ru-RU" w:bidi="ar-SA"/>
              </w:rPr>
            </w:pPr>
            <w:r>
              <w:rPr>
                <w:rFonts w:eastAsia="Times New Roman" w:cs="Times New Roman"/>
                <w:color w:val="000000"/>
                <w:kern w:val="0"/>
                <w:sz w:val="24"/>
                <w:szCs w:val="24"/>
                <w:shd w:fill="auto" w:val="clear"/>
                <w:lang w:val="ru-RU" w:eastAsia="ru-RU" w:bidi="ar-SA"/>
              </w:rPr>
            </w:r>
          </w:p>
          <w:p>
            <w:pPr>
              <w:pStyle w:val="Normal"/>
              <w:widowControl w:val="false"/>
              <w:rPr>
                <w:rStyle w:val="Hyperlink"/>
                <w:rFonts w:eastAsia="Times New Roman" w:cs="Times New Roman"/>
                <w:b/>
                <w:bCs/>
                <w:color w:val="000000"/>
                <w:kern w:val="0"/>
                <w:sz w:val="24"/>
                <w:szCs w:val="24"/>
                <w:u w:val="none"/>
                <w:shd w:fill="auto" w:val="clear"/>
                <w:lang w:val="ru-RU" w:eastAsia="ru-RU" w:bidi="ar-SA"/>
              </w:rPr>
            </w:pPr>
            <w:r>
              <w:rPr>
                <w:rFonts w:eastAsia="Times New Roman" w:cs="Times New Roman"/>
                <w:b/>
                <w:bCs/>
                <w:color w:val="000000"/>
                <w:kern w:val="0"/>
                <w:sz w:val="24"/>
                <w:szCs w:val="24"/>
                <w:u w:val="none"/>
                <w:shd w:fill="auto" w:val="clear"/>
                <w:lang w:val="ru-RU" w:eastAsia="ru-RU" w:bidi="ar-SA"/>
              </w:rPr>
            </w:r>
          </w:p>
          <w:p>
            <w:pPr>
              <w:pStyle w:val="Normal"/>
              <w:widowControl w:val="false"/>
              <w:numPr>
                <w:ilvl w:val="0"/>
                <w:numId w:val="0"/>
              </w:numPr>
              <w:ind w:hanging="0" w:left="0"/>
              <w:outlineLvl w:val="0"/>
              <w:rPr>
                <w:rStyle w:val="Hyperlink"/>
                <w:rFonts w:eastAsia="Times New Roman" w:cs="Times New Roman"/>
                <w:color w:val="000000"/>
                <w:kern w:val="0"/>
                <w:sz w:val="24"/>
                <w:szCs w:val="24"/>
                <w:u w:val="none"/>
                <w:shd w:fill="auto" w:val="clear"/>
                <w:lang w:val="ru-RU" w:eastAsia="ru-RU" w:bidi="ar-SA"/>
              </w:rPr>
            </w:pPr>
            <w:r>
              <w:rPr>
                <w:rFonts w:eastAsia="Times New Roman" w:cs="Times New Roman"/>
                <w:color w:val="000000"/>
                <w:kern w:val="0"/>
                <w:sz w:val="24"/>
                <w:szCs w:val="24"/>
                <w:u w:val="none"/>
                <w:shd w:fill="auto" w:val="clear"/>
                <w:lang w:val="ru-RU" w:eastAsia="ru-RU" w:bidi="ar-SA"/>
              </w:rPr>
            </w:r>
          </w:p>
        </w:tc>
      </w:tr>
    </w:tbl>
    <w:p>
      <w:pPr>
        <w:pStyle w:val="Normal"/>
        <w:suppressAutoHyphens w:val="true"/>
        <w:ind w:hanging="0"/>
        <w:jc w:val="left"/>
        <w:rPr>
          <w:b/>
          <w:sz w:val="24"/>
          <w:szCs w:val="24"/>
        </w:rPr>
      </w:pPr>
      <w:r>
        <w:rPr/>
        <w:t xml:space="preserve"> </w:t>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hanging="0" w:left="0"/>
        <w:jc w:val="center"/>
        <w:outlineLvl w:val="0"/>
        <w:rPr>
          <w:bCs/>
          <w:sz w:val="24"/>
          <w:szCs w:val="24"/>
        </w:rPr>
      </w:pPr>
      <w:r>
        <w:rPr>
          <w:bCs/>
          <w:sz w:val="24"/>
          <w:szCs w:val="24"/>
        </w:rPr>
      </w:r>
    </w:p>
    <w:tbl>
      <w:tblPr>
        <w:tblW w:w="15424" w:type="dxa"/>
        <w:jc w:val="left"/>
        <w:tblInd w:w="-68" w:type="dxa"/>
        <w:tblLayout w:type="fixed"/>
        <w:tblCellMar>
          <w:top w:w="0" w:type="dxa"/>
          <w:left w:w="108" w:type="dxa"/>
          <w:bottom w:w="0" w:type="dxa"/>
          <w:right w:w="108" w:type="dxa"/>
        </w:tblCellMar>
        <w:tblLook w:val="04a0" w:noHBand="0" w:noVBand="1" w:firstColumn="1" w:lastRow="0" w:lastColumn="0" w:firstRow="1"/>
      </w:tblPr>
      <w:tblGrid>
        <w:gridCol w:w="4636"/>
        <w:gridCol w:w="10787"/>
      </w:tblGrid>
      <w:tr>
        <w:trPr/>
        <w:tc>
          <w:tcPr>
            <w:tcW w:w="4636"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_____________________/Двинянинов С.В.</w:t>
            </w:r>
          </w:p>
          <w:p>
            <w:pPr>
              <w:pStyle w:val="Normal"/>
              <w:widowControl w:val="false"/>
              <w:rPr>
                <w:sz w:val="24"/>
                <w:szCs w:val="24"/>
              </w:rPr>
            </w:pPr>
            <w:r>
              <w:rPr>
                <w:sz w:val="24"/>
                <w:szCs w:val="24"/>
              </w:rPr>
            </w:r>
          </w:p>
        </w:tc>
        <w:tc>
          <w:tcPr>
            <w:tcW w:w="10787" w:type="dxa"/>
            <w:tcBorders/>
            <w:shd w:color="auto" w:fill="auto" w:val="clear"/>
          </w:tcPr>
          <w:p>
            <w:pPr>
              <w:pStyle w:val="Normal"/>
              <w:widowControl w:val="false"/>
              <w:rPr>
                <w:b/>
                <w:sz w:val="24"/>
                <w:szCs w:val="24"/>
              </w:rPr>
            </w:pPr>
            <w:r>
              <w:rPr>
                <w:b/>
                <w:sz w:val="24"/>
                <w:szCs w:val="24"/>
              </w:rPr>
              <w:t>Поставщик:</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w:t>
            </w:r>
            <w:r>
              <w:rPr>
                <w:b w:val="false"/>
                <w:bCs w:val="false"/>
                <w:sz w:val="24"/>
                <w:szCs w:val="24"/>
              </w:rPr>
              <w:t>______________</w:t>
            </w:r>
          </w:p>
          <w:p>
            <w:pPr>
              <w:pStyle w:val="Normal"/>
              <w:widowControl w:val="false"/>
              <w:ind w:firstLine="33"/>
              <w:rPr>
                <w:b/>
                <w:sz w:val="24"/>
                <w:szCs w:val="24"/>
              </w:rPr>
            </w:pPr>
            <w:r>
              <w:rPr>
                <w:b/>
                <w:sz w:val="24"/>
                <w:szCs w:val="24"/>
              </w:rPr>
            </w:r>
          </w:p>
        </w:tc>
      </w:tr>
    </w:tbl>
    <w:p>
      <w:pPr>
        <w:sectPr>
          <w:headerReference w:type="default" r:id="rId7"/>
          <w:footerReference w:type="default" r:id="rId8"/>
          <w:type w:val="nextPage"/>
          <w:pgSz w:w="11906" w:h="16838"/>
          <w:pgMar w:left="1418" w:right="851" w:gutter="0" w:header="709" w:top="1134" w:footer="709" w:bottom="2268"/>
          <w:pgNumType w:fmt="decimal"/>
          <w:formProt w:val="false"/>
          <w:textDirection w:val="lrTb"/>
          <w:docGrid w:type="default" w:linePitch="360" w:charSpace="0"/>
        </w:sectPr>
      </w:pPr>
    </w:p>
    <w:p>
      <w:pPr>
        <w:pStyle w:val="Normal"/>
        <w:suppressAutoHyphens w:val="true"/>
        <w:ind w:hanging="0"/>
        <w:jc w:val="right"/>
        <w:rPr/>
      </w:pPr>
      <w:r>
        <w:rPr>
          <w:sz w:val="22"/>
          <w:szCs w:val="22"/>
        </w:rPr>
        <w:t>Приложение № 1</w:t>
      </w:r>
    </w:p>
    <w:p>
      <w:pPr>
        <w:pStyle w:val="Normal"/>
        <w:suppressAutoHyphens w:val="true"/>
        <w:ind w:hanging="0"/>
        <w:jc w:val="right"/>
        <w:rPr/>
      </w:pPr>
      <w:r>
        <w:rPr>
          <w:sz w:val="22"/>
          <w:szCs w:val="22"/>
        </w:rPr>
        <w:t>к Договору поставки № ___________________ от «____» 2026 г.</w:t>
      </w:r>
    </w:p>
    <w:p>
      <w:pPr>
        <w:pStyle w:val="Normal"/>
        <w:jc w:val="center"/>
        <w:rPr>
          <w:b/>
          <w:sz w:val="24"/>
          <w:szCs w:val="24"/>
        </w:rPr>
      </w:pPr>
      <w:r>
        <w:rPr>
          <w:b/>
          <w:sz w:val="24"/>
          <w:szCs w:val="24"/>
        </w:rPr>
      </w:r>
    </w:p>
    <w:p>
      <w:pPr>
        <w:pStyle w:val="Normal"/>
        <w:jc w:val="center"/>
        <w:rPr>
          <w:b/>
          <w:sz w:val="24"/>
          <w:szCs w:val="24"/>
        </w:rPr>
      </w:pPr>
      <w:r>
        <w:rPr>
          <w:b/>
          <w:sz w:val="24"/>
          <w:szCs w:val="24"/>
        </w:rPr>
        <w:t xml:space="preserve">СПЕЦИФИКАЦИЯ </w:t>
      </w:r>
    </w:p>
    <w:p>
      <w:pPr>
        <w:pStyle w:val="Normal"/>
        <w:jc w:val="center"/>
        <w:rPr>
          <w:b/>
          <w:sz w:val="24"/>
          <w:szCs w:val="24"/>
          <w:highlight w:val="none"/>
          <w:shd w:fill="auto" w:val="clear"/>
        </w:rPr>
      </w:pPr>
      <w:r>
        <w:rPr>
          <w:b/>
          <w:sz w:val="24"/>
          <w:szCs w:val="24"/>
          <w:shd w:fill="auto" w:val="clear"/>
        </w:rPr>
      </w:r>
    </w:p>
    <w:tbl>
      <w:tblPr>
        <w:tblW w:w="15869" w:type="dxa"/>
        <w:jc w:val="left"/>
        <w:tblInd w:w="-601" w:type="dxa"/>
        <w:tblLayout w:type="fixed"/>
        <w:tblCellMar>
          <w:top w:w="0" w:type="dxa"/>
          <w:left w:w="108" w:type="dxa"/>
          <w:bottom w:w="0" w:type="dxa"/>
          <w:right w:w="108" w:type="dxa"/>
        </w:tblCellMar>
        <w:tblLook w:val="04a0" w:noHBand="0" w:noVBand="1" w:firstColumn="1" w:lastRow="0" w:lastColumn="0" w:firstRow="1"/>
      </w:tblPr>
      <w:tblGrid>
        <w:gridCol w:w="855"/>
        <w:gridCol w:w="1331"/>
        <w:gridCol w:w="925"/>
        <w:gridCol w:w="926"/>
        <w:gridCol w:w="1171"/>
        <w:gridCol w:w="1096"/>
        <w:gridCol w:w="943"/>
        <w:gridCol w:w="1104"/>
        <w:gridCol w:w="1043"/>
        <w:gridCol w:w="778"/>
        <w:gridCol w:w="979"/>
        <w:gridCol w:w="834"/>
        <w:gridCol w:w="781"/>
        <w:gridCol w:w="1081"/>
        <w:gridCol w:w="2018"/>
      </w:tblGrid>
      <w:tr>
        <w:trPr>
          <w:trHeight w:val="526" w:hRule="atLeast"/>
        </w:trPr>
        <w:tc>
          <w:tcPr>
            <w:tcW w:w="8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bCs/>
                <w:shd w:fill="auto" w:val="clear"/>
              </w:rPr>
              <w:t xml:space="preserve">№ </w:t>
            </w:r>
            <w:r>
              <w:rPr>
                <w:bCs/>
                <w:shd w:fill="auto" w:val="clear"/>
              </w:rPr>
              <w:t>поз.</w:t>
            </w:r>
          </w:p>
        </w:tc>
        <w:tc>
          <w:tcPr>
            <w:tcW w:w="13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bCs/>
                <w:shd w:fill="auto" w:val="clear"/>
              </w:rPr>
              <w:t>Наименование Товара</w:t>
            </w:r>
          </w:p>
        </w:tc>
        <w:tc>
          <w:tcPr>
            <w:tcW w:w="92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highlight w:val="none"/>
                <w:shd w:fill="auto" w:val="clear"/>
              </w:rPr>
            </w:pPr>
            <w:r>
              <w:rPr>
                <w:bCs/>
                <w:shd w:fill="auto" w:val="clear"/>
              </w:rPr>
            </w:r>
          </w:p>
          <w:p>
            <w:pPr>
              <w:pStyle w:val="Normal"/>
              <w:widowControl w:val="false"/>
              <w:jc w:val="center"/>
              <w:rPr>
                <w:bCs/>
                <w:highlight w:val="none"/>
                <w:shd w:fill="auto" w:val="clear"/>
              </w:rPr>
            </w:pPr>
            <w:r>
              <w:rPr>
                <w:bCs/>
                <w:shd w:fill="auto" w:val="clear"/>
              </w:rPr>
            </w:r>
          </w:p>
          <w:p>
            <w:pPr>
              <w:pStyle w:val="Normal"/>
              <w:widowControl w:val="false"/>
              <w:jc w:val="center"/>
              <w:rPr>
                <w:bCs/>
                <w:highlight w:val="none"/>
                <w:shd w:fill="auto" w:val="clear"/>
              </w:rPr>
            </w:pPr>
            <w:r>
              <w:rPr>
                <w:bCs/>
                <w:shd w:fill="auto" w:val="clear"/>
              </w:rPr>
            </w:r>
          </w:p>
          <w:p>
            <w:pPr>
              <w:pStyle w:val="Normal"/>
              <w:widowControl w:val="false"/>
              <w:jc w:val="center"/>
              <w:rPr>
                <w:bCs/>
                <w:highlight w:val="none"/>
                <w:shd w:fill="auto" w:val="clear"/>
              </w:rPr>
            </w:pPr>
            <w:r>
              <w:rPr>
                <w:bCs/>
                <w:shd w:fill="auto" w:val="clear"/>
              </w:rPr>
            </w:r>
          </w:p>
          <w:p>
            <w:pPr>
              <w:pStyle w:val="Normal"/>
              <w:widowControl w:val="false"/>
              <w:jc w:val="center"/>
              <w:rPr>
                <w:highlight w:val="none"/>
                <w:shd w:fill="auto" w:val="clear"/>
              </w:rPr>
            </w:pPr>
            <w:r>
              <w:rPr>
                <w:bCs/>
                <w:shd w:fill="auto" w:val="clear"/>
              </w:rPr>
              <w:t>Артикул, тип, марка</w:t>
            </w:r>
          </w:p>
        </w:tc>
        <w:tc>
          <w:tcPr>
            <w:tcW w:w="92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bCs/>
                <w:shd w:fill="auto" w:val="clear"/>
              </w:rPr>
              <w:t>Завод изготовитель</w:t>
            </w:r>
          </w:p>
        </w:tc>
        <w:tc>
          <w:tcPr>
            <w:tcW w:w="117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highlight w:val="none"/>
                <w:shd w:fill="auto" w:val="clear"/>
              </w:rPr>
            </w:pPr>
            <w:r>
              <w:rPr>
                <w:bCs/>
                <w:shd w:fill="auto" w:val="clear"/>
              </w:rPr>
            </w:r>
          </w:p>
          <w:p>
            <w:pPr>
              <w:pStyle w:val="Normal"/>
              <w:widowControl w:val="false"/>
              <w:jc w:val="center"/>
              <w:rPr>
                <w:bCs/>
                <w:highlight w:val="none"/>
                <w:shd w:fill="auto" w:val="clear"/>
              </w:rPr>
            </w:pPr>
            <w:r>
              <w:rPr>
                <w:bCs/>
                <w:shd w:fill="auto" w:val="clear"/>
              </w:rPr>
            </w:r>
          </w:p>
          <w:p>
            <w:pPr>
              <w:pStyle w:val="Normal"/>
              <w:widowControl w:val="false"/>
              <w:jc w:val="center"/>
              <w:rPr>
                <w:bCs/>
                <w:highlight w:val="none"/>
                <w:shd w:fill="auto" w:val="clear"/>
              </w:rPr>
            </w:pPr>
            <w:r>
              <w:rPr>
                <w:bCs/>
                <w:shd w:fill="auto" w:val="clear"/>
              </w:rPr>
            </w:r>
          </w:p>
          <w:p>
            <w:pPr>
              <w:pStyle w:val="Normal"/>
              <w:widowControl w:val="false"/>
              <w:jc w:val="center"/>
              <w:rPr>
                <w:bCs/>
                <w:highlight w:val="none"/>
                <w:shd w:fill="auto" w:val="clear"/>
              </w:rPr>
            </w:pPr>
            <w:r>
              <w:rPr>
                <w:bCs/>
                <w:shd w:fill="auto" w:val="clear"/>
              </w:rPr>
            </w:r>
          </w:p>
          <w:p>
            <w:pPr>
              <w:pStyle w:val="Normal"/>
              <w:widowControl w:val="false"/>
              <w:jc w:val="center"/>
              <w:rPr>
                <w:highlight w:val="none"/>
                <w:shd w:fill="auto" w:val="clear"/>
              </w:rPr>
            </w:pPr>
            <w:r>
              <w:rPr>
                <w:bCs/>
                <w:shd w:fill="auto" w:val="clear"/>
              </w:rPr>
              <w:t>Страна происхождения Товара</w:t>
            </w:r>
            <w:r>
              <w:rPr>
                <w:rStyle w:val="FootnoteReference"/>
                <w:bCs/>
                <w:shd w:fill="auto" w:val="clear"/>
              </w:rPr>
              <w:footnoteReference w:id="2"/>
            </w:r>
          </w:p>
        </w:tc>
        <w:tc>
          <w:tcPr>
            <w:tcW w:w="109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shd w:fill="auto" w:val="clear"/>
              </w:rPr>
              <w:t>Страна регистрации производителя Товара</w:t>
            </w:r>
          </w:p>
        </w:tc>
        <w:tc>
          <w:tcPr>
            <w:tcW w:w="9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bCs/>
                <w:shd w:fill="auto" w:val="clear"/>
              </w:rPr>
              <w:t>Код ОКПД 2 (с наименованием)</w:t>
            </w:r>
          </w:p>
        </w:tc>
        <w:tc>
          <w:tcPr>
            <w:tcW w:w="11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bCs/>
                <w:shd w:fill="auto" w:val="clear"/>
              </w:rPr>
              <w:t>Единица измерения</w:t>
            </w:r>
          </w:p>
        </w:tc>
        <w:tc>
          <w:tcPr>
            <w:tcW w:w="104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highlight w:val="none"/>
                <w:shd w:fill="auto" w:val="clear"/>
              </w:rPr>
            </w:pPr>
            <w:r>
              <w:rPr>
                <w:bCs/>
                <w:shd w:fill="auto" w:val="clear"/>
              </w:rPr>
            </w:r>
          </w:p>
          <w:p>
            <w:pPr>
              <w:pStyle w:val="Normal"/>
              <w:widowControl w:val="false"/>
              <w:jc w:val="center"/>
              <w:rPr>
                <w:bCs/>
                <w:highlight w:val="none"/>
                <w:shd w:fill="auto" w:val="clear"/>
              </w:rPr>
            </w:pPr>
            <w:r>
              <w:rPr>
                <w:bCs/>
                <w:shd w:fill="auto" w:val="clear"/>
              </w:rPr>
            </w:r>
          </w:p>
          <w:p>
            <w:pPr>
              <w:pStyle w:val="Normal"/>
              <w:widowControl w:val="false"/>
              <w:jc w:val="center"/>
              <w:rPr>
                <w:b/>
                <w:bCs/>
                <w:highlight w:val="none"/>
                <w:shd w:fill="auto" w:val="clear"/>
              </w:rPr>
            </w:pPr>
            <w:r>
              <w:rPr>
                <w:b/>
                <w:bCs/>
                <w:shd w:fill="auto" w:val="clear"/>
              </w:rPr>
            </w:r>
          </w:p>
          <w:p>
            <w:pPr>
              <w:pStyle w:val="Normal"/>
              <w:widowControl w:val="false"/>
              <w:jc w:val="center"/>
              <w:rPr>
                <w:highlight w:val="none"/>
                <w:shd w:fill="auto" w:val="clear"/>
              </w:rPr>
            </w:pPr>
            <w:r>
              <w:rPr>
                <w:bCs/>
                <w:shd w:fill="auto" w:val="clear"/>
              </w:rPr>
              <w:t>Порядковый номер(а) реестровой(ых) записи(ей)</w:t>
            </w:r>
            <w:r>
              <w:rPr>
                <w:rStyle w:val="FootnoteReference"/>
                <w:bCs/>
                <w:shd w:fill="auto" w:val="clear"/>
              </w:rPr>
              <w:footnoteReference w:id="3"/>
            </w:r>
          </w:p>
          <w:p>
            <w:pPr>
              <w:pStyle w:val="Normal"/>
              <w:widowControl w:val="false"/>
              <w:jc w:val="center"/>
              <w:rPr>
                <w:bCs/>
                <w:highlight w:val="none"/>
                <w:shd w:fill="auto" w:val="clear"/>
              </w:rPr>
            </w:pPr>
            <w:r>
              <w:rPr>
                <w:bCs/>
                <w:shd w:fill="auto" w:val="clear"/>
              </w:rPr>
            </w:r>
          </w:p>
        </w:tc>
        <w:tc>
          <w:tcPr>
            <w:tcW w:w="7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bCs/>
                <w:shd w:fill="auto" w:val="clear"/>
              </w:rPr>
              <w:t>Количество</w:t>
            </w:r>
          </w:p>
        </w:tc>
        <w:tc>
          <w:tcPr>
            <w:tcW w:w="97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bCs/>
                <w:shd w:fill="auto" w:val="clear"/>
              </w:rPr>
              <w:t>Цена за единицу, руб. без НДС</w:t>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bCs/>
                <w:shd w:fill="auto" w:val="clear"/>
              </w:rPr>
              <w:t>Цена, руб. без НДС</w:t>
            </w:r>
          </w:p>
        </w:tc>
        <w:tc>
          <w:tcPr>
            <w:tcW w:w="7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bCs/>
                <w:shd w:fill="auto" w:val="clear"/>
              </w:rPr>
              <w:t>НДС</w:t>
            </w:r>
          </w:p>
          <w:p>
            <w:pPr>
              <w:pStyle w:val="Normal"/>
              <w:widowControl w:val="false"/>
              <w:jc w:val="center"/>
              <w:rPr>
                <w:highlight w:val="none"/>
                <w:shd w:fill="auto" w:val="clear"/>
              </w:rPr>
            </w:pPr>
            <w:r>
              <w:rPr>
                <w:bCs/>
                <w:shd w:fill="auto" w:val="clear"/>
              </w:rPr>
              <w:t>(___%) руб.*</w:t>
            </w:r>
          </w:p>
        </w:tc>
        <w:tc>
          <w:tcPr>
            <w:tcW w:w="10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bCs/>
                <w:shd w:fill="auto" w:val="clear"/>
              </w:rPr>
              <w:t>Стоимость, руб., с НДС*</w:t>
            </w:r>
          </w:p>
        </w:tc>
        <w:tc>
          <w:tcPr>
            <w:tcW w:w="20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bCs/>
                <w:shd w:fill="auto" w:val="clear"/>
              </w:rPr>
              <w:t>Перечень сопроводительных документов (в том числе подтверждающих качество Товара)</w:t>
            </w:r>
          </w:p>
        </w:tc>
      </w:tr>
      <w:tr>
        <w:trPr>
          <w:trHeight w:val="538" w:hRule="atLeast"/>
        </w:trPr>
        <w:tc>
          <w:tcPr>
            <w:tcW w:w="8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shd w:fill="auto" w:val="clear"/>
              </w:rPr>
              <w:t>1</w:t>
            </w:r>
          </w:p>
        </w:tc>
        <w:tc>
          <w:tcPr>
            <w:tcW w:w="13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none"/>
                <w:shd w:fill="auto" w:val="clear"/>
              </w:rPr>
            </w:pPr>
            <w:r>
              <w:rPr>
                <w:shd w:fill="auto" w:val="clear"/>
              </w:rPr>
            </w:r>
          </w:p>
        </w:tc>
        <w:tc>
          <w:tcPr>
            <w:tcW w:w="925"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none"/>
                <w:shd w:fill="auto" w:val="clear"/>
              </w:rPr>
            </w:pPr>
            <w:r>
              <w:rPr>
                <w:shd w:fill="auto" w:val="clear"/>
              </w:rPr>
            </w:r>
          </w:p>
        </w:tc>
        <w:tc>
          <w:tcPr>
            <w:tcW w:w="92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none"/>
                <w:shd w:fill="auto" w:val="clear"/>
              </w:rPr>
            </w:pPr>
            <w:r>
              <w:rPr>
                <w:shd w:fill="auto" w:val="clear"/>
              </w:rPr>
            </w:r>
          </w:p>
        </w:tc>
        <w:tc>
          <w:tcPr>
            <w:tcW w:w="117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none"/>
                <w:shd w:fill="auto" w:val="clear"/>
              </w:rPr>
            </w:pPr>
            <w:r>
              <w:rPr>
                <w:shd w:fill="auto" w:val="clear"/>
              </w:rPr>
            </w:r>
          </w:p>
        </w:tc>
        <w:tc>
          <w:tcPr>
            <w:tcW w:w="109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none"/>
                <w:shd w:fill="auto" w:val="clear"/>
              </w:rPr>
            </w:pPr>
            <w:r>
              <w:rPr>
                <w:shd w:fill="auto" w:val="clear"/>
              </w:rPr>
            </w:r>
          </w:p>
        </w:tc>
        <w:tc>
          <w:tcPr>
            <w:tcW w:w="943"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none"/>
                <w:shd w:fill="auto" w:val="clear"/>
              </w:rPr>
            </w:pPr>
            <w:r>
              <w:rPr>
                <w:shd w:fill="auto" w:val="clear"/>
              </w:rPr>
            </w:r>
          </w:p>
        </w:tc>
        <w:tc>
          <w:tcPr>
            <w:tcW w:w="110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none"/>
                <w:shd w:fill="auto" w:val="clear"/>
              </w:rPr>
            </w:pPr>
            <w:r>
              <w:rPr>
                <w:shd w:fill="auto" w:val="clear"/>
              </w:rPr>
            </w:r>
          </w:p>
        </w:tc>
        <w:tc>
          <w:tcPr>
            <w:tcW w:w="1043"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none"/>
                <w:shd w:fill="auto" w:val="clear"/>
              </w:rPr>
            </w:pPr>
            <w:r>
              <w:rPr>
                <w:shd w:fill="auto" w:val="clear"/>
              </w:rPr>
            </w:r>
          </w:p>
        </w:tc>
        <w:tc>
          <w:tcPr>
            <w:tcW w:w="7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none"/>
                <w:shd w:fill="auto" w:val="clear"/>
              </w:rPr>
            </w:pPr>
            <w:r>
              <w:rPr>
                <w:shd w:fill="auto" w:val="clear"/>
              </w:rPr>
            </w:r>
          </w:p>
        </w:tc>
        <w:tc>
          <w:tcPr>
            <w:tcW w:w="97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none"/>
                <w:shd w:fill="auto" w:val="clear"/>
              </w:rPr>
            </w:pPr>
            <w:r>
              <w:rPr>
                <w:shd w:fill="auto" w:val="clear"/>
              </w:rPr>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none"/>
                <w:shd w:fill="auto" w:val="clear"/>
              </w:rPr>
            </w:pPr>
            <w:r>
              <w:rPr>
                <w:shd w:fill="auto" w:val="clear"/>
              </w:rPr>
            </w:r>
          </w:p>
        </w:tc>
        <w:tc>
          <w:tcPr>
            <w:tcW w:w="7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shd w:fill="auto" w:val="clear"/>
              </w:rPr>
            </w:r>
          </w:p>
        </w:tc>
        <w:tc>
          <w:tcPr>
            <w:tcW w:w="10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none"/>
                <w:shd w:fill="auto" w:val="clear"/>
              </w:rPr>
            </w:pPr>
            <w:r>
              <w:rPr>
                <w:shd w:fill="auto" w:val="clear"/>
              </w:rPr>
            </w:r>
          </w:p>
        </w:tc>
        <w:tc>
          <w:tcPr>
            <w:tcW w:w="20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shd w:fill="auto" w:val="clear"/>
              </w:rPr>
            </w:r>
          </w:p>
        </w:tc>
      </w:tr>
      <w:tr>
        <w:trPr>
          <w:trHeight w:val="538" w:hRule="atLeast"/>
        </w:trPr>
        <w:tc>
          <w:tcPr>
            <w:tcW w:w="8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shd w:fill="auto" w:val="clear"/>
              </w:rPr>
              <w:t>2</w:t>
            </w:r>
          </w:p>
        </w:tc>
        <w:tc>
          <w:tcPr>
            <w:tcW w:w="13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none"/>
                <w:shd w:fill="auto" w:val="clear"/>
              </w:rPr>
            </w:pPr>
            <w:r>
              <w:rPr>
                <w:shd w:fill="auto" w:val="clear"/>
              </w:rPr>
            </w:r>
          </w:p>
        </w:tc>
        <w:tc>
          <w:tcPr>
            <w:tcW w:w="925"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none"/>
                <w:shd w:fill="auto" w:val="clear"/>
              </w:rPr>
            </w:pPr>
            <w:r>
              <w:rPr>
                <w:shd w:fill="auto" w:val="clear"/>
              </w:rPr>
            </w:r>
          </w:p>
        </w:tc>
        <w:tc>
          <w:tcPr>
            <w:tcW w:w="92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none"/>
                <w:shd w:fill="auto" w:val="clear"/>
              </w:rPr>
            </w:pPr>
            <w:r>
              <w:rPr>
                <w:shd w:fill="auto" w:val="clear"/>
              </w:rPr>
            </w:r>
          </w:p>
        </w:tc>
        <w:tc>
          <w:tcPr>
            <w:tcW w:w="117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none"/>
                <w:shd w:fill="auto" w:val="clear"/>
              </w:rPr>
            </w:pPr>
            <w:r>
              <w:rPr>
                <w:shd w:fill="auto" w:val="clear"/>
              </w:rPr>
            </w:r>
          </w:p>
        </w:tc>
        <w:tc>
          <w:tcPr>
            <w:tcW w:w="109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none"/>
                <w:shd w:fill="auto" w:val="clear"/>
              </w:rPr>
            </w:pPr>
            <w:r>
              <w:rPr>
                <w:shd w:fill="auto" w:val="clear"/>
              </w:rPr>
            </w:r>
          </w:p>
        </w:tc>
        <w:tc>
          <w:tcPr>
            <w:tcW w:w="943"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none"/>
                <w:shd w:fill="auto" w:val="clear"/>
              </w:rPr>
            </w:pPr>
            <w:r>
              <w:rPr>
                <w:shd w:fill="auto" w:val="clear"/>
              </w:rPr>
            </w:r>
          </w:p>
        </w:tc>
        <w:tc>
          <w:tcPr>
            <w:tcW w:w="110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none"/>
                <w:shd w:fill="auto" w:val="clear"/>
              </w:rPr>
            </w:pPr>
            <w:r>
              <w:rPr>
                <w:shd w:fill="auto" w:val="clear"/>
              </w:rPr>
            </w:r>
          </w:p>
        </w:tc>
        <w:tc>
          <w:tcPr>
            <w:tcW w:w="1043"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none"/>
                <w:shd w:fill="auto" w:val="clear"/>
              </w:rPr>
            </w:pPr>
            <w:r>
              <w:rPr>
                <w:shd w:fill="auto" w:val="clear"/>
              </w:rPr>
            </w:r>
          </w:p>
        </w:tc>
        <w:tc>
          <w:tcPr>
            <w:tcW w:w="7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none"/>
                <w:shd w:fill="auto" w:val="clear"/>
              </w:rPr>
            </w:pPr>
            <w:r>
              <w:rPr>
                <w:shd w:fill="auto" w:val="clear"/>
              </w:rPr>
            </w:r>
          </w:p>
        </w:tc>
        <w:tc>
          <w:tcPr>
            <w:tcW w:w="97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none"/>
                <w:shd w:fill="auto" w:val="clear"/>
              </w:rPr>
            </w:pPr>
            <w:r>
              <w:rPr>
                <w:shd w:fill="auto" w:val="clear"/>
              </w:rPr>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none"/>
                <w:shd w:fill="auto" w:val="clear"/>
              </w:rPr>
            </w:pPr>
            <w:r>
              <w:rPr>
                <w:shd w:fill="auto" w:val="clear"/>
              </w:rPr>
            </w:r>
          </w:p>
        </w:tc>
        <w:tc>
          <w:tcPr>
            <w:tcW w:w="7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shd w:fill="auto" w:val="clear"/>
              </w:rPr>
            </w:r>
          </w:p>
        </w:tc>
        <w:tc>
          <w:tcPr>
            <w:tcW w:w="10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none"/>
                <w:shd w:fill="auto" w:val="clear"/>
              </w:rPr>
            </w:pPr>
            <w:r>
              <w:rPr>
                <w:shd w:fill="auto" w:val="clear"/>
              </w:rPr>
            </w:r>
          </w:p>
        </w:tc>
        <w:tc>
          <w:tcPr>
            <w:tcW w:w="20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shd w:fill="auto" w:val="clear"/>
              </w:rPr>
            </w:r>
          </w:p>
        </w:tc>
      </w:tr>
      <w:tr>
        <w:trPr>
          <w:trHeight w:val="62" w:hRule="atLeast"/>
        </w:trPr>
        <w:tc>
          <w:tcPr>
            <w:tcW w:w="12766" w:type="dxa"/>
            <w:gridSpan w:val="13"/>
            <w:tcBorders>
              <w:top w:val="single" w:sz="4" w:space="0" w:color="000000"/>
              <w:left w:val="single" w:sz="4" w:space="0" w:color="000000"/>
              <w:bottom w:val="single" w:sz="4" w:space="0" w:color="000000"/>
              <w:right w:val="single" w:sz="4" w:space="0" w:color="000000"/>
            </w:tcBorders>
          </w:tcPr>
          <w:p>
            <w:pPr>
              <w:pStyle w:val="Normal"/>
              <w:widowControl w:val="false"/>
              <w:jc w:val="right"/>
              <w:rPr>
                <w:highlight w:val="none"/>
                <w:shd w:fill="auto" w:val="clear"/>
              </w:rPr>
            </w:pPr>
            <w:r>
              <w:rPr>
                <w:shd w:fill="auto" w:val="clear"/>
              </w:rPr>
              <w:t xml:space="preserve">Итого стоимость руб. </w:t>
            </w:r>
            <w:r>
              <w:rPr>
                <w:shd w:fill="auto" w:val="clear"/>
              </w:rPr>
              <w:t>без</w:t>
            </w:r>
            <w:r>
              <w:rPr>
                <w:shd w:fill="auto" w:val="clear"/>
              </w:rPr>
              <w:t xml:space="preserve"> НДС</w:t>
            </w:r>
          </w:p>
        </w:tc>
        <w:tc>
          <w:tcPr>
            <w:tcW w:w="3099"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shd w:fill="auto" w:val="clear"/>
              </w:rPr>
            </w:r>
          </w:p>
        </w:tc>
      </w:tr>
      <w:tr>
        <w:trPr>
          <w:trHeight w:val="62" w:hRule="atLeast"/>
        </w:trPr>
        <w:tc>
          <w:tcPr>
            <w:tcW w:w="12766" w:type="dxa"/>
            <w:gridSpan w:val="13"/>
            <w:tcBorders>
              <w:top w:val="single" w:sz="4" w:space="0" w:color="000000"/>
              <w:left w:val="single" w:sz="4" w:space="0" w:color="000000"/>
              <w:bottom w:val="single" w:sz="4" w:space="0" w:color="000000"/>
              <w:right w:val="single" w:sz="4" w:space="0" w:color="000000"/>
            </w:tcBorders>
          </w:tcPr>
          <w:p>
            <w:pPr>
              <w:pStyle w:val="Normal"/>
              <w:widowControl w:val="false"/>
              <w:jc w:val="right"/>
              <w:rPr>
                <w:highlight w:val="none"/>
                <w:shd w:fill="auto" w:val="clear"/>
              </w:rPr>
            </w:pPr>
            <w:r>
              <w:rPr>
                <w:shd w:fill="auto" w:val="clear"/>
              </w:rPr>
              <w:t>Сумма НДС (22%)</w:t>
            </w:r>
          </w:p>
        </w:tc>
        <w:tc>
          <w:tcPr>
            <w:tcW w:w="3099"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shd w:fill="auto" w:val="clear"/>
              </w:rPr>
            </w:r>
          </w:p>
        </w:tc>
      </w:tr>
      <w:tr>
        <w:trPr>
          <w:trHeight w:val="262" w:hRule="atLeast"/>
        </w:trPr>
        <w:tc>
          <w:tcPr>
            <w:tcW w:w="12766" w:type="dxa"/>
            <w:gridSpan w:val="13"/>
            <w:tcBorders>
              <w:top w:val="single" w:sz="4" w:space="0" w:color="000000"/>
              <w:left w:val="single" w:sz="4" w:space="0" w:color="000000"/>
              <w:bottom w:val="single" w:sz="4" w:space="0" w:color="000000"/>
              <w:right w:val="single" w:sz="4" w:space="0" w:color="000000"/>
            </w:tcBorders>
          </w:tcPr>
          <w:p>
            <w:pPr>
              <w:pStyle w:val="Normal"/>
              <w:widowControl w:val="false"/>
              <w:jc w:val="right"/>
              <w:rPr>
                <w:highlight w:val="none"/>
                <w:shd w:fill="auto" w:val="clear"/>
              </w:rPr>
            </w:pPr>
            <w:r>
              <w:rPr>
                <w:shd w:fill="auto" w:val="clear"/>
              </w:rPr>
              <w:t>Итого стоимость руб. с НДС</w:t>
            </w:r>
          </w:p>
        </w:tc>
        <w:tc>
          <w:tcPr>
            <w:tcW w:w="3099"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shd w:fill="auto" w:val="clear"/>
              </w:rPr>
            </w:r>
          </w:p>
        </w:tc>
      </w:tr>
    </w:tbl>
    <w:p>
      <w:pPr>
        <w:pStyle w:val="Normal"/>
        <w:ind w:hanging="0" w:left="-737" w:right="737"/>
        <w:jc w:val="both"/>
        <w:rPr>
          <w:highlight w:val="none"/>
          <w:shd w:fill="auto" w:val="clear"/>
        </w:rPr>
      </w:pPr>
      <w:r>
        <w:rPr>
          <w:i/>
          <w:iCs/>
          <w:shd w:fill="auto" w:val="clear"/>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ind w:hanging="0" w:right="-283"/>
        <w:jc w:val="both"/>
        <w:rPr>
          <w:i/>
          <w:i/>
          <w:iCs/>
          <w:highlight w:val="none"/>
          <w:shd w:fill="auto" w:val="clear"/>
        </w:rPr>
      </w:pPr>
      <w:r>
        <w:rPr>
          <w:i/>
          <w:iCs/>
          <w:shd w:fill="auto" w:val="clear"/>
        </w:rPr>
      </w:r>
    </w:p>
    <w:p>
      <w:pPr>
        <w:pStyle w:val="Normal"/>
        <w:rPr>
          <w:highlight w:val="none"/>
          <w:shd w:fill="auto" w:val="clear"/>
        </w:rPr>
      </w:pPr>
      <w:r>
        <w:rPr>
          <w:i/>
          <w:sz w:val="22"/>
          <w:szCs w:val="22"/>
          <w:shd w:fill="auto" w:val="clear"/>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rPr>
          <w:highlight w:val="none"/>
          <w:shd w:fill="auto" w:val="clear"/>
        </w:rPr>
      </w:pPr>
      <w:r>
        <w:rPr>
          <w:i/>
          <w:sz w:val="22"/>
          <w:szCs w:val="22"/>
          <w:shd w:fill="auto" w:val="clear"/>
        </w:rPr>
        <w:t xml:space="preserve">2. По требованию Покупателя Поставщик обязан представить запрашиваемую информацию/документы, расчеты, обосновывающие стоимость доставки. </w:t>
      </w:r>
    </w:p>
    <w:p>
      <w:pPr>
        <w:pStyle w:val="Normal"/>
        <w:rPr>
          <w:i/>
          <w:i/>
          <w:sz w:val="22"/>
          <w:szCs w:val="22"/>
          <w:highlight w:val="none"/>
          <w:shd w:fill="auto" w:val="clear"/>
        </w:rPr>
      </w:pPr>
      <w:r>
        <w:rPr>
          <w:i/>
          <w:sz w:val="22"/>
          <w:szCs w:val="22"/>
          <w:shd w:fill="auto" w:val="clear"/>
        </w:rPr>
      </w:r>
    </w:p>
    <w:p>
      <w:pPr>
        <w:pStyle w:val="Normal"/>
        <w:rPr>
          <w:i/>
          <w:i/>
          <w:sz w:val="22"/>
          <w:szCs w:val="22"/>
        </w:rPr>
      </w:pPr>
      <w:r>
        <w:rPr>
          <w:i/>
          <w:sz w:val="22"/>
          <w:szCs w:val="22"/>
        </w:rPr>
      </w:r>
    </w:p>
    <w:p>
      <w:pPr>
        <w:pStyle w:val="Normal"/>
        <w:widowControl/>
        <w:rPr>
          <w:rFonts w:eastAsia="Calibri"/>
          <w:b/>
          <w:sz w:val="24"/>
          <w:szCs w:val="24"/>
          <w:lang w:eastAsia="en-US"/>
        </w:rPr>
      </w:pPr>
      <w:r>
        <w:rPr>
          <w:rFonts w:eastAsia="Calibri"/>
          <w:b/>
          <w:sz w:val="24"/>
          <w:szCs w:val="24"/>
          <w:lang w:eastAsia="en-US"/>
        </w:rPr>
      </w:r>
    </w:p>
    <w:p>
      <w:pPr>
        <w:pStyle w:val="Normal"/>
        <w:widowControl/>
        <w:jc w:val="center"/>
        <w:rPr>
          <w:b/>
          <w:sz w:val="24"/>
          <w:szCs w:val="24"/>
        </w:rPr>
      </w:pPr>
      <w:r>
        <w:rPr>
          <w:b/>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hanging="0" w:left="0"/>
        <w:jc w:val="center"/>
        <w:outlineLvl w:val="0"/>
        <w:rPr>
          <w:bCs/>
          <w:sz w:val="24"/>
          <w:szCs w:val="24"/>
        </w:rPr>
      </w:pPr>
      <w:r>
        <w:rPr>
          <w:bCs/>
          <w:sz w:val="24"/>
          <w:szCs w:val="24"/>
        </w:rPr>
      </w:r>
    </w:p>
    <w:tbl>
      <w:tblPr>
        <w:tblW w:w="15424" w:type="dxa"/>
        <w:jc w:val="left"/>
        <w:tblInd w:w="-68" w:type="dxa"/>
        <w:tblLayout w:type="fixed"/>
        <w:tblCellMar>
          <w:top w:w="0" w:type="dxa"/>
          <w:left w:w="108" w:type="dxa"/>
          <w:bottom w:w="0" w:type="dxa"/>
          <w:right w:w="108" w:type="dxa"/>
        </w:tblCellMar>
        <w:tblLook w:val="04a0" w:noHBand="0" w:noVBand="1" w:firstColumn="1" w:lastRow="0" w:lastColumn="0" w:firstRow="1"/>
      </w:tblPr>
      <w:tblGrid>
        <w:gridCol w:w="8045"/>
        <w:gridCol w:w="7378"/>
      </w:tblGrid>
      <w:tr>
        <w:trPr/>
        <w:tc>
          <w:tcPr>
            <w:tcW w:w="804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_____________________/Двинянинов С.В.</w:t>
            </w:r>
          </w:p>
        </w:tc>
        <w:tc>
          <w:tcPr>
            <w:tcW w:w="7378" w:type="dxa"/>
            <w:tcBorders/>
            <w:shd w:color="auto" w:fill="auto" w:val="clear"/>
          </w:tcPr>
          <w:p>
            <w:pPr>
              <w:pStyle w:val="Normal"/>
              <w:widowControl w:val="false"/>
              <w:rPr>
                <w:b/>
                <w:sz w:val="24"/>
                <w:szCs w:val="24"/>
              </w:rPr>
            </w:pPr>
            <w:r>
              <w:rPr>
                <w:b/>
                <w:sz w:val="24"/>
                <w:szCs w:val="24"/>
              </w:rPr>
              <w:t>Поставщик:</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_____________________/_______________</w:t>
            </w:r>
          </w:p>
          <w:p>
            <w:pPr>
              <w:pStyle w:val="Normal"/>
              <w:widowControl w:val="false"/>
              <w:ind w:firstLine="33"/>
              <w:rPr>
                <w:b/>
                <w:sz w:val="24"/>
                <w:szCs w:val="24"/>
              </w:rPr>
            </w:pPr>
            <w:r>
              <w:rPr>
                <w:b/>
                <w:sz w:val="24"/>
                <w:szCs w:val="24"/>
              </w:rPr>
            </w:r>
          </w:p>
        </w:tc>
      </w:tr>
    </w:tbl>
    <w:p>
      <w:pPr>
        <w:pStyle w:val="Normal"/>
        <w:numPr>
          <w:ilvl w:val="0"/>
          <w:numId w:val="0"/>
        </w:numPr>
        <w:ind w:hanging="0" w:left="0"/>
        <w:jc w:val="center"/>
        <w:outlineLvl w:val="0"/>
        <w:rPr>
          <w:bCs/>
          <w:sz w:val="24"/>
          <w:szCs w:val="24"/>
        </w:rPr>
      </w:pPr>
      <w:r>
        <w:rPr>
          <w:bCs/>
          <w:sz w:val="24"/>
          <w:szCs w:val="24"/>
        </w:rPr>
      </w:r>
      <w:bookmarkStart w:id="10" w:name="_Toc50125127_Копия_1"/>
      <w:bookmarkStart w:id="11" w:name="_Toc50125127"/>
      <w:bookmarkStart w:id="12" w:name="_Toc192602421"/>
      <w:bookmarkStart w:id="13" w:name="_Toc50125127_Копия_1"/>
      <w:bookmarkStart w:id="14" w:name="_Toc50125127"/>
      <w:bookmarkStart w:id="15" w:name="_Toc192602421"/>
      <w:bookmarkEnd w:id="13"/>
      <w:bookmarkEnd w:id="14"/>
      <w:bookmarkEnd w:id="15"/>
      <w:r>
        <w:br w:type="page"/>
      </w:r>
    </w:p>
    <w:p>
      <w:pPr>
        <w:pStyle w:val="Normal"/>
        <w:ind w:firstLine="6237"/>
        <w:jc w:val="right"/>
        <w:rPr>
          <w:sz w:val="24"/>
          <w:szCs w:val="24"/>
        </w:rPr>
      </w:pPr>
      <w:r>
        <w:rPr>
          <w:sz w:val="24"/>
          <w:szCs w:val="24"/>
        </w:rPr>
        <w:t>Приложение № 2</w:t>
      </w:r>
    </w:p>
    <w:p>
      <w:pPr>
        <w:pStyle w:val="Normal"/>
        <w:ind w:hanging="0"/>
        <w:jc w:val="right"/>
        <w:rPr/>
      </w:pPr>
      <w:r>
        <w:rPr>
          <w:sz w:val="24"/>
          <w:szCs w:val="24"/>
        </w:rPr>
        <w:t xml:space="preserve">к Договору поставки № _______________ от «____» ________2026 г. </w:t>
      </w:r>
    </w:p>
    <w:p>
      <w:pPr>
        <w:pStyle w:val="Normal"/>
        <w:widowControl/>
        <w:shd w:val="clear" w:color="auto" w:fill="FFFFFF"/>
        <w:tabs>
          <w:tab w:val="clear" w:pos="709"/>
          <w:tab w:val="left" w:pos="1418" w:leader="none"/>
        </w:tabs>
        <w:spacing w:before="0" w:after="0"/>
        <w:ind w:firstLine="6237"/>
        <w:contextualSpacing/>
        <w:jc w:val="center"/>
        <w:rPr>
          <w:bCs/>
          <w:sz w:val="24"/>
          <w:szCs w:val="24"/>
        </w:rPr>
      </w:pPr>
      <w:r>
        <w:rPr>
          <w:bCs/>
          <w:sz w:val="24"/>
          <w:szCs w:val="24"/>
        </w:rPr>
      </w:r>
    </w:p>
    <w:p>
      <w:pPr>
        <w:pStyle w:val="Normal"/>
        <w:widowControl/>
        <w:rPr>
          <w:rFonts w:eastAsia="Calibri"/>
          <w:sz w:val="24"/>
          <w:szCs w:val="24"/>
          <w:lang w:eastAsia="en-US"/>
        </w:rPr>
      </w:pPr>
      <w:r>
        <w:rPr>
          <w:rFonts w:eastAsia="Calibri"/>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p>
      <w:pPr>
        <w:pStyle w:val="Normal"/>
        <w:rPr>
          <w:b/>
          <w:sz w:val="24"/>
          <w:szCs w:val="24"/>
        </w:rPr>
      </w:pPr>
      <w:r>
        <w:rPr>
          <w:b/>
          <w:sz w:val="24"/>
          <w:szCs w:val="24"/>
        </w:rPr>
      </w:r>
    </w:p>
    <w:tbl>
      <w:tblPr>
        <w:tblW w:w="14561" w:type="dxa"/>
        <w:jc w:val="left"/>
        <w:tblInd w:w="113" w:type="dxa"/>
        <w:tblLayout w:type="fixed"/>
        <w:tblCellMar>
          <w:top w:w="0" w:type="dxa"/>
          <w:left w:w="108" w:type="dxa"/>
          <w:bottom w:w="0" w:type="dxa"/>
          <w:right w:w="108" w:type="dxa"/>
        </w:tblCellMar>
        <w:tblLook w:val="01e0" w:noHBand="0" w:noVBand="0" w:firstColumn="1" w:lastRow="1" w:lastColumn="1" w:firstRow="1"/>
      </w:tblPr>
      <w:tblGrid>
        <w:gridCol w:w="7318"/>
        <w:gridCol w:w="7242"/>
      </w:tblGrid>
      <w:tr>
        <w:trPr/>
        <w:tc>
          <w:tcPr>
            <w:tcW w:w="7318"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Виды нарушений</w:t>
            </w:r>
          </w:p>
        </w:tc>
        <w:tc>
          <w:tcPr>
            <w:tcW w:w="7242"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Штрафные санкции</w:t>
            </w:r>
          </w:p>
        </w:tc>
      </w:tr>
      <w:tr>
        <w:trPr/>
        <w:tc>
          <w:tcPr>
            <w:tcW w:w="7318"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 Нарушение правил пожарной безопасности (ППБ):</w:t>
            </w:r>
          </w:p>
        </w:tc>
        <w:tc>
          <w:tcPr>
            <w:tcW w:w="7242"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7318"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1.1. Нарушение ППБ без возникновения пожара</w:t>
            </w:r>
          </w:p>
          <w:p>
            <w:pPr>
              <w:pStyle w:val="Normal"/>
              <w:widowControl w:val="false"/>
              <w:rPr>
                <w:b/>
                <w:sz w:val="24"/>
                <w:szCs w:val="24"/>
              </w:rPr>
            </w:pPr>
            <w:r>
              <w:rPr>
                <w:b/>
                <w:sz w:val="24"/>
                <w:szCs w:val="24"/>
              </w:rPr>
            </w:r>
          </w:p>
        </w:tc>
        <w:tc>
          <w:tcPr>
            <w:tcW w:w="7242"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25 000 (двадцать пять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7318"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7242"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50 000 (пятьдесят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7318"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7242"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250 000 (двести пятьдесят тысяч) рублей за каждый случай нарушения.</w:t>
            </w:r>
          </w:p>
        </w:tc>
      </w:tr>
      <w:tr>
        <w:trPr/>
        <w:tc>
          <w:tcPr>
            <w:tcW w:w="7318"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p>
        </w:tc>
        <w:tc>
          <w:tcPr>
            <w:tcW w:w="7242"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- 50 000 (пятьдесят тысяч) рублей за каждый случай нарушения;</w:t>
            </w:r>
          </w:p>
          <w:p>
            <w:pPr>
              <w:pStyle w:val="Normal"/>
              <w:widowControl w:val="false"/>
              <w:jc w:val="both"/>
              <w:rPr>
                <w:sz w:val="24"/>
                <w:szCs w:val="24"/>
              </w:rPr>
            </w:pPr>
            <w:r>
              <w:rPr>
                <w:sz w:val="24"/>
                <w:szCs w:val="24"/>
              </w:rPr>
              <w:t>- 500 (пятьсот) рублей в случае утраты или приведения в негодность электронного пропуска, выданного Покупателем.</w:t>
            </w:r>
          </w:p>
          <w:p>
            <w:pPr>
              <w:pStyle w:val="Normal"/>
              <w:widowControl w:val="false"/>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rPr>
          <w:sz w:val="24"/>
          <w:szCs w:val="24"/>
        </w:rPr>
      </w:pPr>
      <w:r>
        <w:rPr>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hanging="0" w:left="0"/>
        <w:jc w:val="center"/>
        <w:outlineLvl w:val="0"/>
        <w:rPr>
          <w:bCs/>
          <w:sz w:val="24"/>
          <w:szCs w:val="24"/>
        </w:rPr>
      </w:pPr>
      <w:r>
        <w:rPr>
          <w:bCs/>
          <w:sz w:val="24"/>
          <w:szCs w:val="24"/>
        </w:rPr>
      </w:r>
    </w:p>
    <w:tbl>
      <w:tblPr>
        <w:tblW w:w="14788" w:type="dxa"/>
        <w:jc w:val="left"/>
        <w:tblInd w:w="-68" w:type="dxa"/>
        <w:tblLayout w:type="fixed"/>
        <w:tblCellMar>
          <w:top w:w="0" w:type="dxa"/>
          <w:left w:w="108" w:type="dxa"/>
          <w:bottom w:w="0" w:type="dxa"/>
          <w:right w:w="108" w:type="dxa"/>
        </w:tblCellMar>
        <w:tblLook w:val="04a0" w:noHBand="0" w:noVBand="1" w:firstColumn="1" w:lastRow="0" w:lastColumn="0" w:firstRow="1"/>
      </w:tblPr>
      <w:tblGrid>
        <w:gridCol w:w="8044"/>
        <w:gridCol w:w="6743"/>
      </w:tblGrid>
      <w:tr>
        <w:trPr/>
        <w:tc>
          <w:tcPr>
            <w:tcW w:w="8044"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_____________________/Двинянинов С.В.</w:t>
            </w:r>
          </w:p>
          <w:p>
            <w:pPr>
              <w:pStyle w:val="Normal"/>
              <w:widowControl w:val="false"/>
              <w:rPr>
                <w:sz w:val="24"/>
                <w:szCs w:val="24"/>
              </w:rPr>
            </w:pPr>
            <w:r>
              <w:rPr>
                <w:sz w:val="24"/>
                <w:szCs w:val="24"/>
              </w:rPr>
            </w:r>
          </w:p>
        </w:tc>
        <w:tc>
          <w:tcPr>
            <w:tcW w:w="6743" w:type="dxa"/>
            <w:tcBorders/>
            <w:shd w:color="auto" w:fill="auto" w:val="clear"/>
          </w:tcPr>
          <w:p>
            <w:pPr>
              <w:pStyle w:val="Normal"/>
              <w:widowControl w:val="false"/>
              <w:ind w:firstLine="34"/>
              <w:rPr>
                <w:b/>
                <w:sz w:val="24"/>
                <w:szCs w:val="24"/>
              </w:rPr>
            </w:pPr>
            <w:r>
              <w:rPr>
                <w:b/>
                <w:sz w:val="24"/>
                <w:szCs w:val="24"/>
              </w:rPr>
              <w:t>Поставщик:</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_____________________/______________</w:t>
            </w:r>
          </w:p>
        </w:tc>
      </w:tr>
    </w:tbl>
    <w:p>
      <w:pPr>
        <w:pStyle w:val="Normal"/>
        <w:rPr>
          <w:b/>
          <w:bCs/>
          <w:sz w:val="24"/>
          <w:szCs w:val="24"/>
        </w:rPr>
      </w:pPr>
      <w:r>
        <w:rPr>
          <w:b/>
          <w:bCs/>
          <w:sz w:val="24"/>
          <w:szCs w:val="24"/>
        </w:rPr>
      </w:r>
      <w:bookmarkStart w:id="16" w:name="_Toc50125127_Копия_1_Копия_1_Копия_1"/>
      <w:bookmarkStart w:id="17" w:name="_Toc50125127_Копия_1_Копия_1"/>
      <w:bookmarkStart w:id="18" w:name="_Toc192602421_Копия_1"/>
      <w:bookmarkStart w:id="19" w:name="_Toc50125127_Копия_1_Копия_1"/>
      <w:bookmarkStart w:id="20" w:name="_Toc50125127_Копия_1_Копия_1_Копия_1"/>
      <w:bookmarkStart w:id="21" w:name="_Toc50125127_Копия_1_Копия_1"/>
      <w:bookmarkStart w:id="22" w:name="_Toc192602421_Копия_1"/>
      <w:bookmarkStart w:id="23" w:name="_Toc50125127_Копия_1_Копия_1"/>
      <w:bookmarkEnd w:id="20"/>
      <w:bookmarkEnd w:id="21"/>
      <w:bookmarkEnd w:id="22"/>
      <w:bookmarkEnd w:id="23"/>
    </w:p>
    <w:sectPr>
      <w:headerReference w:type="default" r:id="rId9"/>
      <w:headerReference w:type="first" r:id="rId10"/>
      <w:footerReference w:type="default" r:id="rId11"/>
      <w:footerReference w:type="first" r:id="rId12"/>
      <w:footnotePr>
        <w:numFmt w:val="decimal"/>
      </w:footnotePr>
      <w:type w:val="nextPage"/>
      <w:pgSz w:orient="landscape" w:w="16838" w:h="11906"/>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Calibri">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Tahoma">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Courier New">
    <w:charset w:val="01"/>
    <w:family w:val="roman"/>
    <w:pitch w:val="variable"/>
  </w:font>
  <w:font w:name="Verdana">
    <w:charset w:val="01"/>
    <w:family w:val="roman"/>
    <w:pitch w:val="variable"/>
  </w:font>
  <w:font w:name="Liberation Serif">
    <w:altName w:val="Times New Roman"/>
    <w:charset w:val="01"/>
    <w:family w:val="roman"/>
    <w:pitch w:val="variable"/>
  </w:font>
  <w:font w:name="Garamond">
    <w:charset w:val="01"/>
    <w:family w:val="roman"/>
    <w:pitch w:val="variable"/>
  </w:font>
  <w:font w:name="Arial Unicode MS">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9"/>
        </w:rPr>
        <w:footnoteRef/>
      </w:r>
      <w:r>
        <w:rPr/>
        <w:t xml:space="preserve"> </w:t>
      </w:r>
      <w:r>
        <w:rPr/>
        <w:t>В соответствии с Общероссийским классификатором стран мира (утв. Постановлением Госстандарта России от 14.12.2001 N 529-ст.).</w:t>
      </w:r>
    </w:p>
  </w:footnote>
  <w:footnote w:id="3">
    <w:p>
      <w:pPr>
        <w:pStyle w:val="FootnoteText"/>
        <w:jc w:val="both"/>
        <w:rPr/>
      </w:pPr>
      <w:r>
        <w:rPr>
          <w:rStyle w:val="Style9"/>
        </w:rPr>
        <w:footnoteRef/>
      </w:r>
      <w:r>
        <w:rPr/>
        <w:t xml:space="preserve"> </w:t>
      </w:r>
      <w:r>
        <w:rPr>
          <w:bCs/>
        </w:rPr>
        <w:t>Порядковый номер (номера) реестровой записи (реестровых записей), под которой (которыми) Оборудование включено в реестры, предусмотренные пунктом 3 Постановления Правительства РФ от</w:t>
      </w:r>
      <w:r>
        <w:rPr>
          <w:bCs/>
          <w:lang w:val="en-US"/>
        </w:rPr>
        <w:t xml:space="preserve"> </w:t>
      </w:r>
      <w:bookmarkStart w:id="24" w:name="_GoBack_Копия_1_Копия_1_Копия_1_Копия_1_"/>
      <w:bookmarkEnd w:id="24"/>
      <w:r>
        <w:rPr>
          <w:bCs/>
        </w:rPr>
        <w:t>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режиме.</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right" w:pos="8306" w:leader="none"/>
      </w:tabs>
      <w:jc w:val="right"/>
      <w:rPr/>
    </w:pPr>
    <w:r>
      <w:rPr/>
    </w:r>
  </w:p>
  <w:p>
    <w:pPr>
      <w:pStyle w:val="Normal"/>
      <w:tabs>
        <w:tab w:val="clear" w:pos="709"/>
        <w:tab w:val="left" w:pos="1875" w:leader="none"/>
        <w:tab w:val="right" w:pos="8306" w:leader="none"/>
      </w:tabs>
      <w:jc w:val="right"/>
      <w:rPr/>
    </w:pPr>
    <w:r>
      <w:rPr/>
    </w:r>
  </w:p>
  <w:p>
    <w:pPr>
      <w:pStyle w:val="Normal"/>
      <w:tabs>
        <w:tab w:val="clear" w:pos="709"/>
        <w:tab w:val="left" w:pos="1875" w:leader="none"/>
        <w:tab w:val="right" w:pos="8306" w:leader="none"/>
      </w:tabs>
      <w:jc w:val="right"/>
      <w:rPr/>
    </w:pPr>
    <w:r>
      <w:rPr/>
      <w:t xml:space="preserve">                                                                                                                                               </w:t>
    </w: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283"/>
        </w:tabs>
        <w:ind w:left="1283" w:hanging="432"/>
      </w:pPr>
      <w:rPr>
        <w:sz w:val="24"/>
        <w:b w:val="false"/>
        <w:szCs w:val="24"/>
      </w:rPr>
    </w:lvl>
    <w:lvl w:ilvl="2">
      <w:start w:val="1"/>
      <w:numFmt w:val="decimal"/>
      <w:lvlText w:val="%1.%2.%3."/>
      <w:lvlJc w:val="left"/>
      <w:pPr>
        <w:tabs>
          <w:tab w:val="num" w:pos="1855"/>
        </w:tabs>
        <w:ind w:left="1639" w:hanging="504"/>
      </w:pPr>
      <w:rPr>
        <w:b w:val="false"/>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07"/>
  <w:defaultTabStop w:val="709"/>
  <w:autoHyphenation w:val="true"/>
  <w:footnotePr>
    <w:numFmt w:val="decimal"/>
    <w:footnote w:id="0"/>
    <w:footnote w:id="1"/>
  </w:footnotePr>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0"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uiPriority="0"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886f70"/>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link w:val="1"/>
    <w:qFormat/>
    <w:rsid w:val="00886f70"/>
    <w:pPr>
      <w:keepNext w:val="true"/>
      <w:spacing w:before="240" w:after="60"/>
      <w:outlineLvl w:val="0"/>
    </w:pPr>
    <w:rPr>
      <w:rFonts w:ascii="Arial" w:hAnsi="Arial" w:cs="Arial"/>
      <w:b/>
      <w:bCs/>
      <w:kern w:val="2"/>
      <w:sz w:val="32"/>
      <w:szCs w:val="32"/>
    </w:rPr>
  </w:style>
  <w:style w:type="paragraph" w:styleId="Heading2">
    <w:name w:val="Heading 2"/>
    <w:basedOn w:val="Heading4"/>
    <w:next w:val="Normal"/>
    <w:qFormat/>
    <w:pPr>
      <w:numPr>
        <w:ilvl w:val="0"/>
        <w:numId w:val="0"/>
      </w:numPr>
      <w:ind w:hanging="0" w:left="432" w:right="0"/>
      <w:outlineLvl w:val="1"/>
    </w:pPr>
    <w:rPr/>
  </w:style>
  <w:style w:type="paragraph" w:styleId="Heading3">
    <w:name w:val="Heading 3"/>
    <w:basedOn w:val="Normal"/>
    <w:next w:val="Normal"/>
    <w:link w:val="3"/>
    <w:qFormat/>
    <w:rsid w:val="00886f70"/>
    <w:pPr>
      <w:keepNext w:val="true"/>
      <w:keepLines/>
      <w:spacing w:before="200" w:after="0"/>
      <w:outlineLvl w:val="2"/>
    </w:pPr>
    <w:rPr>
      <w:rFonts w:ascii="Cambria" w:hAnsi="Cambria"/>
      <w:b/>
      <w:bCs/>
      <w:color w:val="4F81BD"/>
      <w:lang w:val="x-none" w:eastAsia="x-none"/>
    </w:rPr>
  </w:style>
  <w:style w:type="paragraph" w:styleId="Heading4">
    <w:name w:val="Heading 4"/>
    <w:basedOn w:val="Heading3"/>
    <w:next w:val="Normal"/>
    <w:qFormat/>
    <w:pPr>
      <w:numPr>
        <w:ilvl w:val="0"/>
        <w:numId w:val="0"/>
      </w:numPr>
      <w:ind w:hanging="0" w:left="432" w:right="0"/>
      <w:outlineLvl w:val="3"/>
    </w:pPr>
    <w:rPr>
      <w:bCs/>
    </w:rPr>
  </w:style>
  <w:style w:type="paragraph" w:styleId="Heading5">
    <w:name w:val="Heading 5"/>
    <w:basedOn w:val="Normal"/>
    <w:next w:val="Normal"/>
    <w:qFormat/>
    <w:pPr>
      <w:numPr>
        <w:ilvl w:val="0"/>
        <w:numId w:val="0"/>
      </w:numPr>
      <w:spacing w:before="240" w:after="60"/>
      <w:outlineLvl w:val="4"/>
    </w:pPr>
    <w:rPr>
      <w:b/>
      <w:bCs/>
      <w:i/>
      <w:iCs/>
      <w:sz w:val="26"/>
      <w:szCs w:val="26"/>
      <w:lang w:val="x-none" w:eastAsia="x-none"/>
    </w:rPr>
  </w:style>
  <w:style w:type="paragraph" w:styleId="Heading6">
    <w:name w:val="Heading 6"/>
    <w:basedOn w:val="Normal"/>
    <w:next w:val="Normal"/>
    <w:qFormat/>
    <w:pPr>
      <w:keepNext w:val="true"/>
      <w:keepLines/>
      <w:numPr>
        <w:ilvl w:val="0"/>
        <w:numId w:val="0"/>
      </w:numPr>
      <w:spacing w:before="200" w:after="0"/>
      <w:outlineLvl w:val="5"/>
    </w:pPr>
    <w:rPr>
      <w:rFonts w:ascii="Cambria" w:hAnsi="Cambria"/>
      <w:i/>
      <w:iCs/>
      <w:color w:val="243F60"/>
      <w:sz w:val="20"/>
      <w:szCs w:val="20"/>
      <w:lang w:val="x-none" w:eastAsia="x-none"/>
    </w:rPr>
  </w:style>
  <w:style w:type="paragraph" w:styleId="Heading7">
    <w:name w:val="Heading 7"/>
    <w:basedOn w:val="Normal"/>
    <w:next w:val="Normal"/>
    <w:qFormat/>
    <w:pPr>
      <w:keepNext w:val="true"/>
      <w:keepLines/>
      <w:numPr>
        <w:ilvl w:val="0"/>
        <w:numId w:val="0"/>
      </w:numPr>
      <w:spacing w:before="200" w:after="0"/>
      <w:outlineLvl w:val="6"/>
    </w:pPr>
    <w:rPr>
      <w:rFonts w:ascii="Cambria" w:hAnsi="Cambria"/>
      <w:i/>
      <w:iCs/>
      <w:color w:val="404040"/>
      <w:sz w:val="20"/>
      <w:szCs w:val="20"/>
      <w:lang w:val="x-none" w:eastAsia="x-none"/>
    </w:rPr>
  </w:style>
  <w:style w:type="paragraph" w:styleId="Heading8">
    <w:name w:val="Heading 8"/>
    <w:basedOn w:val="Normal"/>
    <w:next w:val="Normal"/>
    <w:qFormat/>
    <w:pPr>
      <w:keepNext w:val="true"/>
      <w:keepLines/>
      <w:numPr>
        <w:ilvl w:val="0"/>
        <w:numId w:val="0"/>
      </w:numPr>
      <w:spacing w:before="200" w:after="0"/>
      <w:outlineLvl w:val="7"/>
    </w:pPr>
    <w:rPr>
      <w:rFonts w:ascii="Cambria" w:hAnsi="Cambria"/>
      <w:color w:val="4F81BD"/>
      <w:sz w:val="20"/>
      <w:szCs w:val="20"/>
      <w:lang w:val="x-none" w:eastAsia="x-none"/>
    </w:rPr>
  </w:style>
  <w:style w:type="paragraph" w:styleId="Heading9">
    <w:name w:val="Heading 9"/>
    <w:basedOn w:val="Normal"/>
    <w:next w:val="Normal"/>
    <w:qFormat/>
    <w:pPr>
      <w:numPr>
        <w:ilvl w:val="0"/>
        <w:numId w:val="0"/>
      </w:numPr>
      <w:spacing w:before="240" w:after="60"/>
      <w:outlineLvl w:val="8"/>
    </w:pPr>
    <w:rPr>
      <w:rFonts w:ascii="Arial" w:hAnsi="Arial"/>
      <w:sz w:val="22"/>
      <w:szCs w:val="22"/>
      <w:lang w:val="x-none" w:eastAsia="x-none"/>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rsid w:val="00886f70"/>
    <w:rPr>
      <w:rFonts w:ascii="Arial" w:hAnsi="Arial" w:eastAsia="Times New Roman" w:cs="Arial"/>
      <w:b/>
      <w:bCs/>
      <w:kern w:val="2"/>
      <w:sz w:val="32"/>
      <w:szCs w:val="32"/>
      <w:lang w:eastAsia="ru-RU"/>
    </w:rPr>
  </w:style>
  <w:style w:type="character" w:styleId="3" w:customStyle="1">
    <w:name w:val="Заголовок 3 Знак"/>
    <w:basedOn w:val="DefaultParagraphFont"/>
    <w:qFormat/>
    <w:rsid w:val="00886f70"/>
    <w:rPr>
      <w:rFonts w:ascii="Cambria" w:hAnsi="Cambria" w:eastAsia="Times New Roman" w:cs="Times New Roman"/>
      <w:b/>
      <w:bCs/>
      <w:color w:val="4F81BD"/>
      <w:sz w:val="20"/>
      <w:szCs w:val="20"/>
      <w:lang w:val="x-none" w:eastAsia="x-none"/>
    </w:rPr>
  </w:style>
  <w:style w:type="character" w:styleId="Style" w:customStyle="1">
    <w:name w:val="Заголовок Знак"/>
    <w:basedOn w:val="DefaultParagraphFont"/>
    <w:qFormat/>
    <w:rsid w:val="00886f70"/>
    <w:rPr>
      <w:rFonts w:ascii="Times New Roman" w:hAnsi="Times New Roman" w:eastAsia="Times New Roman" w:cs="Times New Roman"/>
      <w:b/>
      <w:bCs/>
      <w:sz w:val="24"/>
      <w:szCs w:val="24"/>
      <w:lang w:eastAsia="ru-RU"/>
    </w:rPr>
  </w:style>
  <w:style w:type="character" w:styleId="2" w:customStyle="1">
    <w:name w:val="Основной текст с отступом 2 Знак"/>
    <w:basedOn w:val="DefaultParagraphFont"/>
    <w:link w:val="BodyTextIndent2"/>
    <w:qFormat/>
    <w:rsid w:val="00886f70"/>
    <w:rPr>
      <w:rFonts w:ascii="Times New Roman" w:hAnsi="Times New Roman" w:eastAsia="Times New Roman" w:cs="Times New Roman"/>
      <w:sz w:val="24"/>
      <w:szCs w:val="20"/>
      <w:lang w:eastAsia="ru-RU"/>
    </w:rPr>
  </w:style>
  <w:style w:type="character" w:styleId="Style1" w:customStyle="1">
    <w:name w:val="Текст выноски Знак"/>
    <w:basedOn w:val="DefaultParagraphFont"/>
    <w:link w:val="BalloonText"/>
    <w:semiHidden/>
    <w:qFormat/>
    <w:rsid w:val="00886f70"/>
    <w:rPr>
      <w:rFonts w:ascii="Tahoma" w:hAnsi="Tahoma" w:eastAsia="Times New Roman" w:cs="Tahoma"/>
      <w:sz w:val="16"/>
      <w:szCs w:val="16"/>
      <w:lang w:eastAsia="ru-RU"/>
    </w:rPr>
  </w:style>
  <w:style w:type="character" w:styleId="21" w:customStyle="1">
    <w:name w:val="Основной текст 2 Знак"/>
    <w:basedOn w:val="DefaultParagraphFont"/>
    <w:link w:val="BodyText2"/>
    <w:qFormat/>
    <w:rsid w:val="00886f70"/>
    <w:rPr>
      <w:rFonts w:ascii="Times New Roman" w:hAnsi="Times New Roman" w:eastAsia="Times New Roman" w:cs="Times New Roman"/>
      <w:sz w:val="24"/>
      <w:szCs w:val="24"/>
      <w:lang w:eastAsia="ru-RU"/>
    </w:rPr>
  </w:style>
  <w:style w:type="character" w:styleId="Style2" w:customStyle="1">
    <w:name w:val="Основной текст Знак"/>
    <w:basedOn w:val="DefaultParagraphFont"/>
    <w:qFormat/>
    <w:rsid w:val="00886f70"/>
    <w:rPr>
      <w:rFonts w:ascii="Times New Roman" w:hAnsi="Times New Roman" w:eastAsia="Times New Roman" w:cs="Times New Roman"/>
      <w:sz w:val="20"/>
      <w:szCs w:val="20"/>
      <w:lang w:eastAsia="ru-RU"/>
    </w:rPr>
  </w:style>
  <w:style w:type="character" w:styleId="Style3" w:customStyle="1">
    <w:name w:val="Нижний колонтитул Знак"/>
    <w:basedOn w:val="DefaultParagraphFont"/>
    <w:uiPriority w:val="99"/>
    <w:qFormat/>
    <w:rsid w:val="00886f70"/>
    <w:rPr>
      <w:rFonts w:ascii="Times New Roman" w:hAnsi="Times New Roman" w:eastAsia="Times New Roman" w:cs="Times New Roman"/>
      <w:sz w:val="20"/>
      <w:szCs w:val="20"/>
      <w:lang w:eastAsia="ru-RU"/>
    </w:rPr>
  </w:style>
  <w:style w:type="character" w:styleId="Pagenumber">
    <w:name w:val="page number"/>
    <w:basedOn w:val="DefaultParagraphFont"/>
    <w:qFormat/>
    <w:rsid w:val="00886f70"/>
    <w:rPr/>
  </w:style>
  <w:style w:type="character" w:styleId="31" w:customStyle="1">
    <w:name w:val="Основной текст 3 Знак"/>
    <w:basedOn w:val="DefaultParagraphFont"/>
    <w:link w:val="BodyText3"/>
    <w:qFormat/>
    <w:rsid w:val="00886f70"/>
    <w:rPr>
      <w:rFonts w:ascii="Times New Roman" w:hAnsi="Times New Roman" w:eastAsia="Times New Roman" w:cs="Times New Roman"/>
      <w:sz w:val="16"/>
      <w:szCs w:val="16"/>
      <w:lang w:val="x-none" w:eastAsia="x-none"/>
    </w:rPr>
  </w:style>
  <w:style w:type="character" w:styleId="Annotationreference">
    <w:name w:val="annotation reference"/>
    <w:qFormat/>
    <w:rsid w:val="00886f70"/>
    <w:rPr>
      <w:sz w:val="16"/>
      <w:szCs w:val="16"/>
    </w:rPr>
  </w:style>
  <w:style w:type="character" w:styleId="Style4" w:customStyle="1">
    <w:name w:val="Текст примечания Знак"/>
    <w:basedOn w:val="DefaultParagraphFont"/>
    <w:link w:val="Annotationtext"/>
    <w:qFormat/>
    <w:rsid w:val="00886f70"/>
    <w:rPr>
      <w:rFonts w:ascii="Times New Roman" w:hAnsi="Times New Roman" w:eastAsia="Times New Roman" w:cs="Times New Roman"/>
      <w:sz w:val="20"/>
      <w:szCs w:val="20"/>
      <w:lang w:eastAsia="ru-RU"/>
    </w:rPr>
  </w:style>
  <w:style w:type="character" w:styleId="Style5" w:customStyle="1">
    <w:name w:val="Тема примечания Знак"/>
    <w:basedOn w:val="Style4"/>
    <w:link w:val="Annotationsubject"/>
    <w:qFormat/>
    <w:rsid w:val="00886f70"/>
    <w:rPr>
      <w:rFonts w:ascii="Times New Roman" w:hAnsi="Times New Roman" w:eastAsia="Times New Roman" w:cs="Times New Roman"/>
      <w:b/>
      <w:bCs/>
      <w:sz w:val="20"/>
      <w:szCs w:val="20"/>
      <w:lang w:val="x-none" w:eastAsia="x-none"/>
    </w:rPr>
  </w:style>
  <w:style w:type="character" w:styleId="Style6" w:customStyle="1">
    <w:name w:val="Основной текст с отступом Знак"/>
    <w:basedOn w:val="DefaultParagraphFont"/>
    <w:qFormat/>
    <w:rsid w:val="00886f70"/>
    <w:rPr>
      <w:rFonts w:ascii="Times New Roman" w:hAnsi="Times New Roman" w:eastAsia="Times New Roman" w:cs="Times New Roman"/>
      <w:sz w:val="20"/>
      <w:szCs w:val="20"/>
      <w:lang w:eastAsia="ru-RU"/>
    </w:rPr>
  </w:style>
  <w:style w:type="character" w:styleId="Style7" w:customStyle="1">
    <w:name w:val="комментарий"/>
    <w:uiPriority w:val="99"/>
    <w:qFormat/>
    <w:rsid w:val="00886f70"/>
    <w:rPr>
      <w:rFonts w:cs="Times New Roman"/>
      <w:b/>
      <w:bCs/>
      <w:i/>
      <w:iCs/>
      <w:shd w:fill="FFFF99" w:val="clear"/>
    </w:rPr>
  </w:style>
  <w:style w:type="character" w:styleId="Style8" w:customStyle="1">
    <w:name w:val="Текст сноски Знак"/>
    <w:basedOn w:val="DefaultParagraphFont"/>
    <w:uiPriority w:val="99"/>
    <w:qFormat/>
    <w:rsid w:val="00886f70"/>
    <w:rPr>
      <w:rFonts w:ascii="Times New Roman" w:hAnsi="Times New Roman" w:eastAsia="Times New Roman" w:cs="Times New Roman"/>
      <w:sz w:val="20"/>
      <w:szCs w:val="20"/>
      <w:lang w:eastAsia="ru-RU"/>
    </w:rPr>
  </w:style>
  <w:style w:type="character" w:styleId="Style9" w:customStyle="1">
    <w:name w:val="Символ сноски"/>
    <w:qFormat/>
    <w:rsid w:val="00886f70"/>
    <w:rPr>
      <w:vertAlign w:val="superscript"/>
    </w:rPr>
  </w:style>
  <w:style w:type="character" w:styleId="FootnoteReference">
    <w:name w:val="Footnote Reference"/>
    <w:rPr>
      <w:vertAlign w:val="superscript"/>
    </w:rPr>
  </w:style>
  <w:style w:type="character" w:styleId="Style10" w:customStyle="1">
    <w:name w:val="Схема документа Знак"/>
    <w:basedOn w:val="DefaultParagraphFont"/>
    <w:link w:val="DocumentMap"/>
    <w:semiHidden/>
    <w:qFormat/>
    <w:rsid w:val="00886f70"/>
    <w:rPr>
      <w:rFonts w:ascii="Tahoma" w:hAnsi="Tahoma" w:eastAsia="Times New Roman" w:cs="Tahoma"/>
      <w:sz w:val="20"/>
      <w:szCs w:val="20"/>
      <w:shd w:fill="000080" w:val="clear"/>
      <w:lang w:eastAsia="ru-RU"/>
    </w:rPr>
  </w:style>
  <w:style w:type="character" w:styleId="Style11" w:customStyle="1">
    <w:name w:val="Верхний колонтитул Знак"/>
    <w:basedOn w:val="DefaultParagraphFont"/>
    <w:qFormat/>
    <w:rsid w:val="00886f70"/>
    <w:rPr>
      <w:rFonts w:ascii="Times New Roman" w:hAnsi="Times New Roman" w:eastAsia="Times New Roman" w:cs="Times New Roman"/>
      <w:sz w:val="20"/>
      <w:szCs w:val="20"/>
      <w:lang w:eastAsia="ru-RU"/>
    </w:rPr>
  </w:style>
  <w:style w:type="character" w:styleId="Hyperlink">
    <w:name w:val="Hyperlink"/>
    <w:rsid w:val="00886f70"/>
    <w:rPr>
      <w:color w:val="0000FF"/>
      <w:u w:val="single"/>
    </w:rPr>
  </w:style>
  <w:style w:type="character" w:styleId="Style12" w:customStyle="1">
    <w:name w:val="Абзац списка Знак"/>
    <w:link w:val="ListParagraph"/>
    <w:uiPriority w:val="34"/>
    <w:qFormat/>
    <w:locked/>
    <w:rsid w:val="00b80bab"/>
    <w:rPr>
      <w:rFonts w:ascii="Times New Roman" w:hAnsi="Times New Roman" w:eastAsia="Times New Roman" w:cs="Times New Roman"/>
      <w:sz w:val="20"/>
      <w:szCs w:val="20"/>
      <w:lang w:eastAsia="ru-RU"/>
    </w:rPr>
  </w:style>
  <w:style w:type="character" w:styleId="Linenumber1" w:customStyle="1">
    <w:name w:val="line number1"/>
    <w:qFormat/>
    <w:rPr/>
  </w:style>
  <w:style w:type="character" w:styleId="Style13" w:customStyle="1">
    <w:name w:val="Символ концевой сноски"/>
    <w:qFormat/>
    <w:rPr>
      <w:vertAlign w:val="superscript"/>
    </w:rPr>
  </w:style>
  <w:style w:type="character" w:styleId="EndnoteReference">
    <w:name w:val="Endnote Reference"/>
    <w:rPr>
      <w:vertAlign w:val="superscript"/>
    </w:rPr>
  </w:style>
  <w:style w:type="character" w:styleId="Linenumber">
    <w:name w:val="line number"/>
    <w:qFormat/>
    <w:rPr/>
  </w:style>
  <w:style w:type="character" w:styleId="Style14">
    <w:name w:val="Ссылка указателя"/>
    <w:qFormat/>
    <w:rPr/>
  </w:style>
  <w:style w:type="character" w:styleId="Tooltip">
    <w:name w:val="tooltip"/>
    <w:basedOn w:val="DefaultParagraphFont"/>
    <w:qFormat/>
    <w:rPr/>
  </w:style>
  <w:style w:type="character" w:styleId="Apple-converted-space">
    <w:name w:val="apple-converted-space"/>
    <w:basedOn w:val="DefaultParagraphFont"/>
    <w:qFormat/>
    <w:rPr/>
  </w:style>
  <w:style w:type="character" w:styleId="Style15">
    <w:name w:val="основной для подзаголовков Знак"/>
    <w:qFormat/>
    <w:rPr>
      <w:b/>
      <w:sz w:val="28"/>
      <w:szCs w:val="28"/>
    </w:rPr>
  </w:style>
  <w:style w:type="character" w:styleId="32">
    <w:name w:val="Основной текст с отступом 3 Знак"/>
    <w:qFormat/>
    <w:rPr>
      <w:sz w:val="16"/>
      <w:szCs w:val="16"/>
    </w:rPr>
  </w:style>
  <w:style w:type="character" w:styleId="11">
    <w:name w:val="Неразрешенное упоминание1"/>
    <w:basedOn w:val="DefaultParagraphFont"/>
    <w:qFormat/>
    <w:rPr>
      <w:color w:val="605E5C"/>
      <w:shd w:fill="E1DFDD" w:val="clear"/>
    </w:rPr>
  </w:style>
  <w:style w:type="character" w:styleId="12">
    <w:name w:val="УРОВЕНЬ_1. Знак"/>
    <w:qFormat/>
    <w:rPr>
      <w:rFonts w:eastAsia="Calibri"/>
      <w:caps/>
      <w:sz w:val="28"/>
      <w:szCs w:val="28"/>
      <w:lang w:eastAsia="en-US"/>
    </w:rPr>
  </w:style>
  <w:style w:type="character" w:styleId="22">
    <w:name w:val="Пункт2 Знак"/>
    <w:qFormat/>
    <w:rPr>
      <w:b/>
      <w:sz w:val="28"/>
    </w:rPr>
  </w:style>
  <w:style w:type="character" w:styleId="Style16">
    <w:name w:val="Текст концевой сноски Знак"/>
    <w:basedOn w:val="DefaultParagraphFont"/>
    <w:qFormat/>
    <w:rPr/>
  </w:style>
  <w:style w:type="character" w:styleId="33">
    <w:name w:val="УРОВЕНЬ_Абзац_тип3 Знак"/>
    <w:qFormat/>
    <w:rPr>
      <w:rFonts w:eastAsia="Calibri"/>
      <w:sz w:val="26"/>
      <w:szCs w:val="28"/>
      <w:lang w:eastAsia="en-US"/>
    </w:rPr>
  </w:style>
  <w:style w:type="character" w:styleId="Style17">
    <w:name w:val="Подподпункт Знак"/>
    <w:qFormat/>
    <w:rPr>
      <w:sz w:val="26"/>
      <w:szCs w:val="26"/>
    </w:rPr>
  </w:style>
  <w:style w:type="character" w:styleId="Blk">
    <w:name w:val="blk"/>
    <w:qFormat/>
    <w:rPr/>
  </w:style>
  <w:style w:type="character" w:styleId="13">
    <w:name w:val="Подпункт Знак1"/>
    <w:qFormat/>
    <w:rPr>
      <w:sz w:val="28"/>
    </w:rPr>
  </w:style>
  <w:style w:type="character" w:styleId="Style18">
    <w:name w:val="Электронная подпись Знак"/>
    <w:qFormat/>
    <w:rPr>
      <w:rFonts w:eastAsia="Calibri"/>
      <w:sz w:val="24"/>
      <w:szCs w:val="24"/>
    </w:rPr>
  </w:style>
  <w:style w:type="character" w:styleId="BookTitle">
    <w:name w:val="Book Title"/>
    <w:qFormat/>
    <w:rPr>
      <w:b/>
      <w:bCs/>
      <w:smallCaps/>
      <w:spacing w:val="5"/>
    </w:rPr>
  </w:style>
  <w:style w:type="character" w:styleId="IntenseReference">
    <w:name w:val="Intense Reference"/>
    <w:qFormat/>
    <w:rPr>
      <w:b/>
      <w:bCs/>
      <w:smallCaps/>
      <w:color w:val="C0504D"/>
      <w:spacing w:val="5"/>
      <w:u w:val="single"/>
    </w:rPr>
  </w:style>
  <w:style w:type="character" w:styleId="SubtleReference">
    <w:name w:val="Subtle Reference"/>
    <w:qFormat/>
    <w:rPr>
      <w:smallCaps/>
      <w:color w:val="C0504D"/>
      <w:u w:val="single"/>
    </w:rPr>
  </w:style>
  <w:style w:type="character" w:styleId="IntenseEmphasis">
    <w:name w:val="Intense Emphasis"/>
    <w:qFormat/>
    <w:rPr>
      <w:b/>
      <w:bCs/>
      <w:i/>
      <w:iCs/>
      <w:color w:val="4F81BD"/>
    </w:rPr>
  </w:style>
  <w:style w:type="character" w:styleId="SubtleEmphasis">
    <w:name w:val="Subtle Emphasis"/>
    <w:qFormat/>
    <w:rPr>
      <w:i/>
      <w:iCs/>
      <w:color w:val="808080"/>
    </w:rPr>
  </w:style>
  <w:style w:type="character" w:styleId="Style19">
    <w:name w:val="Выделенная цитата Знак"/>
    <w:qFormat/>
    <w:rPr>
      <w:rFonts w:ascii="Calibri" w:hAnsi="Calibri" w:eastAsia="Calibri"/>
      <w:b/>
      <w:bCs/>
      <w:i/>
      <w:iCs/>
      <w:color w:val="4F81BD"/>
      <w:lang w:val="x-none" w:eastAsia="x-none"/>
    </w:rPr>
  </w:style>
  <w:style w:type="character" w:styleId="23">
    <w:name w:val="Цитата 2 Знак"/>
    <w:qFormat/>
    <w:rPr>
      <w:rFonts w:ascii="Calibri" w:hAnsi="Calibri" w:eastAsia="Calibri"/>
      <w:i/>
      <w:iCs/>
      <w:color w:val="000000"/>
      <w:lang w:val="x-none" w:eastAsia="x-none"/>
    </w:rPr>
  </w:style>
  <w:style w:type="character" w:styleId="Emphasis">
    <w:name w:val="Emphasis"/>
    <w:qFormat/>
    <w:rPr>
      <w:i/>
      <w:iCs/>
    </w:rPr>
  </w:style>
  <w:style w:type="character" w:styleId="Style20">
    <w:name w:val="Подзаголовок Знак"/>
    <w:qFormat/>
    <w:rPr>
      <w:rFonts w:ascii="Cambria" w:hAnsi="Cambria"/>
      <w:i/>
      <w:iCs/>
      <w:color w:val="4F81BD"/>
      <w:spacing w:val="15"/>
      <w:sz w:val="24"/>
      <w:szCs w:val="24"/>
      <w:lang w:val="x-none" w:eastAsia="x-none"/>
    </w:rPr>
  </w:style>
  <w:style w:type="character" w:styleId="Style21">
    <w:name w:val="Название Знак"/>
    <w:qFormat/>
    <w:rPr>
      <w:sz w:val="28"/>
    </w:rPr>
  </w:style>
  <w:style w:type="character" w:styleId="9">
    <w:name w:val="Заголовок 9 Знак"/>
    <w:qFormat/>
    <w:rPr>
      <w:rFonts w:ascii="Arial" w:hAnsi="Arial" w:cs="Arial"/>
      <w:sz w:val="22"/>
      <w:szCs w:val="22"/>
    </w:rPr>
  </w:style>
  <w:style w:type="character" w:styleId="5">
    <w:name w:val="Заголовок 5 Знак"/>
    <w:qFormat/>
    <w:rPr>
      <w:b/>
      <w:bCs/>
      <w:i/>
      <w:iCs/>
      <w:sz w:val="26"/>
      <w:szCs w:val="26"/>
    </w:rPr>
  </w:style>
  <w:style w:type="character" w:styleId="4">
    <w:name w:val="Заголовок 4 Знак"/>
    <w:qFormat/>
    <w:rPr>
      <w:rFonts w:eastAsia="Calibri"/>
      <w:b/>
      <w:bCs/>
      <w:sz w:val="24"/>
      <w:szCs w:val="24"/>
      <w:lang w:val="x-none" w:eastAsia="x-none"/>
    </w:rPr>
  </w:style>
  <w:style w:type="character" w:styleId="24">
    <w:name w:val="Заголовок 2 Знак"/>
    <w:qFormat/>
    <w:rPr>
      <w:rFonts w:eastAsia="Calibri"/>
      <w:b/>
      <w:bCs/>
      <w:sz w:val="24"/>
      <w:szCs w:val="24"/>
      <w:lang w:val="x-none" w:eastAsia="x-none"/>
    </w:rPr>
  </w:style>
  <w:style w:type="character" w:styleId="8">
    <w:name w:val="Заголовок 8 Знак"/>
    <w:qFormat/>
    <w:rPr>
      <w:rFonts w:ascii="Cambria" w:hAnsi="Cambria"/>
      <w:color w:val="4F81BD"/>
      <w:lang w:val="x-none" w:eastAsia="x-none"/>
    </w:rPr>
  </w:style>
  <w:style w:type="character" w:styleId="7">
    <w:name w:val="Заголовок 7 Знак"/>
    <w:qFormat/>
    <w:rPr>
      <w:rFonts w:ascii="Cambria" w:hAnsi="Cambria"/>
      <w:i/>
      <w:iCs/>
      <w:color w:val="404040"/>
      <w:lang w:val="x-none" w:eastAsia="x-none"/>
    </w:rPr>
  </w:style>
  <w:style w:type="character" w:styleId="6">
    <w:name w:val="Заголовок 6 Знак"/>
    <w:qFormat/>
    <w:rPr>
      <w:rFonts w:ascii="Cambria" w:hAnsi="Cambria"/>
      <w:i/>
      <w:iCs/>
      <w:color w:val="243F60"/>
      <w:lang w:val="x-none" w:eastAsia="x-none"/>
    </w:rPr>
  </w:style>
  <w:style w:type="character" w:styleId="Strong">
    <w:name w:val="Strong"/>
    <w:qFormat/>
    <w:rPr>
      <w:b/>
      <w:bCs/>
    </w:rPr>
  </w:style>
  <w:style w:type="character" w:styleId="FollowedHyperlink">
    <w:name w:val="FollowedHyperlink"/>
    <w:rPr>
      <w:color w:val="800000"/>
      <w:u w:val="single"/>
    </w:rPr>
  </w:style>
  <w:style w:type="character" w:styleId="Tipsy-tooltip">
    <w:name w:val="tipsy-tooltip"/>
    <w:qFormat/>
    <w:rPr>
      <w:rFonts w:ascii="Times New Roman" w:hAnsi="Times New Roman" w:eastAsia="Times New Roman" w:cs="Times New Roman"/>
      <w:color w:val="000000"/>
      <w:sz w:val="24"/>
      <w:szCs w:val="24"/>
    </w:rPr>
  </w:style>
  <w:style w:type="character" w:styleId="Strong1">
    <w:name w:val="Strong1"/>
    <w:qFormat/>
    <w:rPr>
      <w:b/>
      <w:bCs/>
    </w:rPr>
  </w:style>
  <w:style w:type="character" w:styleId="Strong2">
    <w:name w:val="Strong2"/>
    <w:qFormat/>
    <w:rPr>
      <w:b/>
      <w:bCs/>
    </w:rPr>
  </w:style>
  <w:style w:type="character" w:styleId="14">
    <w:name w:val="Верхний колонтитул Знак1"/>
    <w:qFormat/>
    <w:rPr>
      <w:rFonts w:ascii="Times New Roman" w:hAnsi="Times New Roman" w:eastAsia="Times New Roman" w:cs="Times New Roman"/>
      <w:color w:val="000000"/>
      <w:sz w:val="28"/>
      <w:szCs w:val="28"/>
      <w:lang w:eastAsia="ru-RU"/>
    </w:rPr>
  </w:style>
  <w:style w:type="character" w:styleId="15">
    <w:name w:val="Текст сноски Знак1"/>
    <w:qFormat/>
    <w:rPr>
      <w:rFonts w:ascii="Times New Roman" w:hAnsi="Times New Roman" w:eastAsia="Times New Roman" w:cs="Times New Roman"/>
      <w:color w:val="000000"/>
      <w:sz w:val="20"/>
      <w:szCs w:val="20"/>
      <w:lang w:eastAsia="ru-RU"/>
    </w:rPr>
  </w:style>
  <w:style w:type="character" w:styleId="16">
    <w:name w:val="Текст концевой сноски Знак1"/>
    <w:qFormat/>
    <w:rPr>
      <w:rFonts w:ascii="Times New Roman" w:hAnsi="Times New Roman" w:eastAsia="Times New Roman" w:cs="Times New Roman"/>
      <w:color w:val="000000"/>
      <w:sz w:val="20"/>
      <w:szCs w:val="20"/>
    </w:rPr>
  </w:style>
  <w:style w:type="character" w:styleId="17">
    <w:name w:val="Электронная подпись Знак1"/>
    <w:qFormat/>
    <w:rPr>
      <w:rFonts w:ascii="Times New Roman" w:hAnsi="Times New Roman" w:eastAsia="Times New Roman" w:cs="Times New Roman"/>
      <w:color w:val="000000"/>
      <w:sz w:val="24"/>
      <w:szCs w:val="24"/>
    </w:rPr>
  </w:style>
  <w:style w:type="character" w:styleId="18">
    <w:name w:val="Выделенная цитата Знак1"/>
    <w:qFormat/>
    <w:rPr>
      <w:rFonts w:ascii="Times New Roman" w:hAnsi="Times New Roman" w:eastAsia="Times New Roman" w:cs="Times New Roman"/>
      <w:i/>
      <w:iCs/>
      <w:color w:val="5B9BD5"/>
      <w:sz w:val="24"/>
      <w:szCs w:val="24"/>
    </w:rPr>
  </w:style>
  <w:style w:type="character" w:styleId="211">
    <w:name w:val="Цитата 2 Знак1"/>
    <w:qFormat/>
    <w:rPr>
      <w:rFonts w:ascii="Times New Roman" w:hAnsi="Times New Roman" w:eastAsia="Times New Roman" w:cs="Times New Roman"/>
      <w:i/>
      <w:iCs/>
      <w:color w:val="404040"/>
      <w:sz w:val="24"/>
      <w:szCs w:val="24"/>
    </w:rPr>
  </w:style>
  <w:style w:type="character" w:styleId="19">
    <w:name w:val="Подзаголовок Знак1"/>
    <w:qFormat/>
    <w:rPr>
      <w:rFonts w:ascii="Times New Roman" w:hAnsi="Times New Roman" w:eastAsia="0" w:cs="Times New Roman"/>
      <w:color w:val="5A5A5A"/>
      <w:spacing w:val="15"/>
      <w:sz w:val="24"/>
      <w:szCs w:val="24"/>
    </w:rPr>
  </w:style>
  <w:style w:type="character" w:styleId="110">
    <w:name w:val="Текст примечания Знак1"/>
    <w:qFormat/>
    <w:rPr>
      <w:rFonts w:ascii="Times New Roman" w:hAnsi="Times New Roman" w:eastAsia="Times New Roman" w:cs="Times New Roman"/>
      <w:color w:val="000000"/>
      <w:sz w:val="20"/>
      <w:szCs w:val="20"/>
    </w:rPr>
  </w:style>
  <w:style w:type="character" w:styleId="311">
    <w:name w:val="Основной текст с отступом 3 Знак1"/>
    <w:qFormat/>
    <w:rPr>
      <w:rFonts w:ascii="Times New Roman" w:hAnsi="Times New Roman" w:eastAsia="Times New Roman" w:cs="Times New Roman"/>
      <w:color w:val="000000"/>
      <w:sz w:val="16"/>
      <w:szCs w:val="16"/>
    </w:rPr>
  </w:style>
  <w:style w:type="character" w:styleId="111">
    <w:name w:val="Основной текст Знак1"/>
    <w:qFormat/>
    <w:rPr>
      <w:rFonts w:ascii="Times New Roman" w:hAnsi="Times New Roman" w:eastAsia="Times New Roman" w:cs="Times New Roman"/>
      <w:color w:val="000000"/>
      <w:sz w:val="24"/>
      <w:szCs w:val="24"/>
    </w:rPr>
  </w:style>
  <w:style w:type="character" w:styleId="Style22">
    <w:name w:val="Символ нумерации"/>
    <w:qFormat/>
    <w:rPr/>
  </w:style>
  <w:style w:type="character" w:styleId="Style23">
    <w:name w:val="Маркеры"/>
    <w:qFormat/>
    <w:rPr>
      <w:rFonts w:ascii="OpenSymbol" w:hAnsi="OpenSymbol" w:eastAsia="OpenSymbol" w:cs="OpenSymbol"/>
    </w:rPr>
  </w:style>
  <w:style w:type="paragraph" w:styleId="Style24">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2"/>
    <w:rsid w:val="00886f70"/>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25">
    <w:name w:val="Указатель"/>
    <w:basedOn w:val="Normal"/>
    <w:qFormat/>
    <w:pPr>
      <w:suppressLineNumbers/>
    </w:pPr>
    <w:rPr>
      <w:rFonts w:cs="Arial Unicode MS"/>
    </w:rPr>
  </w:style>
  <w:style w:type="paragraph" w:styleId="Title">
    <w:name w:val="Title"/>
    <w:basedOn w:val="Normal"/>
    <w:next w:val="BodyText"/>
    <w:link w:val="Style"/>
    <w:qFormat/>
    <w:rsid w:val="00886f70"/>
    <w:pPr>
      <w:jc w:val="center"/>
    </w:pPr>
    <w:rPr>
      <w:b/>
      <w:bCs/>
      <w:sz w:val="24"/>
      <w:szCs w:val="24"/>
    </w:rPr>
  </w:style>
  <w:style w:type="paragraph" w:styleId="Caption1">
    <w:name w:val="caption1"/>
    <w:basedOn w:val="Normal"/>
    <w:qFormat/>
    <w:pPr>
      <w:suppressLineNumbers/>
      <w:spacing w:before="120" w:after="120"/>
    </w:pPr>
    <w:rPr>
      <w:i/>
      <w:iCs/>
      <w:sz w:val="24"/>
      <w:szCs w:val="24"/>
    </w:rPr>
  </w:style>
  <w:style w:type="paragraph" w:styleId="Indexheading1">
    <w:name w:val="index heading1"/>
    <w:basedOn w:val="Normal"/>
    <w:qFormat/>
    <w:pPr>
      <w:suppressLineNumbers/>
    </w:pPr>
    <w:rPr/>
  </w:style>
  <w:style w:type="paragraph" w:styleId="112" w:customStyle="1">
    <w:name w:val="Заголовок1"/>
    <w:basedOn w:val="Normal"/>
    <w:next w:val="BodyText"/>
    <w:qFormat/>
    <w:pPr>
      <w:keepNext w:val="true"/>
      <w:spacing w:before="240" w:after="120"/>
    </w:pPr>
    <w:rPr>
      <w:rFonts w:ascii="Liberation Sans" w:hAnsi="Liberation Sans" w:eastAsia="Arial Unicode MS" w:cs="Arial Unicode MS"/>
      <w:sz w:val="28"/>
      <w:szCs w:val="28"/>
    </w:rPr>
  </w:style>
  <w:style w:type="paragraph" w:styleId="Caption11" w:customStyle="1">
    <w:name w:val="caption11"/>
    <w:basedOn w:val="Normal"/>
    <w:qFormat/>
    <w:pPr>
      <w:suppressLineNumbers/>
      <w:spacing w:before="120" w:after="120"/>
    </w:pPr>
    <w:rPr>
      <w:i/>
      <w:iCs/>
      <w:sz w:val="24"/>
      <w:szCs w:val="24"/>
    </w:rPr>
  </w:style>
  <w:style w:type="paragraph" w:styleId="Style26" w:customStyle="1">
    <w:name w:val="Таблицы (моноширинный)"/>
    <w:basedOn w:val="Normal"/>
    <w:next w:val="Normal"/>
    <w:qFormat/>
    <w:rsid w:val="00886f70"/>
    <w:pPr>
      <w:jc w:val="both"/>
    </w:pPr>
    <w:rPr>
      <w:rFonts w:ascii="Courier New" w:hAnsi="Courier New" w:cs="Courier New"/>
    </w:rPr>
  </w:style>
  <w:style w:type="paragraph" w:styleId="BodyTextIndent2">
    <w:name w:val="Body Text Indent 2"/>
    <w:basedOn w:val="Normal"/>
    <w:link w:val="2"/>
    <w:qFormat/>
    <w:rsid w:val="00886f70"/>
    <w:pPr>
      <w:ind w:hanging="0" w:left="1843"/>
      <w:jc w:val="both"/>
    </w:pPr>
    <w:rPr>
      <w:sz w:val="24"/>
    </w:rPr>
  </w:style>
  <w:style w:type="paragraph" w:styleId="BalloonText">
    <w:name w:val="Balloon Text"/>
    <w:basedOn w:val="Normal"/>
    <w:link w:val="Style1"/>
    <w:semiHidden/>
    <w:qFormat/>
    <w:rsid w:val="00886f70"/>
    <w:pPr/>
    <w:rPr>
      <w:rFonts w:ascii="Tahoma" w:hAnsi="Tahoma" w:cs="Tahoma"/>
      <w:sz w:val="16"/>
      <w:szCs w:val="16"/>
    </w:rPr>
  </w:style>
  <w:style w:type="paragraph" w:styleId="BodyText2">
    <w:name w:val="Body Text 2"/>
    <w:basedOn w:val="Normal"/>
    <w:link w:val="21"/>
    <w:qFormat/>
    <w:rsid w:val="00886f70"/>
    <w:pPr>
      <w:widowControl/>
      <w:spacing w:lineRule="auto" w:line="480" w:before="0" w:after="120"/>
    </w:pPr>
    <w:rPr>
      <w:sz w:val="24"/>
      <w:szCs w:val="24"/>
    </w:rPr>
  </w:style>
  <w:style w:type="paragraph" w:styleId="Style27" w:customStyle="1">
    <w:name w:val="Колонтитул"/>
    <w:basedOn w:val="Normal"/>
    <w:qFormat/>
    <w:pPr/>
    <w:rPr/>
  </w:style>
  <w:style w:type="paragraph" w:styleId="Footer">
    <w:name w:val="Footer"/>
    <w:basedOn w:val="Normal"/>
    <w:link w:val="Style3"/>
    <w:uiPriority w:val="99"/>
    <w:rsid w:val="00886f70"/>
    <w:pPr>
      <w:tabs>
        <w:tab w:val="clear" w:pos="709"/>
        <w:tab w:val="center" w:pos="4677" w:leader="none"/>
        <w:tab w:val="right" w:pos="9355" w:leader="none"/>
      </w:tabs>
    </w:pPr>
    <w:rPr/>
  </w:style>
  <w:style w:type="paragraph" w:styleId="BodyText3">
    <w:name w:val="Body Text 3"/>
    <w:basedOn w:val="Normal"/>
    <w:link w:val="31"/>
    <w:qFormat/>
    <w:rsid w:val="00886f70"/>
    <w:pPr>
      <w:spacing w:before="0" w:after="120"/>
    </w:pPr>
    <w:rPr>
      <w:sz w:val="16"/>
      <w:szCs w:val="16"/>
      <w:lang w:val="x-none" w:eastAsia="x-none"/>
    </w:rPr>
  </w:style>
  <w:style w:type="paragraph" w:styleId="Annotationtext">
    <w:name w:val="annotation text"/>
    <w:basedOn w:val="Normal"/>
    <w:link w:val="Style4"/>
    <w:qFormat/>
    <w:rsid w:val="00886f70"/>
    <w:pPr/>
    <w:rPr/>
  </w:style>
  <w:style w:type="paragraph" w:styleId="Annotationsubject">
    <w:name w:val="annotation subject"/>
    <w:basedOn w:val="Annotationtext"/>
    <w:next w:val="Annotationtext"/>
    <w:link w:val="Style5"/>
    <w:qFormat/>
    <w:rsid w:val="00886f70"/>
    <w:pPr/>
    <w:rPr>
      <w:b/>
      <w:bCs/>
      <w:lang w:val="x-none" w:eastAsia="x-none"/>
    </w:rPr>
  </w:style>
  <w:style w:type="paragraph" w:styleId="ListParagraph">
    <w:name w:val="List Paragraph"/>
    <w:basedOn w:val="Normal"/>
    <w:link w:val="Style12"/>
    <w:uiPriority w:val="34"/>
    <w:qFormat/>
    <w:rsid w:val="00886f70"/>
    <w:pPr>
      <w:spacing w:before="0" w:after="0"/>
      <w:ind w:hanging="0" w:left="720"/>
      <w:contextualSpacing/>
    </w:pPr>
    <w:rPr/>
  </w:style>
  <w:style w:type="paragraph" w:styleId="Style28" w:customStyle="1">
    <w:name w:val="Знак Знак Знак Знак Знак Знак Знак Знак Знак"/>
    <w:basedOn w:val="Normal"/>
    <w:uiPriority w:val="99"/>
    <w:qFormat/>
    <w:rsid w:val="00886f70"/>
    <w:pPr>
      <w:widowControl/>
      <w:spacing w:lineRule="exact" w:line="240" w:before="0" w:after="160"/>
      <w:jc w:val="both"/>
    </w:pPr>
    <w:rPr>
      <w:rFonts w:ascii="Verdana" w:hAnsi="Verdana"/>
      <w:sz w:val="22"/>
      <w:lang w:val="en-US" w:eastAsia="en-US"/>
    </w:rPr>
  </w:style>
  <w:style w:type="paragraph" w:styleId="Style29" w:customStyle="1">
    <w:name w:val="Подпункт договора"/>
    <w:basedOn w:val="Normal"/>
    <w:qFormat/>
    <w:rsid w:val="00886f70"/>
    <w:pPr>
      <w:widowControl/>
      <w:tabs>
        <w:tab w:val="clear" w:pos="709"/>
        <w:tab w:val="left" w:pos="360" w:leader="none"/>
      </w:tabs>
      <w:jc w:val="both"/>
    </w:pPr>
    <w:rPr>
      <w:rFonts w:ascii="Arial" w:hAnsi="Arial"/>
    </w:rPr>
  </w:style>
  <w:style w:type="paragraph" w:styleId="ConsNormal" w:customStyle="1">
    <w:name w:val="ConsNormal"/>
    <w:qFormat/>
    <w:rsid w:val="00886f70"/>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6"/>
    <w:rsid w:val="00886f70"/>
    <w:pPr>
      <w:spacing w:before="0" w:after="120"/>
      <w:ind w:hanging="0" w:left="283"/>
    </w:pPr>
    <w:rPr/>
  </w:style>
  <w:style w:type="paragraph" w:styleId="Style30" w:customStyle="1">
    <w:name w:val="Знак"/>
    <w:basedOn w:val="Normal"/>
    <w:qFormat/>
    <w:rsid w:val="00886f70"/>
    <w:pPr>
      <w:widowControl/>
      <w:spacing w:lineRule="exact" w:line="240" w:before="0" w:after="160"/>
    </w:pPr>
    <w:rPr>
      <w:rFonts w:ascii="Verdana" w:hAnsi="Verdana" w:cs="Verdana"/>
      <w:lang w:val="en-US" w:eastAsia="en-US"/>
    </w:rPr>
  </w:style>
  <w:style w:type="paragraph" w:styleId="FootnoteText">
    <w:name w:val="Footnote Text"/>
    <w:basedOn w:val="Normal"/>
    <w:link w:val="Style8"/>
    <w:uiPriority w:val="99"/>
    <w:rsid w:val="00886f70"/>
    <w:pPr/>
    <w:rPr/>
  </w:style>
  <w:style w:type="paragraph" w:styleId="ListBullet3">
    <w:name w:val="List Bullet 3"/>
    <w:basedOn w:val="Normal"/>
    <w:uiPriority w:val="99"/>
    <w:unhideWhenUsed/>
    <w:qFormat/>
    <w:rsid w:val="00886f70"/>
    <w:pPr>
      <w:widowControl/>
      <w:tabs>
        <w:tab w:val="clear" w:pos="709"/>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886f70"/>
    <w:pPr>
      <w:widowControl/>
      <w:tabs>
        <w:tab w:val="clear" w:pos="709"/>
        <w:tab w:val="left" w:pos="851" w:leader="none"/>
      </w:tabs>
      <w:spacing w:lineRule="auto" w:line="360"/>
      <w:ind w:hanging="851" w:left="851"/>
      <w:jc w:val="both"/>
    </w:pPr>
    <w:rPr>
      <w:rFonts w:eastAsia="Calibri"/>
      <w:sz w:val="28"/>
      <w:szCs w:val="28"/>
    </w:rPr>
  </w:style>
  <w:style w:type="paragraph" w:styleId="DocumentMap">
    <w:name w:val="Document Map"/>
    <w:basedOn w:val="Normal"/>
    <w:link w:val="Style10"/>
    <w:semiHidden/>
    <w:qFormat/>
    <w:rsid w:val="00886f70"/>
    <w:pPr>
      <w:shd w:val="clear" w:color="auto" w:fill="000080"/>
    </w:pPr>
    <w:rPr>
      <w:rFonts w:ascii="Tahoma" w:hAnsi="Tahoma" w:cs="Tahoma"/>
    </w:rPr>
  </w:style>
  <w:style w:type="paragraph" w:styleId="Revision">
    <w:name w:val="Revision"/>
    <w:uiPriority w:val="99"/>
    <w:semiHidden/>
    <w:qFormat/>
    <w:rsid w:val="00886f70"/>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1"/>
    <w:rsid w:val="00886f70"/>
    <w:pPr>
      <w:tabs>
        <w:tab w:val="clear" w:pos="709"/>
        <w:tab w:val="center" w:pos="4677" w:leader="none"/>
        <w:tab w:val="right" w:pos="9355" w:leader="none"/>
      </w:tabs>
    </w:pPr>
    <w:rPr/>
  </w:style>
  <w:style w:type="paragraph" w:styleId="Style31" w:customStyle="1">
    <w:name w:val="Пункт договора"/>
    <w:basedOn w:val="Normal"/>
    <w:qFormat/>
    <w:rsid w:val="00886f70"/>
    <w:pPr>
      <w:jc w:val="both"/>
    </w:pPr>
    <w:rPr>
      <w:rFonts w:ascii="Arial" w:hAnsi="Arial"/>
    </w:rPr>
  </w:style>
  <w:style w:type="paragraph" w:styleId="113" w:customStyle="1">
    <w:name w:val="Знак Знак Знак Знак Знак Знак Знак Знак Знак1"/>
    <w:basedOn w:val="Normal"/>
    <w:qFormat/>
    <w:rsid w:val="00886f70"/>
    <w:pPr>
      <w:widowControl/>
      <w:spacing w:lineRule="exact" w:line="240" w:before="0" w:after="160"/>
      <w:jc w:val="both"/>
    </w:pPr>
    <w:rPr>
      <w:rFonts w:ascii="Verdana" w:hAnsi="Verdana"/>
      <w:sz w:val="22"/>
      <w:lang w:val="en-US" w:eastAsia="en-US"/>
    </w:rPr>
  </w:style>
  <w:style w:type="paragraph" w:styleId="114" w:customStyle="1">
    <w:name w:val="Обычный1"/>
    <w:qFormat/>
    <w:rsid w:val="00886f70"/>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886f70"/>
    <w:pPr>
      <w:widowControl w:val="false"/>
      <w:suppressAutoHyphens w:val="true"/>
      <w:bidi w:val="0"/>
      <w:spacing w:before="0" w:after="0"/>
      <w:jc w:val="left"/>
    </w:pPr>
    <w:rPr>
      <w:rFonts w:ascii="Calibri" w:hAnsi="Calibri" w:eastAsia="Times New Roman" w:cs="Calibri" w:asciiTheme="minorHAnsi" w:hAnsiTheme="minorHAnsi"/>
      <w:color w:val="auto"/>
      <w:kern w:val="0"/>
      <w:sz w:val="22"/>
      <w:szCs w:val="20"/>
      <w:lang w:val="ru-RU" w:eastAsia="ru-RU" w:bidi="ar-SA"/>
    </w:rPr>
  </w:style>
  <w:style w:type="paragraph" w:styleId="Standard" w:customStyle="1">
    <w:name w:val="Standard"/>
    <w:qFormat/>
    <w:rsid w:val="00a106e8"/>
    <w:pPr>
      <w:widowControl/>
      <w:suppressAutoHyphens w:val="true"/>
      <w:bidi w:val="0"/>
      <w:spacing w:before="0" w:after="0"/>
      <w:jc w:val="left"/>
      <w:textAlignment w:val="baseline"/>
    </w:pPr>
    <w:rPr>
      <w:rFonts w:ascii="Liberation Serif" w:hAnsi="Liberation Serif" w:eastAsia="Arial Unicode MS" w:cs="Arial Unicode MS"/>
      <w:color w:val="auto"/>
      <w:kern w:val="2"/>
      <w:sz w:val="24"/>
      <w:szCs w:val="24"/>
      <w:lang w:val="ru-RU" w:eastAsia="zh-CN" w:bidi="hi-IN"/>
    </w:rPr>
  </w:style>
  <w:style w:type="paragraph" w:styleId="Style32">
    <w:name w:val="Содержимое таблицы"/>
    <w:basedOn w:val="Normal"/>
    <w:qFormat/>
    <w:pPr>
      <w:widowControl w:val="false"/>
      <w:suppressLineNumbers/>
    </w:pPr>
    <w:rPr/>
  </w:style>
  <w:style w:type="paragraph" w:styleId="Style33">
    <w:name w:val="Заголовок таблицы"/>
    <w:basedOn w:val="Style32"/>
    <w:qFormat/>
    <w:pPr>
      <w:jc w:val="center"/>
    </w:pPr>
    <w:rPr>
      <w:b/>
      <w:bCs/>
    </w:rPr>
  </w:style>
  <w:style w:type="paragraph" w:styleId="Style34">
    <w:name w:val="Содержимое врезки"/>
    <w:basedOn w:val="Normal"/>
    <w:qFormat/>
    <w:pPr/>
    <w:rPr/>
  </w:style>
  <w:style w:type="paragraph" w:styleId="312">
    <w:name w:val="Основной текст с отступом 31"/>
    <w:basedOn w:val="Normal"/>
    <w:qFormat/>
    <w:pPr>
      <w:ind w:firstLine="708" w:left="0" w:right="0"/>
    </w:pPr>
    <w:rPr>
      <w:sz w:val="24"/>
      <w:szCs w:val="24"/>
      <w:lang w:eastAsia="ar-SA"/>
    </w:rPr>
  </w:style>
  <w:style w:type="paragraph" w:styleId="FORMATTEXT">
    <w:name w:val=".FORMATTEXT"/>
    <w:qFormat/>
    <w:pPr>
      <w:widowControl w:val="false"/>
      <w:suppressAutoHyphens w:val="tru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Style35">
    <w:name w:val="основной для подзаголовков"/>
    <w:basedOn w:val="Heading2"/>
    <w:qFormat/>
    <w:pPr>
      <w:tabs>
        <w:tab w:val="clear" w:pos="709"/>
      </w:tabs>
      <w:spacing w:before="120" w:after="120"/>
    </w:pPr>
    <w:rPr>
      <w:rFonts w:eastAsia="Times New Roman"/>
      <w:bCs w:val="false"/>
      <w:sz w:val="28"/>
      <w:szCs w:val="28"/>
      <w:lang w:val="ru-RU" w:eastAsia="ru-RU"/>
    </w:rPr>
  </w:style>
  <w:style w:type="paragraph" w:styleId="TOC8">
    <w:name w:val="TOC 8"/>
    <w:basedOn w:val="Normal"/>
    <w:next w:val="Normal"/>
    <w:pPr>
      <w:ind w:hanging="0" w:left="1680" w:right="0"/>
    </w:pPr>
    <w:rPr>
      <w:rFonts w:ascii="Calibri" w:hAnsi="Calibri" w:cs="Calibri"/>
      <w:sz w:val="20"/>
      <w:szCs w:val="20"/>
    </w:rPr>
  </w:style>
  <w:style w:type="paragraph" w:styleId="TOC7">
    <w:name w:val="TOC 7"/>
    <w:basedOn w:val="Normal"/>
    <w:next w:val="Normal"/>
    <w:pPr>
      <w:ind w:hanging="0" w:left="1400" w:right="0"/>
    </w:pPr>
    <w:rPr>
      <w:rFonts w:ascii="Calibri" w:hAnsi="Calibri" w:cs="Calibri"/>
      <w:sz w:val="20"/>
      <w:szCs w:val="20"/>
    </w:rPr>
  </w:style>
  <w:style w:type="paragraph" w:styleId="TOC6">
    <w:name w:val="TOC 6"/>
    <w:basedOn w:val="Normal"/>
    <w:next w:val="Normal"/>
    <w:pPr>
      <w:ind w:hanging="0" w:left="1120" w:right="0"/>
    </w:pPr>
    <w:rPr>
      <w:rFonts w:ascii="Calibri" w:hAnsi="Calibri" w:cs="Calibri"/>
      <w:sz w:val="20"/>
      <w:szCs w:val="20"/>
    </w:rPr>
  </w:style>
  <w:style w:type="paragraph" w:styleId="115">
    <w:name w:val="УРОВЕНЬ_1."/>
    <w:basedOn w:val="ListParagraph"/>
    <w:qFormat/>
    <w:pPr>
      <w:keepNext w:val="true"/>
      <w:keepLines/>
      <w:numPr>
        <w:ilvl w:val="0"/>
        <w:numId w:val="0"/>
      </w:numPr>
      <w:spacing w:lineRule="auto" w:line="276" w:before="240" w:after="120"/>
      <w:ind w:hanging="0" w:left="0" w:right="0"/>
      <w:contextualSpacing w:val="false"/>
      <w:jc w:val="both"/>
      <w:outlineLvl w:val="0"/>
    </w:pPr>
    <w:rPr>
      <w:caps/>
      <w:sz w:val="28"/>
      <w:szCs w:val="28"/>
      <w:lang w:eastAsia="en-US"/>
    </w:rPr>
  </w:style>
  <w:style w:type="paragraph" w:styleId="NormalWeb">
    <w:name w:val="Normal (Web)"/>
    <w:basedOn w:val="Normal"/>
    <w:qFormat/>
    <w:pPr>
      <w:spacing w:before="280" w:after="280"/>
    </w:pPr>
    <w:rPr>
      <w:sz w:val="24"/>
      <w:szCs w:val="24"/>
    </w:rPr>
  </w:style>
  <w:style w:type="paragraph" w:styleId="Style36">
    <w:name w:val="Таблица текст"/>
    <w:basedOn w:val="Normal"/>
    <w:qFormat/>
    <w:pPr>
      <w:spacing w:before="40" w:after="40"/>
      <w:ind w:hanging="0" w:left="57" w:right="57"/>
    </w:pPr>
    <w:rPr>
      <w:sz w:val="24"/>
      <w:szCs w:val="26"/>
    </w:rPr>
  </w:style>
  <w:style w:type="paragraph" w:styleId="25">
    <w:name w:val="Заголовок 2 КВВ"/>
    <w:basedOn w:val="Normal"/>
    <w:qFormat/>
    <w:pPr>
      <w:keepNext w:val="true"/>
      <w:numPr>
        <w:ilvl w:val="0"/>
        <w:numId w:val="5"/>
      </w:numPr>
      <w:spacing w:before="120" w:after="120"/>
      <w:jc w:val="both"/>
      <w:outlineLvl w:val="0"/>
    </w:pPr>
    <w:rPr>
      <w:b/>
      <w:kern w:val="2"/>
      <w:sz w:val="24"/>
      <w:szCs w:val="20"/>
      <w:lang w:eastAsia="x-none"/>
    </w:rPr>
  </w:style>
  <w:style w:type="paragraph" w:styleId="EndnoteText">
    <w:name w:val="Endnote Text"/>
    <w:basedOn w:val="Normal"/>
    <w:pPr/>
    <w:rPr>
      <w:sz w:val="20"/>
      <w:szCs w:val="20"/>
    </w:rPr>
  </w:style>
  <w:style w:type="paragraph" w:styleId="116">
    <w:name w:val="Стиль Заголовок 1 + по ширине"/>
    <w:basedOn w:val="Heading1"/>
    <w:qFormat/>
    <w:pPr>
      <w:keepLines/>
      <w:tabs>
        <w:tab w:val="clear" w:pos="709"/>
        <w:tab w:val="left" w:pos="567" w:leader="none"/>
      </w:tabs>
      <w:spacing w:before="480" w:after="240"/>
      <w:ind w:hanging="567" w:left="567" w:right="0"/>
      <w:jc w:val="both"/>
    </w:pPr>
    <w:rPr>
      <w:rFonts w:ascii="Arial" w:hAnsi="Arial" w:eastAsia="Times New Roman"/>
      <w:bCs/>
      <w:kern w:val="2"/>
      <w:sz w:val="40"/>
      <w:szCs w:val="20"/>
      <w:lang w:val="ru-RU" w:eastAsia="ru-RU"/>
    </w:rPr>
  </w:style>
  <w:style w:type="paragraph" w:styleId="Style37">
    <w:name w:val="УРОВЕНЬ_Подпись"/>
    <w:basedOn w:val="ListParagraph"/>
    <w:qFormat/>
    <w:pPr>
      <w:keepNext w:val="true"/>
      <w:numPr>
        <w:ilvl w:val="5"/>
        <w:numId w:val="4"/>
      </w:numPr>
      <w:spacing w:lineRule="exact" w:line="360" w:before="120" w:after="120"/>
      <w:contextualSpacing w:val="false"/>
      <w:jc w:val="right"/>
      <w:outlineLvl w:val="3"/>
    </w:pPr>
    <w:rPr>
      <w:sz w:val="26"/>
      <w:szCs w:val="28"/>
      <w:lang w:eastAsia="en-US"/>
    </w:rPr>
  </w:style>
  <w:style w:type="paragraph" w:styleId="34">
    <w:name w:val="УРОВЕНЬ_Абзац_тип3"/>
    <w:basedOn w:val="ListParagraph"/>
    <w:qFormat/>
    <w:pPr>
      <w:numPr>
        <w:ilvl w:val="7"/>
        <w:numId w:val="4"/>
      </w:numPr>
      <w:spacing w:lineRule="exact" w:line="360" w:before="120" w:after="0"/>
      <w:contextualSpacing w:val="false"/>
      <w:jc w:val="both"/>
    </w:pPr>
    <w:rPr>
      <w:sz w:val="26"/>
      <w:szCs w:val="28"/>
      <w:lang w:eastAsia="en-US"/>
    </w:rPr>
  </w:style>
  <w:style w:type="paragraph" w:styleId="26">
    <w:name w:val="УРОВЕНЬ_Абзац_тип2"/>
    <w:basedOn w:val="ListParagraph"/>
    <w:qFormat/>
    <w:pPr>
      <w:numPr>
        <w:ilvl w:val="6"/>
        <w:numId w:val="4"/>
      </w:numPr>
      <w:spacing w:lineRule="exact" w:line="360" w:before="120" w:after="0"/>
      <w:contextualSpacing w:val="false"/>
      <w:jc w:val="both"/>
    </w:pPr>
    <w:rPr>
      <w:sz w:val="26"/>
      <w:szCs w:val="28"/>
      <w:lang w:eastAsia="en-US"/>
    </w:rPr>
  </w:style>
  <w:style w:type="paragraph" w:styleId="-1">
    <w:name w:val="УРОВЕНЬ_-"/>
    <w:basedOn w:val="ListParagraph"/>
    <w:qFormat/>
    <w:pPr>
      <w:numPr>
        <w:ilvl w:val="4"/>
        <w:numId w:val="4"/>
      </w:numPr>
      <w:spacing w:lineRule="exact" w:line="360" w:before="120" w:after="0"/>
      <w:contextualSpacing w:val="false"/>
      <w:jc w:val="both"/>
      <w:outlineLvl w:val="4"/>
    </w:pPr>
    <w:rPr>
      <w:sz w:val="26"/>
      <w:szCs w:val="28"/>
      <w:lang w:eastAsia="en-US"/>
    </w:rPr>
  </w:style>
  <w:style w:type="paragraph" w:styleId="Style38">
    <w:name w:val="УРОВЕНЬ_(а)"/>
    <w:basedOn w:val="ListParagraph"/>
    <w:qFormat/>
    <w:pPr>
      <w:numPr>
        <w:ilvl w:val="3"/>
        <w:numId w:val="4"/>
      </w:numPr>
      <w:spacing w:lineRule="exact" w:line="360" w:before="120" w:after="0"/>
      <w:contextualSpacing w:val="false"/>
      <w:jc w:val="both"/>
      <w:outlineLvl w:val="3"/>
    </w:pPr>
    <w:rPr>
      <w:sz w:val="26"/>
      <w:szCs w:val="28"/>
      <w:lang w:eastAsia="en-US"/>
    </w:rPr>
  </w:style>
  <w:style w:type="paragraph" w:styleId="Style39">
    <w:name w:val="Подподпункт"/>
    <w:basedOn w:val="Style45"/>
    <w:qFormat/>
    <w:pPr>
      <w:tabs>
        <w:tab w:val="clear" w:pos="1134"/>
        <w:tab w:val="left" w:pos="5104" w:leader="none"/>
      </w:tabs>
      <w:snapToGrid w:val="true"/>
      <w:spacing w:lineRule="auto" w:line="240" w:before="120" w:after="0"/>
      <w:ind w:hanging="567" w:left="5104" w:right="0"/>
    </w:pPr>
    <w:rPr>
      <w:sz w:val="26"/>
      <w:szCs w:val="26"/>
      <w:lang w:val="ru-RU" w:eastAsia="ru-RU"/>
    </w:rPr>
  </w:style>
  <w:style w:type="paragraph" w:styleId="Style40">
    <w:name w:val="Таблица шапка"/>
    <w:basedOn w:val="Normal"/>
    <w:qFormat/>
    <w:pPr>
      <w:keepNext w:val="true"/>
      <w:spacing w:before="40" w:after="40"/>
      <w:ind w:hanging="0" w:left="57" w:right="57"/>
    </w:pPr>
    <w:rPr>
      <w:sz w:val="22"/>
      <w:szCs w:val="26"/>
    </w:rPr>
  </w:style>
  <w:style w:type="paragraph" w:styleId="Style41">
    <w:name w:val="Таблица"/>
    <w:basedOn w:val="Normal"/>
    <w:qFormat/>
    <w:pPr>
      <w:keepNext w:val="true"/>
      <w:spacing w:before="60" w:after="60"/>
      <w:jc w:val="center"/>
    </w:pPr>
    <w:rPr>
      <w:rFonts w:eastAsia="Calibri"/>
      <w:b/>
      <w:sz w:val="24"/>
      <w:szCs w:val="24"/>
      <w:lang w:val="x-none" w:eastAsia="x-none"/>
    </w:rPr>
  </w:style>
  <w:style w:type="paragraph" w:styleId="117">
    <w:name w:val="Абзац списка1"/>
    <w:basedOn w:val="Normal"/>
    <w:qFormat/>
    <w:pPr>
      <w:spacing w:lineRule="auto" w:line="276" w:before="0" w:after="200"/>
      <w:ind w:hanging="0" w:left="720" w:right="0"/>
      <w:contextualSpacing/>
    </w:pPr>
    <w:rPr>
      <w:rFonts w:ascii="Calibri" w:hAnsi="Calibri"/>
      <w:sz w:val="22"/>
      <w:szCs w:val="22"/>
      <w:lang w:eastAsia="en-US"/>
    </w:rPr>
  </w:style>
  <w:style w:type="paragraph" w:styleId="Style42">
    <w:name w:val="Пункт"/>
    <w:basedOn w:val="Normal"/>
    <w:qFormat/>
    <w:pPr>
      <w:widowControl w:val="false"/>
      <w:tabs>
        <w:tab w:val="clear" w:pos="709"/>
        <w:tab w:val="left" w:pos="1134" w:leader="none"/>
      </w:tabs>
      <w:spacing w:lineRule="auto" w:line="360" w:before="120" w:after="0"/>
      <w:ind w:hanging="1134" w:left="1134" w:right="800"/>
      <w:jc w:val="both"/>
    </w:pPr>
    <w:rPr>
      <w:rFonts w:ascii="Arial" w:hAnsi="Arial"/>
      <w:b/>
      <w:i/>
      <w:szCs w:val="20"/>
    </w:rPr>
  </w:style>
  <w:style w:type="paragraph" w:styleId="35">
    <w:name w:val="Знак Знак3 Знак Знак"/>
    <w:basedOn w:val="Normal"/>
    <w:qFormat/>
    <w:pPr>
      <w:spacing w:lineRule="exact" w:line="240" w:before="0" w:after="160"/>
      <w:jc w:val="both"/>
    </w:pPr>
    <w:rPr>
      <w:rFonts w:ascii="Verdana" w:hAnsi="Verdana" w:cs="Verdana"/>
      <w:sz w:val="22"/>
      <w:szCs w:val="22"/>
      <w:lang w:val="en-US" w:eastAsia="en-US"/>
    </w:rPr>
  </w:style>
  <w:style w:type="paragraph" w:styleId="27">
    <w:name w:val="Нумерованный список ур2"/>
    <w:basedOn w:val="Normal"/>
    <w:qFormat/>
    <w:pPr>
      <w:numPr>
        <w:ilvl w:val="1"/>
        <w:numId w:val="2"/>
      </w:numPr>
      <w:spacing w:before="120" w:after="0"/>
      <w:jc w:val="both"/>
    </w:pPr>
    <w:rPr>
      <w:rFonts w:ascii="Garamond" w:hAnsi="Garamond"/>
      <w:sz w:val="24"/>
      <w:szCs w:val="20"/>
    </w:rPr>
  </w:style>
  <w:style w:type="paragraph" w:styleId="313">
    <w:name w:val="Список 31"/>
    <w:basedOn w:val="Normal"/>
    <w:qFormat/>
    <w:pPr>
      <w:numPr>
        <w:ilvl w:val="0"/>
        <w:numId w:val="2"/>
      </w:numPr>
      <w:spacing w:before="120" w:after="0"/>
      <w:jc w:val="both"/>
    </w:pPr>
    <w:rPr>
      <w:rFonts w:ascii="Garamond" w:hAnsi="Garamond"/>
      <w:sz w:val="24"/>
      <w:szCs w:val="20"/>
    </w:rPr>
  </w:style>
  <w:style w:type="paragraph" w:styleId="36">
    <w:name w:val="Нумерованный список ур3"/>
    <w:basedOn w:val="Normal"/>
    <w:qFormat/>
    <w:pPr>
      <w:numPr>
        <w:ilvl w:val="2"/>
        <w:numId w:val="2"/>
      </w:numPr>
      <w:jc w:val="both"/>
    </w:pPr>
    <w:rPr>
      <w:rFonts w:ascii="Garamond" w:hAnsi="Garamond"/>
      <w:sz w:val="24"/>
      <w:szCs w:val="20"/>
    </w:rPr>
  </w:style>
  <w:style w:type="paragraph" w:styleId="E-mailSignature">
    <w:name w:val="E-mail Signature"/>
    <w:basedOn w:val="Normal"/>
    <w:qFormat/>
    <w:pPr/>
    <w:rPr>
      <w:rFonts w:eastAsia="Calibri"/>
      <w:sz w:val="24"/>
      <w:szCs w:val="24"/>
      <w:lang w:val="x-none" w:eastAsia="x-none"/>
    </w:rPr>
  </w:style>
  <w:style w:type="paragraph" w:styleId="IndexHeading">
    <w:name w:val="Index Heading"/>
    <w:basedOn w:val="Style24"/>
    <w:pPr>
      <w:suppressLineNumbers/>
      <w:ind w:hanging="0" w:left="0"/>
    </w:pPr>
    <w:rPr>
      <w:b/>
      <w:bCs/>
      <w:sz w:val="32"/>
      <w:szCs w:val="32"/>
    </w:rPr>
  </w:style>
  <w:style w:type="paragraph" w:styleId="TOCHeading">
    <w:name w:val="TOC Heading"/>
    <w:basedOn w:val="Heading1"/>
    <w:next w:val="Normal"/>
    <w:qFormat/>
    <w:pPr>
      <w:keepLines/>
      <w:spacing w:before="480" w:after="60"/>
      <w:outlineLvl w:val="9"/>
    </w:pPr>
    <w:rPr>
      <w:rFonts w:ascii="Cambria" w:hAnsi="Cambria"/>
      <w:bCs/>
      <w:color w:val="365F91"/>
    </w:rPr>
  </w:style>
  <w:style w:type="paragraph" w:styleId="IntenseQuote">
    <w:name w:val="Intense Quote"/>
    <w:basedOn w:val="Normal"/>
    <w:next w:val="Normal"/>
    <w:qFormat/>
    <w:pPr>
      <w:pBdr>
        <w:bottom w:val="single" w:sz="4" w:space="4" w:color="4F81BD"/>
      </w:pBdr>
      <w:spacing w:before="200" w:after="280"/>
      <w:ind w:hanging="0" w:left="936" w:right="936"/>
    </w:pPr>
    <w:rPr>
      <w:rFonts w:ascii="Calibri" w:hAnsi="Calibri" w:eastAsia="Calibri"/>
      <w:b/>
      <w:bCs/>
      <w:i/>
      <w:iCs/>
      <w:color w:val="4F81BD"/>
      <w:sz w:val="20"/>
      <w:szCs w:val="20"/>
      <w:lang w:val="x-none" w:eastAsia="x-none"/>
    </w:rPr>
  </w:style>
  <w:style w:type="paragraph" w:styleId="Quote">
    <w:name w:val="Quote"/>
    <w:basedOn w:val="Normal"/>
    <w:next w:val="Normal"/>
    <w:qFormat/>
    <w:pPr/>
    <w:rPr>
      <w:rFonts w:ascii="Calibri" w:hAnsi="Calibri" w:eastAsia="Calibri"/>
      <w:i/>
      <w:iCs/>
      <w:color w:val="000000"/>
      <w:sz w:val="20"/>
      <w:szCs w:val="20"/>
      <w:lang w:val="x-none" w:eastAsia="x-none"/>
    </w:rPr>
  </w:style>
  <w:style w:type="paragraph" w:styleId="Subtitle">
    <w:name w:val="Subtitle"/>
    <w:basedOn w:val="Normal"/>
    <w:next w:val="Normal"/>
    <w:qFormat/>
    <w:pPr>
      <w:ind w:firstLine="709" w:left="1066" w:right="0"/>
    </w:pPr>
    <w:rPr>
      <w:rFonts w:ascii="Cambria" w:hAnsi="Cambria"/>
      <w:i/>
      <w:iCs/>
      <w:color w:val="4F81BD"/>
      <w:spacing w:val="15"/>
      <w:sz w:val="24"/>
      <w:szCs w:val="24"/>
      <w:lang w:val="x-none" w:eastAsia="x-none"/>
    </w:rPr>
  </w:style>
  <w:style w:type="paragraph" w:styleId="Caption11111111">
    <w:name w:val="caption11111111"/>
    <w:basedOn w:val="Normal"/>
    <w:next w:val="Normal"/>
    <w:qFormat/>
    <w:pPr/>
    <w:rPr>
      <w:rFonts w:eastAsia="Calibri"/>
      <w:b/>
      <w:bCs/>
      <w:color w:val="4F81BD"/>
      <w:sz w:val="18"/>
      <w:szCs w:val="18"/>
    </w:rPr>
  </w:style>
  <w:style w:type="paragraph" w:styleId="NoSpacing">
    <w:name w:val="No Spacing"/>
    <w:basedOn w:val="Normal"/>
    <w:qFormat/>
    <w:pPr>
      <w:spacing w:lineRule="auto" w:line="360"/>
    </w:pPr>
    <w:rPr>
      <w:rFonts w:eastAsia="Calibri"/>
      <w:sz w:val="24"/>
      <w:szCs w:val="24"/>
    </w:rPr>
  </w:style>
  <w:style w:type="paragraph" w:styleId="28">
    <w:name w:val="Раздел положения 2"/>
    <w:basedOn w:val="Normal"/>
    <w:qFormat/>
    <w:pPr>
      <w:pageBreakBefore/>
      <w:numPr>
        <w:ilvl w:val="0"/>
        <w:numId w:val="0"/>
      </w:numPr>
      <w:jc w:val="both"/>
      <w:outlineLvl w:val="0"/>
    </w:pPr>
    <w:rPr>
      <w:b/>
    </w:rPr>
  </w:style>
  <w:style w:type="paragraph" w:styleId="TOC4">
    <w:name w:val="TOC 4"/>
    <w:basedOn w:val="Normal"/>
    <w:next w:val="Normal"/>
    <w:pPr>
      <w:ind w:hanging="0" w:left="560" w:right="0"/>
    </w:pPr>
    <w:rPr>
      <w:rFonts w:cs="Calibri"/>
      <w:sz w:val="20"/>
      <w:szCs w:val="20"/>
    </w:rPr>
  </w:style>
  <w:style w:type="paragraph" w:styleId="TOC5">
    <w:name w:val="TOC 5"/>
    <w:basedOn w:val="Normal"/>
    <w:next w:val="Normal"/>
    <w:pPr>
      <w:ind w:hanging="0" w:left="840" w:right="0"/>
    </w:pPr>
    <w:rPr>
      <w:rFonts w:ascii="Calibri" w:hAnsi="Calibri" w:cs="Calibri"/>
      <w:sz w:val="20"/>
      <w:szCs w:val="20"/>
    </w:rPr>
  </w:style>
  <w:style w:type="paragraph" w:styleId="TOC9">
    <w:name w:val="TOC 9"/>
    <w:basedOn w:val="Normal"/>
    <w:next w:val="Normal"/>
    <w:pPr>
      <w:ind w:hanging="0" w:left="1960" w:right="0"/>
    </w:pPr>
    <w:rPr>
      <w:rFonts w:ascii="Calibri" w:hAnsi="Calibri" w:cs="Calibri"/>
      <w:sz w:val="20"/>
      <w:szCs w:val="20"/>
    </w:rPr>
  </w:style>
  <w:style w:type="paragraph" w:styleId="118">
    <w:name w:val="Обычный (веб)1"/>
    <w:basedOn w:val="Normal"/>
    <w:qFormat/>
    <w:pPr>
      <w:spacing w:before="280" w:after="280"/>
    </w:pPr>
    <w:rPr>
      <w:rFonts w:ascii="Arial Unicode MS" w:hAnsi="Arial Unicode MS" w:eastAsia="Arial Unicode MS" w:cs="Arial Unicode MS"/>
      <w:sz w:val="24"/>
      <w:szCs w:val="24"/>
    </w:rPr>
  </w:style>
  <w:style w:type="paragraph" w:styleId="TOC2">
    <w:name w:val="TOC 2"/>
    <w:basedOn w:val="Normal"/>
    <w:next w:val="Normal"/>
    <w:pPr>
      <w:spacing w:before="240" w:after="0"/>
    </w:pPr>
    <w:rPr>
      <w:rFonts w:cs="Calibri"/>
      <w:b/>
      <w:bCs/>
      <w:sz w:val="20"/>
      <w:szCs w:val="20"/>
    </w:rPr>
  </w:style>
  <w:style w:type="paragraph" w:styleId="Style43">
    <w:name w:val="Приложение к регламенту"/>
    <w:basedOn w:val="Normal"/>
    <w:qFormat/>
    <w:pPr>
      <w:jc w:val="right"/>
    </w:pPr>
    <w:rPr/>
  </w:style>
  <w:style w:type="paragraph" w:styleId="Style44">
    <w:name w:val="Раздел регламента"/>
    <w:basedOn w:val="Normal"/>
    <w:qFormat/>
    <w:pPr/>
    <w:rPr/>
  </w:style>
  <w:style w:type="paragraph" w:styleId="TOC3">
    <w:name w:val="TOC 3"/>
    <w:basedOn w:val="Normal"/>
    <w:next w:val="Normal"/>
    <w:pPr>
      <w:ind w:hanging="0" w:left="280" w:right="0"/>
    </w:pPr>
    <w:rPr>
      <w:rFonts w:cs="Calibri"/>
      <w:sz w:val="20"/>
      <w:szCs w:val="20"/>
    </w:rPr>
  </w:style>
  <w:style w:type="paragraph" w:styleId="TOC1">
    <w:name w:val="TOC 1"/>
    <w:basedOn w:val="Normal"/>
    <w:next w:val="Normal"/>
    <w:pPr>
      <w:spacing w:before="120" w:after="0"/>
    </w:pPr>
    <w:rPr>
      <w:rFonts w:cs="Calibri Light (Заголовки)"/>
      <w:b/>
      <w:bCs/>
      <w:sz w:val="24"/>
      <w:szCs w:val="24"/>
    </w:rPr>
  </w:style>
  <w:style w:type="paragraph" w:styleId="29">
    <w:name w:val="Пункт2"/>
    <w:basedOn w:val="Normal"/>
    <w:qFormat/>
    <w:pPr>
      <w:keepNext w:val="true"/>
      <w:numPr>
        <w:ilvl w:val="0"/>
        <w:numId w:val="0"/>
      </w:numPr>
      <w:tabs>
        <w:tab w:val="clear" w:pos="709"/>
        <w:tab w:val="left" w:pos="1134" w:leader="none"/>
      </w:tabs>
      <w:snapToGrid w:val="false"/>
      <w:spacing w:before="240" w:after="120"/>
      <w:ind w:hanging="1134" w:left="1134" w:right="0"/>
      <w:outlineLvl w:val="2"/>
    </w:pPr>
    <w:rPr>
      <w:b/>
      <w:szCs w:val="20"/>
    </w:rPr>
  </w:style>
  <w:style w:type="paragraph" w:styleId="Style45">
    <w:name w:val="Подпункт"/>
    <w:basedOn w:val="Normal"/>
    <w:qFormat/>
    <w:pPr>
      <w:tabs>
        <w:tab w:val="clear" w:pos="709"/>
        <w:tab w:val="left" w:pos="1134" w:leader="none"/>
      </w:tabs>
      <w:snapToGrid w:val="false"/>
      <w:spacing w:lineRule="auto" w:line="360"/>
      <w:ind w:hanging="1134" w:left="1134" w:right="0"/>
      <w:jc w:val="both"/>
    </w:pPr>
    <w:rPr>
      <w:szCs w:val="20"/>
      <w:lang w:val="x-none" w:eastAsia="x-none"/>
    </w:rPr>
  </w:style>
  <w:style w:type="paragraph" w:styleId="BlockText">
    <w:name w:val="Block Text"/>
    <w:basedOn w:val="Normal"/>
    <w:qFormat/>
    <w:pPr>
      <w:ind w:hanging="0" w:left="-567" w:right="-766"/>
      <w:jc w:val="center"/>
    </w:pPr>
    <w:rPr>
      <w:b/>
      <w:bCs/>
      <w:sz w:val="24"/>
      <w:szCs w:val="20"/>
    </w:rPr>
  </w:style>
  <w:style w:type="paragraph" w:styleId="BodyTextIndent3">
    <w:name w:val="Body Text Indent 3"/>
    <w:basedOn w:val="Normal"/>
    <w:qFormat/>
    <w:pPr>
      <w:spacing w:before="0" w:after="120"/>
      <w:ind w:hanging="0" w:left="283" w:right="0"/>
    </w:pPr>
    <w:rPr>
      <w:sz w:val="16"/>
      <w:szCs w:val="16"/>
    </w:rPr>
  </w:style>
  <w:style w:type="paragraph" w:styleId="119">
    <w:name w:val="Название1"/>
    <w:basedOn w:val="Normal"/>
    <w:qFormat/>
    <w:pPr>
      <w:jc w:val="center"/>
    </w:pPr>
    <w:rPr>
      <w:szCs w:val="20"/>
      <w:lang w:val="x-none" w:eastAsia="x-none"/>
    </w:rPr>
  </w:style>
  <w:style w:type="paragraph" w:styleId="37">
    <w:name w:val="Шапка 3"/>
    <w:basedOn w:val="Normal"/>
    <w:qFormat/>
    <w:pPr>
      <w:pBdr>
        <w:bottom w:val="thickThinSmallGap" w:sz="24" w:space="1" w:color="000000"/>
      </w:pBdr>
      <w:spacing w:before="240" w:after="360"/>
      <w:jc w:val="center"/>
    </w:pPr>
    <w:rPr>
      <w:b/>
      <w:sz w:val="24"/>
      <w:szCs w:val="24"/>
    </w:rPr>
  </w:style>
  <w:style w:type="paragraph" w:styleId="210">
    <w:name w:val="Шапка 2"/>
    <w:basedOn w:val="Normal"/>
    <w:qFormat/>
    <w:pPr>
      <w:pBdr>
        <w:bottom w:val="thickThinSmallGap" w:sz="24" w:space="1" w:color="000000"/>
      </w:pBdr>
      <w:spacing w:before="0" w:after="120"/>
      <w:jc w:val="center"/>
    </w:pPr>
    <w:rPr>
      <w:b/>
      <w:sz w:val="22"/>
      <w:szCs w:val="22"/>
    </w:rPr>
  </w:style>
  <w:style w:type="paragraph" w:styleId="120">
    <w:name w:val="Шапка 1"/>
    <w:basedOn w:val="Normal"/>
    <w:qFormat/>
    <w:pPr>
      <w:pBdr>
        <w:bottom w:val="thickThinSmallGap" w:sz="24" w:space="1" w:color="000000"/>
      </w:pBdr>
      <w:spacing w:before="0" w:after="240"/>
      <w:jc w:val="center"/>
    </w:pPr>
    <w:rPr>
      <w:sz w:val="22"/>
      <w:szCs w:val="22"/>
    </w:rPr>
  </w:style>
  <w:style w:type="paragraph" w:styleId="Style46">
    <w:name w:val="Подраздел раздела положения"/>
    <w:basedOn w:val="Normal"/>
    <w:qFormat/>
    <w:pPr>
      <w:numPr>
        <w:ilvl w:val="1"/>
        <w:numId w:val="1"/>
      </w:numPr>
      <w:spacing w:before="80" w:after="80"/>
      <w:jc w:val="both"/>
    </w:pPr>
    <w:rPr/>
  </w:style>
  <w:style w:type="paragraph" w:styleId="Style47">
    <w:name w:val="Раздел положения"/>
    <w:basedOn w:val="Normal"/>
    <w:qFormat/>
    <w:pPr>
      <w:numPr>
        <w:ilvl w:val="0"/>
        <w:numId w:val="1"/>
      </w:numPr>
      <w:spacing w:before="80" w:after="80"/>
      <w:jc w:val="center"/>
    </w:pPr>
    <w:rPr>
      <w:b/>
      <w:sz w:val="32"/>
      <w:szCs w:val="32"/>
    </w:rPr>
  </w:style>
  <w:style w:type="paragraph" w:styleId="Style48">
    <w:name w:val="Название раздела инструкции"/>
    <w:basedOn w:val="Normal"/>
    <w:qFormat/>
    <w:pPr>
      <w:jc w:val="center"/>
    </w:pPr>
    <w:rPr>
      <w:b/>
    </w:rPr>
  </w:style>
  <w:style w:type="paragraph" w:styleId="Indexheading1111111">
    <w:name w:val="index heading1111111"/>
    <w:basedOn w:val="Title"/>
    <w:qFormat/>
    <w:pPr/>
    <w:rPr/>
  </w:style>
  <w:style w:type="paragraph" w:styleId="Caption1111111">
    <w:name w:val="caption1111111"/>
    <w:basedOn w:val="Normal"/>
    <w:qFormat/>
    <w:pPr>
      <w:suppressLineNumbers/>
      <w:spacing w:before="120" w:after="120"/>
    </w:pPr>
    <w:rPr>
      <w:i/>
      <w:iCs/>
      <w:sz w:val="24"/>
      <w:szCs w:val="24"/>
    </w:rPr>
  </w:style>
  <w:style w:type="paragraph" w:styleId="Indexheading111111">
    <w:name w:val="index heading111111"/>
    <w:basedOn w:val="Title"/>
    <w:qFormat/>
    <w:pPr/>
    <w:rPr/>
  </w:style>
  <w:style w:type="paragraph" w:styleId="Caption111111">
    <w:name w:val="caption111111"/>
    <w:basedOn w:val="Normal"/>
    <w:qFormat/>
    <w:pPr>
      <w:suppressLineNumbers/>
      <w:spacing w:before="120" w:after="120"/>
    </w:pPr>
    <w:rPr>
      <w:i/>
      <w:iCs/>
      <w:sz w:val="24"/>
      <w:szCs w:val="24"/>
    </w:rPr>
  </w:style>
  <w:style w:type="paragraph" w:styleId="Indexheading11111">
    <w:name w:val="index heading11111"/>
    <w:basedOn w:val="Title"/>
    <w:qFormat/>
    <w:pPr/>
    <w:rPr/>
  </w:style>
  <w:style w:type="paragraph" w:styleId="Caption11111">
    <w:name w:val="caption11111"/>
    <w:basedOn w:val="Normal"/>
    <w:qFormat/>
    <w:pPr>
      <w:suppressLineNumbers/>
      <w:spacing w:before="120" w:after="120"/>
    </w:pPr>
    <w:rPr>
      <w:i/>
      <w:iCs/>
      <w:sz w:val="24"/>
      <w:szCs w:val="24"/>
    </w:rPr>
  </w:style>
  <w:style w:type="paragraph" w:styleId="Indexheading1111">
    <w:name w:val="index heading1111"/>
    <w:basedOn w:val="Title"/>
    <w:qFormat/>
    <w:pPr/>
    <w:rPr/>
  </w:style>
  <w:style w:type="paragraph" w:styleId="Caption1111">
    <w:name w:val="caption1111"/>
    <w:basedOn w:val="Normal"/>
    <w:qFormat/>
    <w:pPr>
      <w:suppressLineNumbers/>
      <w:spacing w:before="120" w:after="120"/>
    </w:pPr>
    <w:rPr>
      <w:i/>
      <w:iCs/>
      <w:sz w:val="24"/>
      <w:szCs w:val="24"/>
    </w:rPr>
  </w:style>
  <w:style w:type="paragraph" w:styleId="Indexheading111">
    <w:name w:val="index heading111"/>
    <w:basedOn w:val="Title"/>
    <w:qFormat/>
    <w:pPr/>
    <w:rPr/>
  </w:style>
  <w:style w:type="paragraph" w:styleId="Caption111">
    <w:name w:val="caption111"/>
    <w:basedOn w:val="Normal"/>
    <w:qFormat/>
    <w:pPr>
      <w:suppressLineNumbers/>
      <w:spacing w:before="120" w:after="120"/>
    </w:pPr>
    <w:rPr>
      <w:i/>
      <w:iCs/>
      <w:sz w:val="24"/>
      <w:szCs w:val="24"/>
    </w:rPr>
  </w:style>
  <w:style w:type="paragraph" w:styleId="Indexheading11">
    <w:name w:val="index heading11"/>
    <w:basedOn w:val="Title"/>
    <w:qFormat/>
    <w:pPr/>
    <w:rPr/>
  </w:style>
  <w:style w:type="paragraph" w:styleId="Indexheading12">
    <w:name w:val="index heading12"/>
    <w:basedOn w:val="Title"/>
    <w:qFormat/>
    <w:pPr/>
    <w:rPr/>
  </w:style>
  <w:style w:type="paragraph" w:styleId="41">
    <w:name w:val="Маркированный список 41"/>
    <w:basedOn w:val="Normal"/>
    <w:qFormat/>
    <w:pPr>
      <w:spacing w:before="120" w:after="0"/>
      <w:jc w:val="both"/>
    </w:pPr>
    <w:rPr>
      <w:rFonts w:ascii="Garamond" w:hAnsi="Garamond"/>
      <w:sz w:val="24"/>
      <w:szCs w:val="20"/>
    </w:rPr>
  </w:style>
  <w:style w:type="paragraph" w:styleId="81">
    <w:name w:val="Оглавление 81"/>
    <w:basedOn w:val="Normal"/>
    <w:next w:val="Normal"/>
    <w:qFormat/>
    <w:pPr>
      <w:spacing w:lineRule="exact" w:line="240" w:before="0" w:after="0"/>
      <w:ind w:hanging="0" w:left="1680"/>
    </w:pPr>
    <w:rPr>
      <w:rFonts w:eastAsia="Times New Roman" w:cs="Calibri"/>
      <w:sz w:val="20"/>
      <w:szCs w:val="20"/>
      <w:lang w:eastAsia="ru-RU"/>
    </w:rPr>
  </w:style>
  <w:style w:type="paragraph" w:styleId="71">
    <w:name w:val="Оглавление 71"/>
    <w:basedOn w:val="Normal"/>
    <w:next w:val="Normal"/>
    <w:qFormat/>
    <w:pPr>
      <w:spacing w:lineRule="exact" w:line="240" w:before="0" w:after="0"/>
      <w:ind w:hanging="0" w:left="1400"/>
    </w:pPr>
    <w:rPr>
      <w:rFonts w:eastAsia="Times New Roman" w:cs="Calibri"/>
      <w:sz w:val="20"/>
      <w:szCs w:val="20"/>
      <w:lang w:eastAsia="ru-RU"/>
    </w:rPr>
  </w:style>
  <w:style w:type="paragraph" w:styleId="61">
    <w:name w:val="Оглавление 61"/>
    <w:basedOn w:val="Normal"/>
    <w:next w:val="Normal"/>
    <w:qFormat/>
    <w:pPr>
      <w:spacing w:lineRule="exact" w:line="240" w:before="0" w:after="0"/>
      <w:ind w:hanging="0" w:left="1120"/>
    </w:pPr>
    <w:rPr>
      <w:rFonts w:eastAsia="Times New Roman" w:cs="Calibri"/>
      <w:sz w:val="20"/>
      <w:szCs w:val="20"/>
      <w:lang w:eastAsia="ru-RU"/>
    </w:rPr>
  </w:style>
  <w:style w:type="paragraph" w:styleId="411">
    <w:name w:val="Оглавление 41"/>
    <w:basedOn w:val="Normal"/>
    <w:next w:val="Normal"/>
    <w:qFormat/>
    <w:pPr>
      <w:spacing w:lineRule="exact" w:line="240" w:before="0" w:after="0"/>
      <w:ind w:hanging="0" w:left="560"/>
    </w:pPr>
    <w:rPr>
      <w:rFonts w:ascii="Times New Roman" w:hAnsi="Times New Roman" w:eastAsia="Times New Roman" w:cs="Calibri"/>
      <w:sz w:val="20"/>
      <w:szCs w:val="20"/>
      <w:lang w:eastAsia="ru-RU"/>
    </w:rPr>
  </w:style>
  <w:style w:type="paragraph" w:styleId="51">
    <w:name w:val="Оглавление 51"/>
    <w:basedOn w:val="Normal"/>
    <w:next w:val="Normal"/>
    <w:qFormat/>
    <w:pPr>
      <w:spacing w:lineRule="exact" w:line="240" w:before="0" w:after="0"/>
      <w:ind w:hanging="0" w:left="840"/>
    </w:pPr>
    <w:rPr>
      <w:rFonts w:eastAsia="Times New Roman" w:cs="Calibri"/>
      <w:sz w:val="20"/>
      <w:szCs w:val="20"/>
      <w:lang w:eastAsia="ru-RU"/>
    </w:rPr>
  </w:style>
  <w:style w:type="paragraph" w:styleId="91">
    <w:name w:val="Оглавление 91"/>
    <w:basedOn w:val="Normal"/>
    <w:next w:val="Normal"/>
    <w:qFormat/>
    <w:pPr>
      <w:spacing w:lineRule="exact" w:line="240" w:before="0" w:after="0"/>
      <w:ind w:hanging="0" w:left="1960"/>
    </w:pPr>
    <w:rPr>
      <w:rFonts w:eastAsia="Times New Roman" w:cs="Calibri"/>
      <w:sz w:val="20"/>
      <w:szCs w:val="20"/>
      <w:lang w:eastAsia="ru-RU"/>
    </w:rPr>
  </w:style>
  <w:style w:type="paragraph" w:styleId="212">
    <w:name w:val="Оглавление 21"/>
    <w:basedOn w:val="Normal"/>
    <w:next w:val="Normal"/>
    <w:qFormat/>
    <w:pPr>
      <w:spacing w:lineRule="exact" w:line="240" w:before="240" w:after="0"/>
    </w:pPr>
    <w:rPr>
      <w:rFonts w:ascii="Times New Roman" w:hAnsi="Times New Roman" w:eastAsia="Times New Roman" w:cs="Calibri"/>
      <w:b/>
      <w:bCs/>
      <w:sz w:val="20"/>
      <w:szCs w:val="20"/>
      <w:lang w:eastAsia="ru-RU"/>
    </w:rPr>
  </w:style>
  <w:style w:type="paragraph" w:styleId="314">
    <w:name w:val="Оглавление 31"/>
    <w:basedOn w:val="Normal"/>
    <w:next w:val="Normal"/>
    <w:qFormat/>
    <w:pPr>
      <w:spacing w:lineRule="exact" w:line="240" w:before="0" w:after="0"/>
      <w:ind w:hanging="0" w:left="280"/>
    </w:pPr>
    <w:rPr>
      <w:rFonts w:ascii="Times New Roman" w:hAnsi="Times New Roman" w:eastAsia="Times New Roman" w:cs="Calibri"/>
      <w:sz w:val="20"/>
      <w:szCs w:val="20"/>
      <w:lang w:eastAsia="ru-RU"/>
    </w:rPr>
  </w:style>
  <w:style w:type="paragraph" w:styleId="Indexheading2">
    <w:name w:val="index heading2"/>
    <w:qFormat/>
    <w:pPr>
      <w:keepNext w:val="true"/>
      <w:widowControl/>
      <w:suppressAutoHyphens w:val="true"/>
      <w:bidi w:val="0"/>
      <w:spacing w:lineRule="exact" w:line="240" w:before="240" w:after="120"/>
      <w:jc w:val="left"/>
    </w:pPr>
    <w:rPr>
      <w:rFonts w:ascii="Liberation Sans" w:hAnsi="Liberation Sans" w:eastAsia="Arial Unicode MS" w:cs="Arial Unicode MS"/>
      <w:color w:val="auto"/>
      <w:kern w:val="0"/>
      <w:sz w:val="28"/>
      <w:szCs w:val="28"/>
      <w:lang w:val="ru-RU" w:eastAsia="ru-RU" w:bidi="ar-SA"/>
    </w:rPr>
  </w:style>
  <w:style w:type="paragraph" w:styleId="Index1">
    <w:name w:val="index 1"/>
    <w:basedOn w:val="Normal"/>
    <w:next w:val="Normal"/>
    <w:qFormat/>
    <w:pPr>
      <w:spacing w:lineRule="exact" w:line="240" w:before="0" w:after="0"/>
      <w:ind w:hanging="220" w:left="220"/>
    </w:pPr>
    <w:rPr/>
  </w:style>
  <w:style w:type="paragraph" w:styleId="Caption2">
    <w:name w:val="caption2"/>
    <w:basedOn w:val="Normal"/>
    <w:qFormat/>
    <w:pPr>
      <w:spacing w:lineRule="exact" w:line="240" w:before="120" w:after="120"/>
    </w:pPr>
    <w:rPr>
      <w:rFonts w:ascii="Times New Roman" w:hAnsi="Times New Roman" w:eastAsia="Times New Roman" w:cs="Times New Roman"/>
      <w:i/>
      <w:iCs/>
      <w:sz w:val="24"/>
      <w:szCs w:val="24"/>
      <w:lang w:eastAsia="ru-RU"/>
    </w:rPr>
  </w:style>
  <w:style w:type="numbering" w:styleId="NoList" w:default="1">
    <w:name w:val="No List"/>
    <w:uiPriority w:val="99"/>
    <w:semiHidden/>
    <w:unhideWhenUsed/>
    <w:qFormat/>
  </w:style>
  <w:style w:type="numbering" w:styleId="121">
    <w:name w:val="Стиль1"/>
    <w:qFormat/>
  </w:style>
  <w:style w:type="numbering" w:styleId="213">
    <w:name w:val="Стиль2"/>
    <w:qFormat/>
  </w:style>
  <w:style w:type="numbering" w:styleId="7794648401">
    <w:name w:val="7794648401"/>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c">
    <w:name w:val="Table Grid"/>
    <w:basedOn w:val="a1"/>
    <w:rsid w:val="00886f70"/>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login.consultant.ru/link/?req=doc&amp;base=PBI&amp;n=199978" TargetMode="External"/><Relationship Id="rId3" Type="http://schemas.openxmlformats.org/officeDocument/2006/relationships/hyperlink" Target="https://login.consultant.ru/link/?req=doc&amp;base=PBI&amp;n=37584&amp;dst=100032" TargetMode="External"/><Relationship Id="rId4" Type="http://schemas.openxmlformats.org/officeDocument/2006/relationships/hyperlink" Target="consultantplus://offline/ref=94D5CE8889791A29DE57299515463A9D6134D8237B999C803E6F853513x2A2P" TargetMode="External"/><Relationship Id="rId5" Type="http://schemas.openxmlformats.org/officeDocument/2006/relationships/hyperlink" Target="consultantplus://offline/ref=94D5CE8889791A29DE57299515463A9D6135D2287D929C803E6F853513x2A2P" TargetMode="External"/><Relationship Id="rId6" Type="http://schemas.openxmlformats.org/officeDocument/2006/relationships/hyperlink" Target="consultantplus://offline/ref=79440D5123ABA6A25F43346AB59DBAAC7032C8E1556DA64FAED62E167F76889C2B7C475C32EFC59BJ8rDH" TargetMode="Externa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footnotes" Target="footnotes.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Relationship Id="rId18" Type="http://schemas.openxmlformats.org/officeDocument/2006/relationships/customXml" Target="../customXml/item1.xml"/><Relationship Id="rId19" Type="http://schemas.openxmlformats.org/officeDocument/2006/relationships/customXml" Target="../customXml/item2.xml"/><Relationship Id="rId20" Type="http://schemas.openxmlformats.org/officeDocument/2006/relationships/customXml" Target="../customXml/item3.xml"/><Relationship Id="rId21"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29469-CEFB-4C63-A023-2AFB44A96B18}">
  <ds:schemaRefs>
    <ds:schemaRef ds:uri="http://schemas.microsoft.com/sharepoint/v3/contenttype/forms"/>
  </ds:schemaRefs>
</ds:datastoreItem>
</file>

<file path=customXml/itemProps2.xml><?xml version="1.0" encoding="utf-8"?>
<ds:datastoreItem xmlns:ds="http://schemas.openxmlformats.org/officeDocument/2006/customXml" ds:itemID="{95CAEEA5-E2B6-4B76-A826-4F29FF9531A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76085CE-3EE5-4257-A854-521088406C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504BA3F3-68BB-444D-85B0-20D2FFA39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823</TotalTime>
  <Application>AlterOffice/2026.2.0.0$Linux_X86_64 LibreOffice_project/bc4ef1adf80b36c7a6365f8ed6cbf29021361edd</Application>
  <AppVersion>15.0000</AppVersion>
  <Pages>21</Pages>
  <Words>6924</Words>
  <Characters>49326</Characters>
  <CharactersWithSpaces>56140</CharactersWithSpaces>
  <Paragraphs>309</Paragraphs>
  <Company>РусГидро</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2024-03-15T06:11:00Z</dcterms:created>
  <dc:creator>Быстрова Дарья Андреевна</dc:creator>
  <dc:description/>
  <dc:language>ru-RU</dc:language>
  <cp:lastModifiedBy>kosarevauy@corp.gidroogk.com</cp:lastModifiedBy>
  <cp:lastPrinted>2026-06-25T10:58:05Z</cp:lastPrinted>
  <dcterms:modified xsi:type="dcterms:W3CDTF">2026-09-16T13:55:00Z</dcterms:modified>
  <cp:revision>117</cp:revision>
  <dc:subject/>
  <dc:title/>
</cp:coreProperties>
</file>

<file path=docProps/custom.xml><?xml version="1.0" encoding="utf-8"?>
<Properties xmlns="http://schemas.openxmlformats.org/officeDocument/2006/custom-properties" xmlns:vt="http://schemas.openxmlformats.org/officeDocument/2006/docPropsVTypes"/>
</file>