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bookmarkStart w:id="0" w:name="_Toc1398562871"/>
      <w:bookmarkStart w:id="1" w:name="_Toc1375545841"/>
      <w:bookmarkStart w:id="2" w:name="_Toc1416967041"/>
      <w:bookmarkEnd w:id="0"/>
      <w:bookmarkEnd w:id="1"/>
      <w:bookmarkEnd w:id="2"/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rFonts w:ascii="Times New Roman;serif" w:hAnsi="Times New Roman;serif" w:eastAsia="Calibri"/>
          <w:b/>
          <w:bCs/>
          <w:i w:val="false"/>
          <w:i w:val="false"/>
          <w:color w:val="302709"/>
          <w:sz w:val="24"/>
          <w:szCs w:val="24"/>
          <w:shd w:fill="auto" w:val="clear"/>
          <w:lang w:eastAsia="ar-SA"/>
        </w:rPr>
      </w:pPr>
      <w:r>
        <w:rPr>
          <w:rStyle w:val="Style8"/>
          <w:rFonts w:eastAsia="Calibri" w:ascii="Times New Roman;serif" w:hAnsi="Times New Roman;serif"/>
          <w:b/>
          <w:bCs/>
          <w:i w:val="false"/>
          <w:color w:val="302709"/>
          <w:sz w:val="24"/>
          <w:szCs w:val="24"/>
          <w:shd w:fill="auto" w:val="clear"/>
          <w:lang w:eastAsia="ar-SA"/>
        </w:rPr>
        <w:t xml:space="preserve">"ОКПД2 27.31.11 Поставка материалов, запасных частей, комплектующих и инвентаря для оборудования связи, информационных и технологических систем"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rFonts w:ascii="Times New Roman;serif" w:hAnsi="Times New Roman;serif" w:eastAsia="Calibri"/>
          <w:b/>
          <w:bCs/>
          <w:i w:val="false"/>
          <w:i w:val="false"/>
          <w:color w:val="302709"/>
          <w:sz w:val="24"/>
          <w:szCs w:val="24"/>
          <w:shd w:fill="auto" w:val="clear"/>
          <w:lang w:eastAsia="ar-SA"/>
        </w:rPr>
      </w:pPr>
      <w:r>
        <w:rPr>
          <w:rFonts w:eastAsia="Calibri" w:ascii="Times New Roman;serif" w:hAnsi="Times New Roman;serif"/>
          <w:b/>
          <w:bCs/>
          <w:i w:val="false"/>
          <w:color w:val="302709"/>
          <w:sz w:val="24"/>
          <w:szCs w:val="24"/>
          <w:shd w:fill="auto" w:val="clear"/>
          <w:lang w:eastAsia="ar-SA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  <w:lang w:val="en-US"/>
        </w:rPr>
      </w:pPr>
      <w:r>
        <w:rPr>
          <w:rStyle w:val="Style8"/>
          <w:rFonts w:eastAsia="Calibri" w:ascii="Times New Roman;serif" w:hAnsi="Times New Roman;serif"/>
          <w:b/>
          <w:bCs/>
          <w:i w:val="false"/>
          <w:color w:val="302709"/>
          <w:sz w:val="24"/>
          <w:szCs w:val="24"/>
          <w:shd w:fill="auto" w:val="clear"/>
          <w:lang w:val="en-US" w:eastAsia="ar-SA"/>
        </w:rPr>
        <w:t>(Лот №</w:t>
      </w:r>
      <w:r>
        <w:rPr>
          <w:rStyle w:val="Style8"/>
          <w:rFonts w:eastAsia="Calibri" w:ascii="Times New Roman;serif" w:hAnsi="Times New Roman;serif"/>
          <w:b/>
          <w:bCs/>
          <w:i w:val="false"/>
          <w:color w:val="302709"/>
          <w:sz w:val="24"/>
          <w:szCs w:val="24"/>
          <w:shd w:fill="auto" w:val="clear"/>
          <w:lang w:eastAsia="ar-SA"/>
        </w:rPr>
        <w:t>9-ЭКСПДИТ- 2026-ВотГЭС</w:t>
      </w:r>
      <w:r>
        <w:rPr>
          <w:rStyle w:val="Style8"/>
          <w:rFonts w:eastAsia="Calibri" w:ascii="Times New Roman;serif" w:hAnsi="Times New Roman;serif"/>
          <w:b/>
          <w:bCs/>
          <w:i w:val="false"/>
          <w:color w:val="302709"/>
          <w:sz w:val="24"/>
          <w:szCs w:val="24"/>
          <w:shd w:fill="auto" w:val="clear"/>
          <w:lang w:val="en-US" w:eastAsia="ar-SA"/>
        </w:rPr>
        <w:t>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rFonts w:ascii="Times New Roman;serif" w:hAnsi="Times New Roman;serif" w:eastAsia="Calibri"/>
          <w:b/>
          <w:bCs/>
          <w:i w:val="false"/>
          <w:i w:val="false"/>
          <w:color w:val="302709"/>
          <w:sz w:val="26"/>
          <w:szCs w:val="26"/>
          <w:shd w:fill="auto" w:val="clear"/>
          <w:lang w:eastAsia="ar-SA"/>
        </w:rPr>
      </w:pPr>
      <w:r>
        <w:rPr>
          <w:rFonts w:eastAsia="Calibri" w:ascii="Times New Roman;serif" w:hAnsi="Times New Roman;serif"/>
          <w:b/>
          <w:bCs/>
          <w:i w:val="false"/>
          <w:color w:val="302709"/>
          <w:sz w:val="26"/>
          <w:szCs w:val="26"/>
          <w:shd w:fill="auto" w:val="clear"/>
          <w:lang w:eastAsia="ar-SA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200027715">
            <w:r>
              <w:rPr>
                <w:rStyle w:val="Style14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16">
            <w:r>
              <w:rPr>
                <w:rStyle w:val="Style14"/>
                <w:iCs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17">
            <w:r>
              <w:rPr>
                <w:rStyle w:val="Style14"/>
                <w:iCs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18">
            <w:r>
              <w:rPr>
                <w:rStyle w:val="Style14"/>
                <w:iCs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использования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19">
            <w:r>
              <w:rPr>
                <w:rStyle w:val="Style14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2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2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2.1.1 Перечень и объем закупаемой продукции.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2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2.2. Требования к качеству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2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 2. 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auto"/>
              <w:sz w:val="22"/>
              <w:szCs w:val="22"/>
            </w:rPr>
          </w:pPr>
          <w:hyperlink w:anchor="_Toc20002772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_Toc200027724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3. Требования к документации по ценообразованию на этапе закупки.</w:t>
              <w:tab/>
              <w:t>25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4"/>
        <w:rPr>
          <w:rFonts w:ascii="Calibri" w:hAnsi="Calibri" w:eastAsia="" w:cs="" w:asciiTheme="minorHAnsi" w:cstheme="minorBidi" w:eastAsiaTheme="minorEastAsia" w:hAnsiTheme="minorHAnsi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color w:val="auto"/>
          <w:sz w:val="22"/>
          <w:szCs w:val="22"/>
        </w:rPr>
      </w:r>
    </w:p>
    <w:p>
      <w:pPr>
        <w:pStyle w:val="TOC4"/>
        <w:tabs>
          <w:tab w:val="clear" w:pos="1120"/>
          <w:tab w:val="clear" w:pos="9911"/>
          <w:tab w:val="right" w:pos="9921" w:leader="dot"/>
        </w:tabs>
        <w:rPr/>
      </w:pPr>
      <w:r>
        <w:rPr/>
      </w:r>
    </w:p>
    <w:p>
      <w:pPr>
        <w:pStyle w:val="TOC4"/>
        <w:tabs>
          <w:tab w:val="clear" w:pos="1120"/>
          <w:tab w:val="clear" w:pos="9911"/>
          <w:tab w:val="right" w:pos="9921" w:leader="dot"/>
        </w:tabs>
        <w:rPr/>
      </w:pPr>
      <w:r>
        <w:rPr/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rPr>
          <w:rFonts w:eastAsia="Calibri"/>
        </w:rPr>
      </w:pPr>
      <w:r>
        <w:rPr>
          <w:rFonts w:eastAsia="Calibri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PMingLiU" w:cs="Arial"/>
        </w:rPr>
      </w:pPr>
      <w:r>
        <w:rPr>
          <w:rFonts w:eastAsia="PMingLiU" w:cs="Arial" w:ascii="Calibri" w:hAnsi="Calibri"/>
        </w:rPr>
      </w:r>
    </w:p>
    <w:p>
      <w:pPr>
        <w:pStyle w:val="Heading2"/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3" w:name="_Toc134784042"/>
      <w:bookmarkStart w:id="4" w:name="_Toc164261138"/>
      <w:bookmarkStart w:id="5" w:name="_Toc200027715"/>
      <w:bookmarkStart w:id="6" w:name="_Toc126309964"/>
      <w:bookmarkEnd w:id="6"/>
      <w:r>
        <w:rPr>
          <w:lang w:val="ru-RU"/>
        </w:rPr>
        <w:t>Общие сведения</w:t>
      </w:r>
      <w:bookmarkEnd w:id="3"/>
      <w:bookmarkEnd w:id="4"/>
      <w:bookmarkEnd w:id="5"/>
    </w:p>
    <w:p>
      <w:pPr>
        <w:pStyle w:val="Heading4"/>
        <w:numPr>
          <w:ilvl w:val="1"/>
          <w:numId w:val="1"/>
        </w:numPr>
        <w:rPr/>
      </w:pPr>
      <w:bookmarkStart w:id="7" w:name="_Toc134784043"/>
      <w:bookmarkStart w:id="8" w:name="_Toc164261139"/>
      <w:bookmarkStart w:id="9" w:name="_Toc200027716"/>
      <w:bookmarkStart w:id="10" w:name="_Toc126309965"/>
      <w:bookmarkStart w:id="11" w:name="_Toc46743505"/>
      <w:bookmarkEnd w:id="10"/>
      <w:bookmarkEnd w:id="11"/>
      <w:r>
        <w:rPr/>
        <w:t>Обозначения и сокращения</w:t>
      </w:r>
      <w:bookmarkEnd w:id="7"/>
      <w:bookmarkEnd w:id="8"/>
      <w:bookmarkEnd w:id="9"/>
    </w:p>
    <w:tbl>
      <w:tblPr>
        <w:tblW w:w="9854" w:type="dxa"/>
        <w:jc w:val="center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3"/>
        <w:gridCol w:w="8070"/>
      </w:tblGrid>
      <w:tr>
        <w:trPr>
          <w:cantSplit w:val="true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ТТ</w:t>
            </w:r>
          </w:p>
        </w:tc>
        <w:tc>
          <w:tcPr>
            <w:tcW w:w="8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ГЭС</w:t>
            </w:r>
          </w:p>
        </w:tc>
        <w:tc>
          <w:tcPr>
            <w:tcW w:w="8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Гидравлическая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1"/>
        </w:numPr>
        <w:rPr/>
      </w:pPr>
      <w:bookmarkStart w:id="12" w:name="_Toc134784044"/>
      <w:bookmarkStart w:id="13" w:name="_Toc164261140"/>
      <w:bookmarkStart w:id="14" w:name="_Toc200027717"/>
      <w:r>
        <w:rPr/>
        <w:t>Наименование закупаемой продукции</w:t>
      </w:r>
      <w:bookmarkEnd w:id="12"/>
      <w:bookmarkEnd w:id="13"/>
      <w:bookmarkEnd w:id="14"/>
    </w:p>
    <w:p>
      <w:pPr>
        <w:pStyle w:val="Normal"/>
        <w:spacing w:before="60" w:after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ОКПД2 27.31.11 Поставка </w:t>
      </w:r>
      <w:r>
        <w:rPr>
          <w:rStyle w:val="Style8"/>
          <w:rFonts w:eastAsia="Calibri" w:ascii="Times New Roman;serif" w:hAnsi="Times New Roman;serif"/>
          <w:bCs/>
          <w:i w:val="false"/>
          <w:color w:val="302709"/>
          <w:sz w:val="24"/>
          <w:szCs w:val="24"/>
          <w:shd w:fill="auto" w:val="clear"/>
          <w:lang w:eastAsia="ar-SA"/>
        </w:rPr>
        <w:t>материалов, запасных частей, комплектующих и инвентаря для оборудования связи, информационных и технологических систем</w:t>
      </w:r>
      <w:r>
        <w:rPr>
          <w:rFonts w:eastAsia="Calibri"/>
          <w:color w:val="000000"/>
          <w:sz w:val="24"/>
          <w:szCs w:val="24"/>
          <w:lang w:eastAsia="ar-SA"/>
        </w:rPr>
        <w:t>.</w:t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/>
      </w:pPr>
      <w:bookmarkStart w:id="15" w:name="_Toc134784045"/>
      <w:bookmarkStart w:id="16" w:name="_Toc164261141"/>
      <w:bookmarkStart w:id="17" w:name="_Toc126309967"/>
      <w:bookmarkStart w:id="18" w:name="_Toc200027718"/>
      <w:bookmarkStart w:id="19" w:name="_Toc46743507"/>
      <w:r>
        <w:rPr/>
        <w:t xml:space="preserve">Цель </w:t>
      </w:r>
      <w:bookmarkEnd w:id="19"/>
      <w:r>
        <w:rPr/>
        <w:t>использования закупаемой продукции</w:t>
      </w:r>
      <w:bookmarkEnd w:id="18"/>
      <w:r>
        <w:rPr/>
        <w:t xml:space="preserve"> </w:t>
      </w:r>
      <w:bookmarkEnd w:id="15"/>
      <w:bookmarkEnd w:id="16"/>
      <w:bookmarkEnd w:id="17"/>
      <w:r>
        <w:rPr/>
        <w:t xml:space="preserve"> </w:t>
      </w:r>
    </w:p>
    <w:p>
      <w:pPr>
        <w:pStyle w:val="Normal"/>
        <w:spacing w:before="60" w:after="0"/>
        <w:jc w:val="both"/>
        <w:rPr/>
      </w:pPr>
      <w:r>
        <w:rPr>
          <w:rFonts w:eastAsia="Calibri"/>
          <w:color w:val="000000"/>
          <w:sz w:val="24"/>
          <w:szCs w:val="24"/>
        </w:rPr>
        <w:t xml:space="preserve">Продукция закупается с целью </w:t>
      </w:r>
      <w:r>
        <w:rPr>
          <w:rFonts w:eastAsia="Calibri"/>
          <w:bCs/>
          <w:color w:val="000000"/>
          <w:sz w:val="24"/>
          <w:szCs w:val="20"/>
        </w:rPr>
        <w:t xml:space="preserve">поддержания оборудования </w:t>
      </w:r>
      <w:r>
        <w:rPr>
          <w:rFonts w:eastAsia="Calibri"/>
          <w:color w:val="000000"/>
          <w:sz w:val="24"/>
          <w:szCs w:val="24"/>
        </w:rPr>
        <w:t xml:space="preserve">связи, </w:t>
      </w:r>
      <w:r>
        <w:rPr>
          <w:rStyle w:val="Style8"/>
          <w:rFonts w:eastAsia="Calibri" w:ascii="Times New Roman;serif" w:hAnsi="Times New Roman;serif"/>
          <w:bCs/>
          <w:i w:val="false"/>
          <w:color w:val="302709"/>
          <w:sz w:val="24"/>
          <w:szCs w:val="24"/>
          <w:shd w:fill="auto" w:val="clear"/>
          <w:lang w:eastAsia="ar-SA"/>
        </w:rPr>
        <w:t>информационных и технологических систем</w:t>
      </w:r>
      <w:r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bCs/>
          <w:color w:val="000000"/>
          <w:sz w:val="24"/>
          <w:szCs w:val="20"/>
        </w:rPr>
        <w:t>в исправном состоянии</w:t>
      </w:r>
      <w:r>
        <w:rPr>
          <w:rFonts w:eastAsia="Calibri"/>
          <w:color w:val="000000"/>
          <w:sz w:val="24"/>
          <w:szCs w:val="24"/>
        </w:rPr>
        <w:t>.</w:t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20" w:name="_Toc134784046"/>
      <w:bookmarkStart w:id="21" w:name="_Toc164261142"/>
      <w:bookmarkStart w:id="22" w:name="_Toc51339693"/>
      <w:bookmarkStart w:id="23" w:name="_Toc75446573"/>
      <w:bookmarkStart w:id="24" w:name="_Toc200027719"/>
      <w:r>
        <w:rPr>
          <w:lang w:val="ru-RU"/>
        </w:rPr>
        <w:t>Требования к продукции</w:t>
      </w:r>
      <w:bookmarkEnd w:id="20"/>
      <w:bookmarkEnd w:id="21"/>
      <w:bookmarkEnd w:id="22"/>
      <w:bookmarkEnd w:id="23"/>
      <w:bookmarkEnd w:id="24"/>
    </w:p>
    <w:p>
      <w:pPr>
        <w:pStyle w:val="Heading4"/>
        <w:ind w:hanging="0" w:left="720"/>
        <w:rPr/>
      </w:pPr>
      <w:bookmarkStart w:id="25" w:name="_Toc134784047"/>
      <w:bookmarkStart w:id="26" w:name="_Toc164261143"/>
      <w:bookmarkStart w:id="27" w:name="_Toc200027720"/>
      <w:r>
        <w:rPr/>
        <w:t xml:space="preserve">2.1. </w:t>
      </w:r>
      <w:bookmarkStart w:id="2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5"/>
      <w:bookmarkEnd w:id="26"/>
      <w:bookmarkEnd w:id="27"/>
      <w:bookmarkEnd w:id="28"/>
    </w:p>
    <w:p>
      <w:pPr>
        <w:pStyle w:val="Heading3"/>
        <w:ind w:hanging="0" w:left="1224"/>
        <w:rPr/>
      </w:pPr>
      <w:bookmarkStart w:id="29" w:name="_Toc164261144"/>
      <w:bookmarkStart w:id="30" w:name="_Toc134784048"/>
      <w:bookmarkStart w:id="31" w:name="_Toc200027721"/>
      <w:r>
        <w:rPr>
          <w:lang w:val="ru-RU"/>
        </w:rPr>
        <w:t xml:space="preserve">2.1.1 </w:t>
      </w:r>
      <w:bookmarkStart w:id="32" w:name="_Toc75446575"/>
      <w:r>
        <w:rPr>
          <w:lang w:val="ru-RU"/>
        </w:rPr>
        <w:t>Перечень и объем закупаемой продукции</w:t>
      </w:r>
      <w:bookmarkEnd w:id="32"/>
      <w:r>
        <w:rPr>
          <w:lang w:val="ru-RU"/>
        </w:rPr>
        <w:t>.</w:t>
      </w:r>
      <w:bookmarkEnd w:id="29"/>
      <w:bookmarkEnd w:id="30"/>
      <w:bookmarkEnd w:id="31"/>
    </w:p>
    <w:p>
      <w:pPr>
        <w:pStyle w:val="Normal"/>
        <w:keepNext w:val="true"/>
        <w:keepLines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851" w:leader="none"/>
        </w:tabs>
        <w:spacing w:before="240" w:after="60"/>
        <w:ind w:hanging="0" w:left="0"/>
        <w:jc w:val="both"/>
        <w:textAlignment w:val="baseline"/>
        <w:outlineLvl w:val="0"/>
        <w:rPr>
          <w:rFonts w:eastAsia="Calibri"/>
          <w:b/>
          <w:sz w:val="24"/>
          <w:szCs w:val="24"/>
          <w:lang w:eastAsia="x-none"/>
        </w:rPr>
      </w:pPr>
      <w:bookmarkStart w:id="33" w:name="_Toc75446576"/>
      <w:bookmarkStart w:id="34" w:name="_Toc122705682"/>
      <w:bookmarkStart w:id="35" w:name="_Toc51339695"/>
      <w:r>
        <w:rPr>
          <w:rFonts w:eastAsia="Calibri"/>
          <w:b/>
          <w:iCs/>
          <w:sz w:val="24"/>
          <w:szCs w:val="24"/>
          <w:lang w:eastAsia="x-none"/>
        </w:rPr>
        <w:t xml:space="preserve">   </w:t>
      </w:r>
      <w:r>
        <w:rPr>
          <w:rFonts w:eastAsia="Calibri"/>
          <w:b/>
          <w:iCs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iCs/>
          <w:sz w:val="24"/>
          <w:szCs w:val="24"/>
          <w:lang w:eastAsia="x-none"/>
        </w:rPr>
        <w:t>1.</w:t>
      </w:r>
      <w:r>
        <w:rPr>
          <w:rFonts w:eastAsia="Calibri"/>
          <w:b/>
          <w:iCs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iCs/>
          <w:sz w:val="24"/>
          <w:szCs w:val="24"/>
          <w:lang w:eastAsia="x-none"/>
        </w:rPr>
        <w:t xml:space="preserve">Перечень </w:t>
      </w:r>
      <w:bookmarkEnd w:id="35"/>
      <w:r>
        <w:rPr>
          <w:rFonts w:eastAsia="Calibri"/>
          <w:b/>
          <w:iCs/>
          <w:sz w:val="24"/>
          <w:szCs w:val="24"/>
          <w:lang w:eastAsia="x-none"/>
        </w:rPr>
        <w:t>и объем закупаемой продукц</w:t>
      </w:r>
      <w:bookmarkEnd w:id="33"/>
      <w:bookmarkEnd w:id="34"/>
      <w:r>
        <w:rPr>
          <w:rFonts w:eastAsia="Calibri"/>
          <w:b/>
          <w:iCs/>
          <w:sz w:val="24"/>
          <w:szCs w:val="24"/>
          <w:lang w:eastAsia="x-none"/>
        </w:rPr>
        <w:t>ии</w:t>
      </w:r>
    </w:p>
    <w:tbl>
      <w:tblPr>
        <w:tblW w:w="9923" w:type="dxa"/>
        <w:jc w:val="left"/>
        <w:tblInd w:w="88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5"/>
        <w:gridCol w:w="1745"/>
        <w:gridCol w:w="2977"/>
        <w:gridCol w:w="2980"/>
        <w:gridCol w:w="846"/>
        <w:gridCol w:w="709"/>
      </w:tblGrid>
      <w:tr>
        <w:trPr>
          <w:tblHeader w:val="true"/>
        </w:trPr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ОКПД 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Марка, тип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>
          <w:tblHeader w:val="true"/>
        </w:trPr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27.32.13.152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Шнур витой трубочный телефонный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Марка Pro Legend PL1217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27.32.13.152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Шнур витой трубочный телефонный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Марка Pro Legend PL1216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27.33.13.130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для защиты соединений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КДЗС Netlink 60 мм 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27.31.12.110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Оптический шнур Cabeus duplex lc-sc 9/125 sm 5м lszh FOP(d)-9-LC-SC-5m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27.31.12.110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Оптический шнур Cabeus duplex lc-sc 9/125 sm 5м lszh FOP(d)-9-LC-SC-10m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27.33.13.120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EKF PROxima СМК 222-412 с рычагом, 2 отверстия, 0,08-2,5мм2 100шт.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27.33.13.120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EKF PROxima СМК 222-412 с рычагом, 3 отверстия, 0,08-2,5мм2 100шт.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27.33.13.120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EKF PROxima СМК 222-415 с рычагом, 5 отверстий, блистер 20шт.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27.33.13.120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изолированных наконечников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КВТ П 290 79430 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упаковке - 290 шт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27.33.13.120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изолированных разъемов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КВТ П 280 79431 КВТ П 290 79430 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упаковке - 280 шт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27.90.12.130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клеевой термоусадочной трубки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КВТ №10 85191 КВТ П 290 79430 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наборе 71 шт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26.30.23.000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Телефонный аппарат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Телта-214-4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27.33.14.000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канал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CKK11-040-025-1-K01 40х25 белый (24м)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27.33.14.000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канал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CKK11-025-016-1-K01 IEK 16х25 белый (24м)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27.20.11.000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Элемент питания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Varta Longlife Power LR03 AAA  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27.20.11.000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Элемент питания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Varta Longlife Power LR6 AA  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27.33.11.190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Нулевая шина в корпусе 4х7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IEK YND10-4-07-100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27.32.10.000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Плата присвоения адресов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i/>
                <w:color w:val="000000"/>
                <w:sz w:val="24"/>
                <w:szCs w:val="24"/>
                <w:lang w:val="en-US"/>
              </w:rPr>
              <w:t>С2000-АПА – для использования в программировании дымовых адресных извещателей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27.31.12.110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Hyperline  F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lang w:val="en-US"/>
              </w:rPr>
              <w:t>UTP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PC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LPM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STP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RJ</w:t>
            </w:r>
            <w:r>
              <w:rPr>
                <w:color w:val="000000"/>
                <w:sz w:val="24"/>
                <w:szCs w:val="24"/>
              </w:rPr>
              <w:t>45-</w:t>
            </w:r>
            <w:r>
              <w:rPr>
                <w:color w:val="000000"/>
                <w:sz w:val="24"/>
                <w:szCs w:val="24"/>
                <w:lang w:val="en-US"/>
              </w:rPr>
              <w:t>RJ</w:t>
            </w:r>
            <w:r>
              <w:rPr>
                <w:color w:val="000000"/>
                <w:sz w:val="24"/>
                <w:szCs w:val="24"/>
              </w:rPr>
              <w:t>45-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z w:val="24"/>
                <w:szCs w:val="24"/>
              </w:rPr>
              <w:t>-5</w:t>
            </w:r>
            <w:r>
              <w:rPr>
                <w:color w:val="000000"/>
                <w:sz w:val="24"/>
                <w:szCs w:val="24"/>
                <w:lang w:val="en-US"/>
              </w:rPr>
              <w:t>M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LSZH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BL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Cat</w:t>
            </w:r>
            <w:r>
              <w:rPr>
                <w:color w:val="000000"/>
                <w:sz w:val="24"/>
                <w:szCs w:val="24"/>
              </w:rPr>
              <w:t xml:space="preserve">.5е, </w:t>
            </w:r>
            <w:r>
              <w:rPr>
                <w:color w:val="000000"/>
                <w:sz w:val="24"/>
                <w:szCs w:val="24"/>
                <w:lang w:val="en-US"/>
              </w:rPr>
              <w:t>LSZH</w:t>
            </w:r>
            <w:r>
              <w:rPr>
                <w:color w:val="000000"/>
                <w:sz w:val="24"/>
                <w:szCs w:val="24"/>
              </w:rPr>
              <w:t xml:space="preserve">, 5 м </w:t>
            </w:r>
            <w:r>
              <w:rPr>
                <w:i/>
                <w:color w:val="000000"/>
                <w:sz w:val="24"/>
                <w:szCs w:val="24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ind w:hanging="0" w:left="-111" w:righ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27.31.12.110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Hyperline PC-LPM-STP-RJ45-RJ45-C5e-2M-LSZH-GN F/UTP 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(или эквивалент)</w:t>
            </w:r>
          </w:p>
        </w:tc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Normal"/>
        <w:spacing w:before="120" w:after="6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240" w:after="60"/>
        <w:rPr>
          <w:b/>
          <w:bCs/>
        </w:rPr>
      </w:pPr>
      <w:r>
        <w:rPr>
          <w:b/>
          <w:bCs/>
        </w:rPr>
        <w:t xml:space="preserve">2.1.2 </w:t>
      </w:r>
      <w:bookmarkStart w:id="36" w:name="_Hlk50465284"/>
      <w:r>
        <w:rPr>
          <w:b/>
          <w:bCs/>
        </w:rPr>
        <w:t xml:space="preserve">Требования по срокам </w:t>
      </w:r>
      <w:bookmarkEnd w:id="36"/>
      <w:r>
        <w:rPr>
          <w:b/>
          <w:bCs/>
        </w:rPr>
        <w:t>поставки продукции</w:t>
      </w:r>
    </w:p>
    <w:p>
      <w:pPr>
        <w:pStyle w:val="Normal"/>
        <w:spacing w:before="240" w:after="60"/>
        <w:rPr>
          <w:i/>
          <w:i/>
          <w:color w:val="auto"/>
          <w:sz w:val="24"/>
          <w:szCs w:val="24"/>
        </w:rPr>
      </w:pPr>
      <w:r>
        <w:rPr>
          <w:sz w:val="24"/>
          <w:szCs w:val="24"/>
          <w:lang w:eastAsia="x-none"/>
        </w:rPr>
        <w:t>Начало поставки продукции</w:t>
      </w:r>
      <w:r>
        <w:rPr>
          <w:i/>
          <w:color w:val="auto"/>
          <w:sz w:val="24"/>
          <w:szCs w:val="24"/>
        </w:rPr>
        <w:t>: со дня, следующего за днем заключения Договора</w:t>
      </w:r>
    </w:p>
    <w:p>
      <w:pPr>
        <w:pStyle w:val="Normal"/>
        <w:spacing w:before="0" w:after="60"/>
        <w:rPr>
          <w:i/>
          <w:i/>
          <w:sz w:val="24"/>
          <w:szCs w:val="24"/>
          <w:lang w:eastAsia="x-none"/>
        </w:rPr>
      </w:pPr>
      <w:r>
        <w:rPr>
          <w:color w:val="auto"/>
          <w:sz w:val="24"/>
          <w:szCs w:val="24"/>
        </w:rPr>
        <w:t xml:space="preserve">Окончание поставки продукции: </w:t>
      </w:r>
      <w:r>
        <w:rPr>
          <w:i/>
          <w:color w:val="auto"/>
          <w:sz w:val="24"/>
          <w:szCs w:val="24"/>
        </w:rPr>
        <w:t>в течение 91 календарного дня со дня, следующего за днем заключения Договора</w:t>
      </w:r>
      <w:r>
        <w:rPr>
          <w:i/>
          <w:sz w:val="24"/>
          <w:szCs w:val="24"/>
          <w:lang w:eastAsia="x-none"/>
        </w:rPr>
        <w:t>.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before="0" w:after="60"/>
        <w:rPr>
          <w:sz w:val="24"/>
          <w:szCs w:val="24"/>
          <w:lang w:eastAsia="x-none"/>
        </w:rPr>
      </w:pPr>
      <w:r>
        <w:rPr>
          <w:bCs/>
          <w:sz w:val="24"/>
          <w:szCs w:val="24"/>
        </w:rPr>
        <w:t>Поставка продукции осуществляется одной партией в рамках вышеуказанных сроков.</w:t>
      </w:r>
    </w:p>
    <w:p>
      <w:pPr>
        <w:pStyle w:val="Heading4"/>
        <w:ind w:hanging="0" w:left="720"/>
        <w:rPr>
          <w:lang w:val="ru-RU"/>
        </w:rPr>
      </w:pPr>
      <w:bookmarkStart w:id="37" w:name="_Toc164261145"/>
      <w:bookmarkStart w:id="38" w:name="_Toc134784049"/>
      <w:bookmarkStart w:id="39" w:name="_Toc200027722"/>
      <w:r>
        <w:rPr/>
        <w:t xml:space="preserve">2.2. </w:t>
      </w:r>
      <w:bookmarkStart w:id="40" w:name="_Toc50125131"/>
      <w:bookmarkStart w:id="41" w:name="_Toc51339698"/>
      <w:bookmarkStart w:id="42" w:name="_Toc75446581"/>
      <w:bookmarkStart w:id="43" w:name="_Toc46743511"/>
      <w:r>
        <w:rPr/>
        <w:t xml:space="preserve">Требования к </w:t>
      </w:r>
      <w:bookmarkEnd w:id="43"/>
      <w:r>
        <w:rPr>
          <w:lang w:val="ru-RU"/>
        </w:rPr>
        <w:t>качеству продукции</w:t>
      </w:r>
      <w:bookmarkEnd w:id="37"/>
      <w:bookmarkEnd w:id="38"/>
      <w:bookmarkEnd w:id="39"/>
      <w:bookmarkEnd w:id="42"/>
    </w:p>
    <w:p>
      <w:pPr>
        <w:pStyle w:val="Heading1"/>
        <w:keepLines/>
        <w:spacing w:before="240" w:after="60"/>
        <w:ind w:hanging="0" w:left="0"/>
        <w:rPr>
          <w:sz w:val="24"/>
          <w:szCs w:val="24"/>
        </w:rPr>
      </w:pPr>
      <w:bookmarkStart w:id="44" w:name="_Toc164261146"/>
      <w:bookmarkStart w:id="45" w:name="_Toc75446582"/>
      <w:bookmarkStart w:id="46" w:name="_Toc134784051"/>
      <w:bookmarkStart w:id="47" w:name="_Toc200027723"/>
      <w:r>
        <w:rPr>
          <w:color w:val="302709"/>
          <w:sz w:val="24"/>
          <w:szCs w:val="24"/>
          <w:lang w:val="ru-RU"/>
        </w:rPr>
        <w:t>Таблица 2. Требования к продукции</w:t>
      </w:r>
      <w:bookmarkEnd w:id="40"/>
      <w:bookmarkEnd w:id="41"/>
      <w:bookmarkEnd w:id="44"/>
      <w:bookmarkEnd w:id="45"/>
      <w:bookmarkEnd w:id="46"/>
      <w:bookmarkEnd w:id="47"/>
    </w:p>
    <w:tbl>
      <w:tblPr>
        <w:tblW w:w="15075" w:type="dxa"/>
        <w:jc w:val="left"/>
        <w:tblInd w:w="181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7"/>
        <w:gridCol w:w="2320"/>
        <w:gridCol w:w="5124"/>
        <w:gridCol w:w="2047"/>
        <w:gridCol w:w="2539"/>
        <w:gridCol w:w="2217"/>
      </w:tblGrid>
      <w:tr>
        <w:trPr>
          <w:tblHeader w:val="true"/>
        </w:trPr>
        <w:tc>
          <w:tcPr>
            <w:tcW w:w="82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32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1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5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82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2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17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48" w:name="_Toc53499667"/>
            <w:bookmarkEnd w:id="48"/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4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/>
            </w:pPr>
            <w:r>
              <w:rPr>
                <w:lang w:eastAsia="x-none"/>
              </w:rPr>
              <w:t>1.1.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Шнур витой трубочный телефонный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 xml:space="preserve">Pro Legend PL1217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характеристики:</w:t>
              <w:br/>
              <w:t xml:space="preserve">Тип провода </w:t>
              <w:tab/>
              <w:t>витой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провода, 7м.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Цвет-Черный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1.2.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Шнур витой трубочный телефонный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 xml:space="preserve">Pro Legend PL1216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характеристики:</w:t>
              <w:br/>
              <w:t xml:space="preserve">Тип провода </w:t>
              <w:tab/>
              <w:t>витой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провода, 7м.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Цвет-Белый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1.3.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для защиты соединений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КДЗС Netlink 60 мм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армированного прутка - металл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внутренней трубки - сэвилен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термоусадочной оболочки - полиолефин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— 60 мм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1.4.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Оптический шнур Cabeus duplex lc-sc 9/125 sm 5м lszh FOP(d)-9-LC-SC-5m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патч-корд оптический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разъемов - 4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разъема - SC - LC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 - IP20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кабеля - 5 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желтый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- двойной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оболочки - LSZH-компаунд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коммутационного шнура - дуплекс (сдвоенный)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- пакет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Полировка - UPC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проводника - оптоволокно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- от -20 до 50 °С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оптического волокна - SM 9/125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волокна - OS2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температура эксплуатации - 50 °С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1.5.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Оптический шнур Cabeus duplex lc-sc 9/125 sm 5м lszh FOP(d)-9-LC-SC-10m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патч-корд оптический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разъемов - 4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разъема - SC - LC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 - IP20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кабеля - 10 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желтый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- двойной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оболочки - LSZH-компаунд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коммутационного шнура - дуплекс (сдвоенный)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- пакет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Полировка - UPC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проводника - оптоволокно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- от -20 до 50 °С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оптического волокна - SM 9/125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1.6.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EKF PROxima СМК 222-412 с рычагом, 2 отверстия, 0,08-2,5мм2 100шт plc-smk-412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клемма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- негорючий пластик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- 32 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изоляции -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- 100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серый/оранжевый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сечение провода - 4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 сечение провода - 0.8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DIN-рейку - нет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Модельный ряд - СК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без упаковки - 15х21х12 мм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нетто - 0.004 кг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зажимаемых проводов - 2 шт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1.7.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EKF СМК, 222-413, с рычагом, 3 отверстия, 0.08-2.5(4.0)мм2, PROxima 100 шт plc-smk-413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клемма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- полиамид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- 32 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- 100 шт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1.8.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Строительно-монтажная клемма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EKF СМК 222-415 с рычагом, 5 отверстий, блистер (20штук) PROxima plc-smk-415b-20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клемма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- негорючий пластик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- 32 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изоляции -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- 20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серый/оранжевый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сечение провода - 4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 сечение провода - 0.08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DIN-рейку - нет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Модельный ряд - PROxima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нетто - 0.18 кг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зажимаемых проводов - 5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контактной пасты - нет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Al/Cu соединение - нет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Рычажные -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использования - многоразовые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уровней - 1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- 400 В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1.9.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изолированных наконечников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КВТ П 290 79430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набор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- 290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разноцветные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кабеля (Cu) - 6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изоляции -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монтажа - опрессовка/обжим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- ПВХ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- медь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Модельный ряд — П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1.10.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изолированных разъемов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КВТ П 280 79431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- набор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- 280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разноцветные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кабеля (Cu) - 6 мм²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изоляции -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монтажа - опрессовка/обжим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- ПВХ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- медь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Модельный ряд — П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1.11.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Набор клеевой термоусадочной трубки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КВТ №10 85191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— набор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- от -55 до +125 °С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усадки - 140 °С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 упаковке - 71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- черный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- полиолефин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Клеевой слой - да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1.12.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Телефонный аппарат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Телта-214-4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характеристики: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Телефонный аппарат  соответствует требованиям ГОСТ 7153-85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 имеет кнопочный номеронабиратель, буквенно-цифровой жидкокристаллический индикатор 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 обладает защитой от импульсных электрических перенапряжений в АЛ и обеспечивает функционирование при поступлении вызывного сигнала амплитудой до 230В.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Функциональные возможности: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Предварительная установка импульсного или частотного способа набора номера.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Наличие основных функций евро-АОН (Сaller ID).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Автодозвон.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Предварительное программирование 10-ти шестнадцатизначных номеров нажатием одной кнопки.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Память на 14 8-разрядных или 8 16-разрядных исходящих номеров с пометкой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длительности времени разговора.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Память на 50 8-разрядных или 32 16-разрядных входящих номеров с пометкой даты и времени вызова.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Установка даты и текущего времени.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Прием и 3-х уровневая программируемая регулировка тонального сигнала вызова с полным отключением акустического вызывного сигнала.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3-х уровневая электронная регулировка уровня приема в микротелефонной трубке.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3-х уровневая электронная регулировка уровня приема в режиме «громкоговорящей связи».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Хранение последнего набранного номера и его повторный набор.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Отключение микрофона кнопкой с передачей музыкального сопровождения в линию.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Регулировка контрастности свечения ЖК-дисплея аппарата.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· Индикация текущего времени, набираемого номер, длительности разговора.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1.13.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Кабель-канал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CKK11-040-025-1-K01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Ед.измерения: 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Упаковка: 2 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 прайсе производителя: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ECOLINE Кабель-канал 40х25 белый (24м) IEK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изделия Кабель-канал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изделия ПВХ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 25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 40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 2000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Белый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Пожаробезопасность: Не распространяет горение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монтажа: от -15 до +60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службы, лет: 25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1.14.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Кабель-канал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CKK11-025-016-1-K01 IEK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Ед.измерения: 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Упаковка: 2 м,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изделия Кабель-канал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изделия ПВХ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 16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 25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 2000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Покрытие: Необработанная поверхность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Белый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Крышка: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Пожаробезопасность: Не распространяет горение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монтажа: от -15 до +60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службы, лет: 25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1.15.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Элемент питания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Varta Longlife Power LR03 AAA </w:t>
            </w:r>
            <w:r>
              <w:rPr>
                <w:i/>
                <w:sz w:val="24"/>
                <w:szCs w:val="24"/>
                <w:lang w:val="en-US"/>
              </w:rPr>
              <w:t>(</w:t>
            </w:r>
            <w:r>
              <w:rPr>
                <w:i/>
                <w:sz w:val="24"/>
                <w:szCs w:val="24"/>
              </w:rPr>
              <w:t>или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эквивалент</w:t>
            </w:r>
            <w:r>
              <w:rPr>
                <w:i/>
                <w:sz w:val="24"/>
                <w:szCs w:val="24"/>
                <w:lang w:val="en-US"/>
              </w:rPr>
              <w:t>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 питания алкалиновый (24 шт)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1.5В или аналог.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не ранее 4 квартал 2025 года.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1.16.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Элемент питания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Varta Longlife Power LR6 AA </w:t>
            </w:r>
            <w:r>
              <w:rPr>
                <w:i/>
                <w:sz w:val="24"/>
                <w:szCs w:val="24"/>
                <w:lang w:val="en-US"/>
              </w:rPr>
              <w:t>(</w:t>
            </w:r>
            <w:r>
              <w:rPr>
                <w:i/>
                <w:sz w:val="24"/>
                <w:szCs w:val="24"/>
              </w:rPr>
              <w:t>или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эквивалент</w:t>
            </w:r>
            <w:r>
              <w:rPr>
                <w:i/>
                <w:sz w:val="24"/>
                <w:szCs w:val="24"/>
                <w:lang w:val="en-US"/>
              </w:rPr>
              <w:t>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 питания алкалиновый (24шт)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1.5В или аналог.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не ранее 4 квартал 2025 года.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1.17.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Нулевая шина в корпусе 4х7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IEK YND10-4-07-100  </w:t>
            </w:r>
            <w:r>
              <w:rPr>
                <w:i/>
                <w:sz w:val="24"/>
                <w:szCs w:val="24"/>
                <w:lang w:val="en-US"/>
              </w:rPr>
              <w:t>(</w:t>
            </w:r>
            <w:r>
              <w:rPr>
                <w:i/>
                <w:sz w:val="24"/>
                <w:szCs w:val="24"/>
              </w:rPr>
              <w:t>или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эквивалент</w:t>
            </w:r>
            <w:r>
              <w:rPr>
                <w:i/>
                <w:sz w:val="24"/>
                <w:szCs w:val="24"/>
                <w:lang w:val="en-US"/>
              </w:rPr>
              <w:t>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шина нулевая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монтажа: на Din-рейку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изоляции: да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латунь, пластмасса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подключенных проводников: 28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белый/синий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ток: 100 А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полюсов: 4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зажимов на 1 полюс: 7 шт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без упаковки: 65x87x50 мм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Модельный ряд: НШК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Ширина: 65 мм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Высота: 87 мм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Глубина: 50 мм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1.18.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Плата присвоения адресов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С2000-АПА</w:t>
            </w:r>
          </w:p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Напряжение питания3,6 В (от встроенных АКБ)</w:t>
            </w:r>
          </w:p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Емкость встроенных АКБ 2000 мАч</w:t>
            </w:r>
          </w:p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Габаритные размеры 105x279x58 мм</w:t>
            </w:r>
          </w:p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Вес 0,5 кг.</w:t>
            </w:r>
          </w:p>
          <w:p>
            <w:pPr>
              <w:pStyle w:val="Style3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Степень защиты корпуса IР30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1.19.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Экранированный патч-корд Hyperline F/UTP PC-LPM-STP-RJ45-RJ45-C5e-5M-LSZH-BL Cat.5е, LSZH, 5 м, синий 30993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1.20.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Патч-корд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Патч-корд Hyperline PC-LPM-STP-RJ45-RJ45-C5e-2M-LSZH-GN F/UTP, экранированный, Cat.5e, LSZH, 2 м, зеленый 230099  </w:t>
            </w:r>
            <w:r>
              <w:rPr>
                <w:i/>
                <w:sz w:val="24"/>
                <w:szCs w:val="24"/>
              </w:rPr>
              <w:t>(или эквивалент)</w:t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 или, в случае поставки эквивалента - подробное техническое описание предлагаемого к поставке эквивалента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lang w:val="en-US"/>
              </w:rPr>
              <w:t>2.</w:t>
            </w:r>
          </w:p>
        </w:tc>
        <w:tc>
          <w:tcPr>
            <w:tcW w:w="74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доставке,  упаковке, транспортировке, перемещению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2.1.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поставки продукции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продукции осуществляется до склада Заказчика по адресу: РФ, 617760 Пермский край, Чайковский городской округ,                           г. Чайковский, территория Воткинской ГЭС,                      д. 1/2.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2.2.</w:t>
            </w:r>
          </w:p>
        </w:tc>
        <w:tc>
          <w:tcPr>
            <w:tcW w:w="23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512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Доставка продукции Заказчику осуществляется силами, средствами и за счет Поставщика в рабочее время с 9-00 до 15-00 часов в срок, указанный в подразделе 2.1.2 настоящих ТТ.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без обязательных сопроводительных документов не принимается, ответственность за ее сохранность Заказчик не несет.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 доставки продукции, государственный № транспорта, ФИО сотрудников Поставщика в обязательном порядке должны быть согласованы в письменном виде с ответственным сотрудником Заказчика не позднее 12-00 часов дня по московскому времени, предшествующего дню поставки.</w:t>
            </w:r>
          </w:p>
        </w:tc>
        <w:tc>
          <w:tcPr>
            <w:tcW w:w="20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shd w:fill="FFFF00" w:val="clear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2.3.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Требования к упаковке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Продукция должна быть упакована в заводскую упаковку, упаковка должна обеспечивать их защиту от загрязнения и обеспечивать сохранность при транспортировке. Упаковка не должна быть нарушена или повреждена.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b/>
                <w:lang w:eastAsia="x-none"/>
              </w:rPr>
              <w:t>3.</w:t>
            </w:r>
          </w:p>
        </w:tc>
        <w:tc>
          <w:tcPr>
            <w:tcW w:w="74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60" w:after="60"/>
              <w:ind w:hanging="0" w:left="25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3.1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Срок гарантии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</w:t>
            </w:r>
            <w:r>
              <w:rPr>
                <w:sz w:val="24"/>
                <w:szCs w:val="24"/>
                <w:shd w:fill="FFFFFF" w:val="clear"/>
              </w:rPr>
              <w:t>продукцию</w:t>
            </w:r>
            <w:r>
              <w:rPr>
                <w:sz w:val="24"/>
                <w:szCs w:val="24"/>
              </w:rPr>
              <w:t xml:space="preserve"> должен соответствовать нормативно-техническим документам и исчисляться с даты подписания Заказчиком товарной накладной унифицированной формы ТОРГ-12 </w:t>
            </w:r>
            <w:r>
              <w:rPr>
                <w:rFonts w:eastAsia="Calibri"/>
                <w:sz w:val="24"/>
                <w:szCs w:val="24"/>
                <w:lang w:eastAsia="en-US"/>
              </w:rPr>
              <w:t>или УПД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jc w:val="center"/>
              <w:rPr/>
            </w:pPr>
            <w:r>
              <w:rPr>
                <w:b/>
                <w:lang w:eastAsia="x-none"/>
              </w:rPr>
              <w:t>4.</w:t>
            </w:r>
          </w:p>
        </w:tc>
        <w:tc>
          <w:tcPr>
            <w:tcW w:w="74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4.1.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Объем комплектации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 всю поставленную </w:t>
            </w: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продукцию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должны быть предоставлены паспорта, сертификаты соответствия продукции от завода-изготовителя. Сертификаты соответствия должны быть выданы отраслевыми органами сертификации и заверены печатью Поставщика.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val="en-US" w:eastAsia="x-none"/>
              </w:rPr>
              <w:t>5</w:t>
            </w:r>
            <w:r>
              <w:rPr>
                <w:b/>
                <w:lang w:eastAsia="x-none"/>
              </w:rPr>
              <w:t>.</w:t>
            </w:r>
          </w:p>
        </w:tc>
        <w:tc>
          <w:tcPr>
            <w:tcW w:w="74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Прочие (дополнительные) требования к продукции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ListParagraph"/>
              <w:widowControl w:val="false"/>
              <w:spacing w:before="60" w:after="60"/>
              <w:ind w:hanging="737" w:left="73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</w:tr>
      <w:tr>
        <w:trPr/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национального режима в соответствии с Постановлением Правительства РФ от 23.12.2024 № 1875</w:t>
            </w:r>
          </w:p>
        </w:tc>
        <w:tc>
          <w:tcPr>
            <w:tcW w:w="5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Национальный режим не предоставляется.</w:t>
            </w:r>
          </w:p>
          <w:p>
            <w:pPr>
              <w:pStyle w:val="Standard"/>
              <w:widowControl w:val="false"/>
              <w:jc w:val="both"/>
              <w:rPr>
                <w:rFonts w:eastAsia="Calibri"/>
                <w:b/>
                <w:i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>По позициям</w:t>
            </w:r>
          </w:p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Calibri"/>
                <w:b/>
                <w:i/>
                <w:sz w:val="24"/>
                <w:szCs w:val="24"/>
                <w:lang w:eastAsia="en-US"/>
              </w:rPr>
              <w:t>Таблицы 1 у</w:t>
            </w:r>
            <w:r>
              <w:rPr>
                <w:b/>
                <w:i/>
                <w:sz w:val="24"/>
                <w:szCs w:val="24"/>
              </w:rPr>
              <w:t>становлен режим ограничения закупок товаров, происходящих из иностранных государств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andard"/>
              <w:widowControl w:val="false"/>
              <w:jc w:val="both"/>
              <w:rPr/>
            </w:pPr>
            <w:r>
              <w:rPr>
                <w:sz w:val="24"/>
                <w:szCs w:val="24"/>
                <w:u w:val="single"/>
              </w:rPr>
              <w:t>Указать страну происхождения товара в коммерческом предложении</w:t>
            </w:r>
          </w:p>
        </w:tc>
        <w:tc>
          <w:tcPr>
            <w:tcW w:w="2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/>
            </w:pPr>
            <w:r>
              <w:rPr>
                <w:i/>
                <w:sz w:val="24"/>
                <w:szCs w:val="24"/>
              </w:rPr>
              <w:t>В качестве подтверждения Российского происхождения товара необходимо указать номера реестровых записей из реестра российской промышленной продукции или евразийского реестра промышленных товаров</w:t>
            </w:r>
          </w:p>
        </w:tc>
        <w:tc>
          <w:tcPr>
            <w:tcW w:w="2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Standard"/>
        <w:spacing w:before="0" w:after="60"/>
        <w:ind w:hanging="0" w:left="426"/>
        <w:jc w:val="both"/>
        <w:rPr/>
      </w:pPr>
      <w:bookmarkStart w:id="49" w:name="_Toc134784052"/>
      <w:bookmarkStart w:id="50" w:name="_Toc164261147"/>
      <w:r>
        <w:rPr>
          <w:b/>
          <w:iCs/>
          <w:sz w:val="24"/>
          <w:szCs w:val="24"/>
        </w:rPr>
        <w:t>2.2.1. В составе заявки необходимо предоставить:</w:t>
      </w:r>
    </w:p>
    <w:p>
      <w:pPr>
        <w:pStyle w:val="Standard"/>
        <w:spacing w:before="0" w:after="60"/>
        <w:ind w:firstLine="426"/>
        <w:jc w:val="both"/>
        <w:rPr/>
      </w:pPr>
      <w:r>
        <w:rPr>
          <w:iCs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предлагаемой продукции требованиям настоящих ТТ, предоставляет следующие документы: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before="0" w:after="60"/>
        <w:ind w:hanging="0" w:left="0"/>
        <w:contextualSpacing w:val="false"/>
        <w:jc w:val="both"/>
        <w:textAlignment w:val="baseline"/>
        <w:rPr/>
      </w:pPr>
      <w:r>
        <w:rPr>
          <w:iCs/>
        </w:rPr>
        <w:t>Техническое предложение, по форме Таблицы 2 настоящих ТТ с заполненным столбцом 6 «</w:t>
      </w:r>
      <w:r>
        <w:rPr>
          <w:rFonts w:eastAsia="Times New Roman"/>
          <w:bCs/>
        </w:rPr>
        <w:t>Предложение Участника по характеристикам и параметрам»</w:t>
      </w:r>
      <w:r>
        <w:rPr>
          <w:iCs/>
        </w:rPr>
        <w:t>.</w:t>
      </w:r>
    </w:p>
    <w:p>
      <w:pPr>
        <w:pStyle w:val="Heading4"/>
        <w:spacing w:before="180" w:after="60"/>
        <w:ind w:hanging="0" w:left="0"/>
        <w:rPr>
          <w:sz w:val="28"/>
          <w:szCs w:val="28"/>
        </w:rPr>
      </w:pPr>
      <w:bookmarkStart w:id="51" w:name="_Toc200027724"/>
      <w:r>
        <w:rPr>
          <w:sz w:val="28"/>
          <w:szCs w:val="28"/>
        </w:rPr>
        <w:t xml:space="preserve">3. </w:t>
      </w:r>
      <w:bookmarkStart w:id="52" w:name="_Toc51339699"/>
      <w:bookmarkStart w:id="53" w:name="_Toc46743519"/>
      <w:bookmarkStart w:id="54" w:name="_Toc75446583"/>
      <w:bookmarkStart w:id="55" w:name="_Toc53393312"/>
      <w:r>
        <w:rPr>
          <w:sz w:val="28"/>
          <w:szCs w:val="28"/>
        </w:rPr>
        <w:t>Требования к документации по ценообразованию</w:t>
      </w:r>
      <w:bookmarkEnd w:id="55"/>
      <w:r>
        <w:rPr>
          <w:sz w:val="28"/>
          <w:szCs w:val="28"/>
        </w:rPr>
        <w:t xml:space="preserve"> на этапе закупки</w:t>
      </w:r>
      <w:bookmarkEnd w:id="54"/>
      <w:r>
        <w:rPr>
          <w:sz w:val="28"/>
          <w:szCs w:val="28"/>
        </w:rPr>
        <w:t>.</w:t>
      </w:r>
      <w:bookmarkEnd w:id="49"/>
      <w:bookmarkEnd w:id="50"/>
      <w:bookmarkEnd w:id="51"/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3.1. Стоимость продукции должна включать затраты на транспортировку, страхование,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3.2. В обоснование стоимости своей заявки Участник предоставляет Коммерческое предложение.</w:t>
      </w:r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3.3. Дополнительные документы по ценообразованию в состав заявки не включаются.</w:t>
      </w:r>
      <w:bookmarkEnd w:id="52"/>
      <w:bookmarkEnd w:id="53"/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Начальник участка СиТК ССИиТС</w:t>
        <w:tab/>
        <w:tab/>
        <w:tab/>
        <w:tab/>
        <w:tab/>
        <w:tab/>
        <w:t>И.В. Брюхов</w:t>
      </w:r>
      <w:bookmarkStart w:id="56" w:name="_GoBack"/>
      <w:bookmarkEnd w:id="56"/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1117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837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557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77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997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717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7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157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87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" w:customStyle="1">
    <w:name w:val="Гиперссылка1"/>
    <w:basedOn w:val="DefaultParagraphFont"/>
    <w:qFormat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7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i/>
      <w:shd w:fill="FFFF99" w:val="clear"/>
    </w:rPr>
  </w:style>
  <w:style w:type="character" w:styleId="Style9" w:customStyle="1">
    <w:name w:val="Подподпункт Знак"/>
    <w:link w:val="Style34"/>
    <w:qFormat/>
    <w:rPr>
      <w:sz w:val="26"/>
      <w:szCs w:val="26"/>
    </w:rPr>
  </w:style>
  <w:style w:type="character" w:styleId="31" w:customStyle="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link w:val="EndnoteSymbol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3" w:customStyle="1">
    <w:name w:val="УРОВЕНЬ_1. Знак"/>
    <w:link w:val="111"/>
    <w:qFormat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14" w:customStyle="1">
    <w:name w:val="Номер строки1"/>
    <w:qFormat/>
    <w:rPr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15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5"/>
    <w:qFormat/>
    <w:pPr/>
    <w:rPr/>
  </w:style>
  <w:style w:type="paragraph" w:styleId="Caption11111111" w:customStyle="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p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thickThinSmallGap" w:sz="24" w:space="1" w:color="000001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1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thickThinSmallGap" w:sz="24" w:space="1" w:color="000001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spacing w:before="120" w:after="0"/>
    </w:pPr>
    <w:rPr>
      <w:rFonts w:cs="Calibri Light (Заголовки)"/>
      <w:sz w:val="20"/>
      <w:szCs w:val="20"/>
    </w:rPr>
  </w:style>
  <w:style w:type="paragraph" w:styleId="TOC3">
    <w:name w:val="TOC 3"/>
    <w:basedOn w:val="Normal"/>
    <w:next w:val="Normal"/>
    <w:autoRedefine/>
    <w:uiPriority w:val="39"/>
    <w:pPr>
      <w:ind w:hanging="0" w:left="280"/>
    </w:pPr>
    <w:rPr>
      <w:rFonts w:cs="Calibr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18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qFormat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pPr>
      <w:keepLines/>
      <w:tabs>
        <w:tab w:val="left" w:pos="0" w:leader="none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 w:customStyle="1">
    <w:name w:val="Endnote Symbol"/>
    <w:basedOn w:val="Normal"/>
    <w:link w:val="Style12"/>
    <w:qFormat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4" w:customStyle="1">
    <w:name w:val="Таблица текст"/>
    <w:basedOn w:val="Normal"/>
    <w:link w:val="Style9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1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rsid w:val="00335b6a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9" w:customStyle="1">
    <w:name w:val="Стиль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43EE2-040D-453D-8A9D-79B1AABC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2517</TotalTime>
  <Application>AlterOffice/2026.2.0.0$Linux_X86_64 LibreOffice_project/bc4ef1adf80b36c7a6365f8ed6cbf29021361edd</Application>
  <AppVersion>15.0000</AppVersion>
  <Pages>5</Pages>
  <Words>2346</Words>
  <Characters>14689</Characters>
  <CharactersWithSpaces>16600</CharactersWithSpaces>
  <Paragraphs>507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2025-04-22T06:03:00Z</dcterms:created>
  <dc:creator>Быстров Олег Геннадьевич</dc:creator>
  <dc:description/>
  <dc:language>ru-RU</dc:language>
  <cp:lastModifiedBy>bryuhoviv@corp.gidroogk.com</cp:lastModifiedBy>
  <cp:lastPrinted>2024-10-15T14:51:00Z</cp:lastPrinted>
  <dcterms:modified xsi:type="dcterms:W3CDTF">2026-09-17T11:29:18Z</dcterms:modified>
  <cp:revision>119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