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8935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393"/>
        <w:gridCol w:w="568"/>
        <w:gridCol w:w="3974"/>
      </w:tblGrid>
      <w:tr>
        <w:tblPrEx/>
        <w:trPr/>
        <w:tc>
          <w:tcPr>
            <w:tcW w:w="4393" w:type="dxa"/>
            <w:textDirection w:val="lrTb"/>
            <w:noWrap w:val="false"/>
          </w:tcPr>
          <w:p>
            <w:pPr>
              <w:ind w:left="-426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/>
            <w:bookmarkStart w:id="0" w:name="_Toc240254280"/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ind w:left="34"/>
              <w:jc w:val="left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  <w:t xml:space="preserve">УТВЕРЖДАЮ</w:t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  <w:p>
            <w:pPr>
              <w:ind w:left="-426" w:firstLine="720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департамента безопасности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____________/В.Т. Кричашвили/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(подпись)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both"/>
              <w:keepLines/>
              <w:keepNext/>
              <w:spacing w:line="25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«___»______________ 2026 г.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tabs>
                <w:tab w:val="left" w:pos="1306" w:leader="none"/>
              </w:tabs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ind w:left="-426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</w:tc>
        <w:tc>
          <w:tcPr>
            <w:tcW w:w="3974" w:type="dxa"/>
            <w:textDirection w:val="lrTb"/>
            <w:noWrap w:val="false"/>
          </w:tcPr>
          <w:p>
            <w:pPr>
              <w:ind w:left="34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  <w:p>
            <w:pPr>
              <w:ind w:left="34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УТВЕРЖДАЮ</w:t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  <w:p>
            <w:pPr>
              <w:ind w:left="-426" w:firstLine="720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Заместитель Генерального директора по безопасности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____________/А.Ю. Маяков/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(подпись)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both"/>
              <w:keepLines/>
              <w:keepNext/>
              <w:spacing w:line="25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«___»______________ 2026 г.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ind w:left="-426"/>
        <w:jc w:val="both"/>
        <w:keepLines/>
        <w:keepNext/>
        <w:spacing w:line="256" w:lineRule="auto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  <w:r>
        <w:rPr>
          <w:rFonts w:eastAsia="Calibri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/>
        <w:jc w:val="center"/>
        <w:spacing w:line="256" w:lineRule="auto"/>
        <w:widowControl w:val="off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ТЕХНИЧЕСКОЕ ЗАДАНИЕ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b/>
          <w:sz w:val="28"/>
          <w:lang w:eastAsia="en-US"/>
        </w:rPr>
      </w:pPr>
      <w:r>
        <w:rPr>
          <w:b/>
          <w:sz w:val="28"/>
          <w:lang w:eastAsia="en-US"/>
        </w:rPr>
        <w:t xml:space="preserve">на предоставление </w:t>
      </w:r>
      <w:r>
        <w:rPr>
          <w:b/>
          <w:sz w:val="28"/>
          <w:lang w:eastAsia="en-US"/>
        </w:rPr>
        <w:t xml:space="preserve">неисключительных прав использования  «</w:t>
      </w:r>
      <w:r>
        <w:rPr>
          <w:b/>
          <w:sz w:val="28"/>
          <w:lang w:eastAsia="en-US"/>
        </w:rPr>
        <w:t xml:space="preserve">Saby, Корпоративный удостоверяющий центр», </w:t>
      </w:r>
      <w:r>
        <w:rPr>
          <w:b/>
          <w:sz w:val="28"/>
          <w:lang w:eastAsia="en-US"/>
        </w:rPr>
        <w:t xml:space="preserve">прав использования Saby, прав использования сопутствующих СКЗИ </w:t>
      </w:r>
      <w:r>
        <w:rPr>
          <w:b/>
          <w:sz w:val="28"/>
          <w:lang w:eastAsia="en-US"/>
        </w:rPr>
        <w:t xml:space="preserve">КриптоПро CSP 5.0 (бессрочная лицензия)</w:t>
      </w:r>
      <w:r>
        <w:rPr>
          <w:b/>
          <w:sz w:val="28"/>
          <w:lang w:eastAsia="en-US"/>
        </w:rPr>
        <w:t xml:space="preserve"> для нужд ПАО «Россети Северо-Запад»</w:t>
      </w:r>
      <w:r>
        <w:rPr>
          <w:b/>
          <w:sz w:val="28"/>
          <w:lang w:eastAsia="en-US"/>
        </w:rPr>
      </w:r>
      <w:r>
        <w:rPr>
          <w:b/>
          <w:sz w:val="28"/>
          <w:lang w:eastAsia="en-US"/>
        </w:rPr>
      </w:r>
    </w:p>
    <w:p>
      <w:pPr>
        <w:ind w:left="-425"/>
        <w:jc w:val="center"/>
        <w:widowControl w:val="off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984"/>
        <w:tblW w:w="0" w:type="auto"/>
        <w:tblInd w:w="-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336"/>
        <w:gridCol w:w="2445"/>
      </w:tblGrid>
      <w:tr>
        <w:tblPrEx/>
        <w:trPr/>
        <w:tc>
          <w:tcPr>
            <w:tcW w:w="7651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-426" w:firstLine="709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Санкт-Петербург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3"/>
        <w:numPr>
          <w:ilvl w:val="0"/>
          <w:numId w:val="0"/>
        </w:numPr>
        <w:rPr>
          <w:b/>
          <w:szCs w:val="28"/>
        </w:rPr>
      </w:pPr>
      <w:r/>
      <w:bookmarkStart w:id="1" w:name="_Toc139978683"/>
      <w:r/>
      <w:bookmarkStart w:id="2" w:name="_Toc158193505"/>
      <w:r>
        <w:rPr>
          <w:b/>
          <w:szCs w:val="28"/>
        </w:rPr>
        <w:t xml:space="preserve">Лист согласования</w:t>
      </w:r>
      <w:bookmarkEnd w:id="1"/>
      <w:r/>
      <w:bookmarkEnd w:id="2"/>
      <w:r>
        <w:rPr>
          <w:b/>
          <w:szCs w:val="28"/>
        </w:rPr>
      </w:r>
      <w:r>
        <w:rPr>
          <w:b/>
          <w:szCs w:val="28"/>
        </w:rPr>
      </w:r>
    </w:p>
    <w:p>
      <w:pPr>
        <w:keepLines/>
        <w:keepNext/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9386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285"/>
        <w:gridCol w:w="2094"/>
        <w:gridCol w:w="1306"/>
        <w:gridCol w:w="1701"/>
      </w:tblGrid>
      <w:tr>
        <w:tblPrEx/>
        <w:trPr>
          <w:trHeight w:val="636"/>
        </w:trPr>
        <w:tc>
          <w:tcPr>
            <w:shd w:val="clear" w:color="auto" w:fill="d9d9d9" w:themeFill="background1" w:themeFillShade="D9"/>
            <w:tcW w:w="428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Должность, Организация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209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Фамилия, инициалы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130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Подпись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Дата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4285" w:type="dxa"/>
            <w:vAlign w:val="center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Начальник О</w:t>
            </w:r>
            <w:r>
              <w:rPr>
                <w:highlight w:val="none"/>
              </w:rPr>
              <w:t xml:space="preserve">И</w:t>
            </w:r>
            <w:r>
              <w:rPr>
                <w:highlight w:val="none"/>
              </w:rPr>
              <w:t xml:space="preserve">Б</w:t>
            </w:r>
            <w:r>
              <w:rPr>
                <w:highlight w:val="none"/>
              </w:rPr>
              <w:t xml:space="preserve">и</w:t>
            </w:r>
            <w:r>
              <w:rPr>
                <w:highlight w:val="none"/>
              </w:rPr>
              <w:t xml:space="preserve">Т</w:t>
            </w:r>
            <w:r>
              <w:rPr>
                <w:highlight w:val="none"/>
              </w:rPr>
              <w:t xml:space="preserve">З</w:t>
            </w:r>
            <w:r>
              <w:rPr>
                <w:highlight w:val="none"/>
              </w:rPr>
              <w:t xml:space="preserve">И, УИБиТЗИ,РБиПА департамента безопасности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094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bCs/>
                <w:color w:val="000000" w:themeColor="text1"/>
                <w:highlight w:val="none"/>
              </w:rPr>
            </w:pPr>
            <w:r>
              <w:rPr>
                <w:rFonts w:eastAsia="Calibri"/>
                <w:highlight w:val="none"/>
              </w:rPr>
              <w:t xml:space="preserve">Паничкин К.С.</w:t>
            </w:r>
            <w:r>
              <w:rPr>
                <w:bCs/>
                <w:color w:val="000000" w:themeColor="text1"/>
                <w:highlight w:val="none"/>
              </w:rPr>
            </w:r>
            <w:r>
              <w:rPr>
                <w:bCs/>
                <w:color w:val="000000" w:themeColor="text1"/>
                <w:highlight w:val="none"/>
              </w:rPr>
            </w:r>
          </w:p>
        </w:tc>
        <w:tc>
          <w:tcPr>
            <w:tcW w:w="1306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  <w:highlight w:val="none"/>
              </w:rPr>
            </w:pPr>
            <w:r>
              <w:rPr>
                <w:bCs/>
                <w:color w:val="000000" w:themeColor="text1"/>
                <w:highlight w:val="none"/>
              </w:rPr>
            </w:r>
            <w:r>
              <w:rPr>
                <w:bCs/>
                <w:color w:val="000000" w:themeColor="text1"/>
                <w:highlight w:val="none"/>
              </w:rPr>
            </w:r>
            <w:r>
              <w:rPr>
                <w:bCs/>
                <w:color w:val="000000" w:themeColor="text1"/>
                <w:highlight w:val="non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i/>
                <w:color w:val="00b0f0"/>
                <w:sz w:val="20"/>
                <w:szCs w:val="20"/>
              </w:rPr>
              <w:t xml:space="preserve"> </w:t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</w:tr>
      <w:tr>
        <w:tblPrEx/>
        <w:trPr>
          <w:trHeight w:val="50"/>
        </w:trPr>
        <w:tc>
          <w:tcPr>
            <w:tcW w:w="4285" w:type="dxa"/>
            <w:vAlign w:val="center"/>
            <w:textDirection w:val="lrTb"/>
            <w:noWrap w:val="false"/>
          </w:tcPr>
          <w:p>
            <w:pPr>
              <w:keepLines/>
              <w:keepNext/>
              <w:spacing w:line="256" w:lineRule="auto"/>
              <w:widowControl w:val="off"/>
              <w:rPr>
                <w:rFonts w:eastAsia="Calibri"/>
                <w:highlight w:val="none"/>
              </w:rPr>
            </w:pPr>
            <w:r>
              <w:rPr>
                <w:rFonts w:eastAsia="Calibri"/>
                <w:highlight w:val="none"/>
              </w:rPr>
              <w:t xml:space="preserve">Начальник УКиТАСУ департамента цифровой трансформации и информационных технологий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</w:tc>
        <w:tc>
          <w:tcPr>
            <w:tcW w:w="2094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highlight w:val="none"/>
              </w:rPr>
            </w:pPr>
            <w:r>
              <w:rPr>
                <w:rFonts w:eastAsia="Calibri"/>
                <w:highlight w:val="none"/>
              </w:rPr>
              <w:t xml:space="preserve">Лезов С.А.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</w:tc>
        <w:tc>
          <w:tcPr>
            <w:tcW w:w="1306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  <w:highlight w:val="none"/>
              </w:rPr>
            </w:pPr>
            <w:r>
              <w:rPr>
                <w:bCs/>
                <w:color w:val="000000" w:themeColor="text1"/>
                <w:highlight w:val="none"/>
              </w:rPr>
            </w:r>
            <w:r>
              <w:rPr>
                <w:bCs/>
                <w:color w:val="000000" w:themeColor="text1"/>
                <w:highlight w:val="none"/>
              </w:rPr>
            </w:r>
            <w:r>
              <w:rPr>
                <w:bCs/>
                <w:color w:val="000000" w:themeColor="text1"/>
                <w:highlight w:val="non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</w:tr>
      <w:tr>
        <w:tblPrEx/>
        <w:trPr>
          <w:trHeight w:val="50"/>
        </w:trPr>
        <w:tc>
          <w:tcPr>
            <w:tcW w:w="4285" w:type="dxa"/>
            <w:vAlign w:val="center"/>
            <w:textDirection w:val="lrTb"/>
            <w:noWrap w:val="false"/>
          </w:tcPr>
          <w:p>
            <w:pPr>
              <w:keepLines/>
              <w:keepNext/>
              <w:spacing w:line="256" w:lineRule="auto"/>
              <w:widowControl w:val="off"/>
              <w:rPr>
                <w:rFonts w:eastAsia="Calibri"/>
                <w:highlight w:val="none"/>
              </w:rPr>
            </w:pPr>
            <w:r>
              <w:rPr>
                <w:rFonts w:eastAsia="Calibri"/>
                <w:highlight w:val="none"/>
              </w:rPr>
              <w:t xml:space="preserve">Начальник отдела договорной работы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</w:tc>
        <w:tc>
          <w:tcPr>
            <w:tcW w:w="2094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highlight w:val="none"/>
              </w:rPr>
            </w:pPr>
            <w:r>
              <w:rPr>
                <w:rFonts w:eastAsia="Calibri"/>
                <w:highlight w:val="none"/>
              </w:rPr>
              <w:t xml:space="preserve">Бонзарева Н.В.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</w:tc>
        <w:tc>
          <w:tcPr>
            <w:tcW w:w="1306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  <w:highlight w:val="none"/>
              </w:rPr>
            </w:pPr>
            <w:r>
              <w:rPr>
                <w:bCs/>
                <w:color w:val="000000" w:themeColor="text1"/>
                <w:highlight w:val="none"/>
              </w:rPr>
            </w:r>
            <w:r>
              <w:rPr>
                <w:bCs/>
                <w:color w:val="000000" w:themeColor="text1"/>
                <w:highlight w:val="none"/>
              </w:rPr>
            </w:r>
            <w:r>
              <w:rPr>
                <w:bCs/>
                <w:color w:val="000000" w:themeColor="text1"/>
                <w:highlight w:val="non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</w:tr>
    </w:tbl>
    <w:tbl>
      <w:tblPr>
        <w:tblStyle w:val="98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2728"/>
        <w:gridCol w:w="142"/>
        <w:gridCol w:w="2220"/>
        <w:gridCol w:w="2305"/>
      </w:tblGrid>
      <w:tr>
        <w:tblPrEx/>
        <w:trPr>
          <w:cantSplit/>
        </w:trPr>
        <w:tc>
          <w:tcPr>
            <w:gridSpan w:val="2"/>
            <w:tcW w:w="4678" w:type="dxa"/>
            <w:vAlign w:val="center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vAlign w:val="center"/>
            <w:textDirection w:val="lrTb"/>
            <w:noWrap w:val="false"/>
          </w:tcPr>
          <w:p>
            <w:pPr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vAlign w:val="center"/>
            <w:textDirection w:val="lrTb"/>
            <w:noWrap w:val="false"/>
          </w:tcPr>
          <w:p>
            <w:pPr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</w:p>
        </w:tc>
      </w:tr>
      <w:tr>
        <w:tblPrEx/>
        <w:trPr>
          <w:cantSplit/>
          <w:trHeight w:val="1463"/>
        </w:trPr>
        <w:tc>
          <w:tcPr>
            <w:gridSpan w:val="2"/>
            <w:tcW w:w="4678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  <w:trHeight w:val="737"/>
        </w:trPr>
        <w:tc>
          <w:tcPr>
            <w:tcW w:w="19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728" w:type="dxa"/>
            <w:vAlign w:val="center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2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305" w:type="dxa"/>
            <w:vAlign w:val="center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vAlign w:val="center"/>
            <w:textDirection w:val="lrTb"/>
            <w:noWrap w:val="false"/>
          </w:tcPr>
          <w:p>
            <w:pPr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vAlign w:val="center"/>
            <w:textDirection w:val="lrTb"/>
            <w:noWrap w:val="false"/>
          </w:tcPr>
          <w:p>
            <w:pPr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</w:p>
        </w:tc>
      </w:tr>
      <w:tr>
        <w:tblPrEx/>
        <w:trPr>
          <w:cantSplit/>
          <w:trHeight w:val="1463"/>
        </w:trPr>
        <w:tc>
          <w:tcPr>
            <w:gridSpan w:val="2"/>
            <w:tcW w:w="4678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  <w:trHeight w:val="737"/>
        </w:trPr>
        <w:tc>
          <w:tcPr>
            <w:tcW w:w="19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728" w:type="dxa"/>
            <w:vAlign w:val="center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2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305" w:type="dxa"/>
            <w:vAlign w:val="center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tbl>
      <w:tblPr>
        <w:tblStyle w:val="984"/>
        <w:tblW w:w="93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815"/>
        <w:gridCol w:w="2154"/>
        <w:gridCol w:w="2426"/>
      </w:tblGrid>
      <w:tr>
        <w:tblPrEx/>
        <w:trPr>
          <w:trHeight w:val="757"/>
        </w:trPr>
        <w:tc>
          <w:tcPr>
            <w:tcW w:w="1560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3232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15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426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</w:tr>
      <w:tr>
        <w:tblPrEx/>
        <w:trPr/>
        <w:tc>
          <w:tcPr>
            <w:gridSpan w:val="2"/>
            <w:tcW w:w="2977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3969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bookmarkEnd w:id="0"/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426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</w:tr>
    </w:tbl>
    <w:p>
      <w:pPr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 w:clear="all"/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Содержание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sdt>
      <w:sdtPr>
        <w15:appearance w15:val="boundingBox"/>
        <w:id w:val="-1631695966"/>
        <w:docPartObj>
          <w:docPartGallery w:val="Table of Contents"/>
          <w:docPartUnique w:val="true"/>
        </w:docPartObj>
        <w:rPr>
          <w:rFonts w:ascii="Times New Roman" w:hAnsi="Times New Roman" w:eastAsia="Times New Roman" w:cs="Times New Roman"/>
          <w:b w:val="0"/>
          <w:bCs w:val="0"/>
          <w:color w:val="auto"/>
          <w:sz w:val="20"/>
          <w:szCs w:val="20"/>
          <w:lang w:eastAsia="ru-RU"/>
        </w:rPr>
      </w:sdtPr>
      <w:sdtContent>
        <w:p>
          <w:pPr>
            <w:pStyle w:val="990"/>
            <w:rPr>
              <w:sz w:val="32"/>
              <w:szCs w:val="32"/>
            </w:rPr>
          </w:pPr>
          <w:r>
            <w:rPr>
              <w:sz w:val="32"/>
              <w:szCs w:val="32"/>
            </w:rPr>
          </w:r>
          <w:r>
            <w:rPr>
              <w:sz w:val="32"/>
              <w:szCs w:val="32"/>
            </w:rPr>
          </w:r>
          <w:r>
            <w:rPr>
              <w:sz w:val="32"/>
              <w:szCs w:val="32"/>
            </w:rPr>
          </w:r>
        </w:p>
        <w:p>
          <w:pPr>
            <w:pStyle w:val="987"/>
            <w:numPr>
              <w:ilvl w:val="0"/>
              <w:numId w:val="25"/>
            </w:numPr>
            <w:tabs>
              <w:tab w:val="right" w:pos="9345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>
            <w:rPr>
              <w:rFonts w:eastAsia="Calibri"/>
              <w:b/>
              <w:szCs w:val="20"/>
            </w:rPr>
            <w:fldChar w:fldCharType="begin"/>
          </w:r>
          <w:r>
            <w:rPr>
              <w:rFonts w:eastAsia="Calibri"/>
              <w:b/>
              <w:szCs w:val="20"/>
            </w:rPr>
            <w:instrText xml:space="preserve"> TOC \o "1-3" \h \z \u </w:instrText>
          </w:r>
          <w:r>
            <w:rPr>
              <w:rFonts w:eastAsia="Calibri"/>
              <w:b/>
              <w:szCs w:val="20"/>
            </w:rPr>
            <w:fldChar w:fldCharType="separate"/>
          </w:r>
          <w:hyperlink w:tooltip="#_Toc158193505" w:anchor="_Toc158193505" w:history="1">
            <w:r>
              <w:rPr>
                <w:rStyle w:val="978"/>
                <w:b/>
              </w:rPr>
              <w:t xml:space="preserve">Лист согласования</w:t>
            </w:r>
            <w:r>
              <w:tab/>
            </w:r>
            <w:r>
              <w:fldChar w:fldCharType="begin"/>
            </w:r>
            <w:r>
              <w:instrText xml:space="preserve"> PAGEREF _Toc158193505 \h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986"/>
            <w:numPr>
              <w:ilvl w:val="0"/>
              <w:numId w:val="25"/>
            </w:numPr>
            <w:rPr>
              <w:rFonts w:asciiTheme="minorHAnsi" w:hAnsiTheme="minorHAnsi" w:cstheme="minorBidi"/>
              <w:sz w:val="22"/>
              <w:szCs w:val="22"/>
            </w:rPr>
          </w:pPr>
          <w:r/>
          <w:hyperlink w:tooltip="#_Toc158193506" w:anchor="_Toc158193506" w:history="1">
            <w:r>
              <w:rPr>
                <w:rStyle w:val="978"/>
                <w:b/>
              </w:rPr>
              <w:t xml:space="preserve">Общие сведения</w:t>
            </w:r>
            <w:r>
              <w:tab/>
            </w:r>
            <w:r>
              <w:fldChar w:fldCharType="begin"/>
            </w:r>
            <w:r>
              <w:instrText xml:space="preserve"> PAGEREF _Toc158193506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Theme="minorHAnsi" w:hAnsiTheme="minorHAnsi" w:cstheme="minorBidi"/>
              <w:sz w:val="22"/>
              <w:szCs w:val="22"/>
            </w:rPr>
          </w:r>
          <w:r>
            <w:rPr>
              <w:rFonts w:asciiTheme="minorHAnsi" w:hAnsiTheme="minorHAnsi" w:cstheme="minorBidi"/>
              <w:sz w:val="22"/>
              <w:szCs w:val="22"/>
            </w:rPr>
          </w:r>
        </w:p>
        <w:p>
          <w:pPr>
            <w:pStyle w:val="986"/>
            <w:numPr>
              <w:ilvl w:val="0"/>
              <w:numId w:val="25"/>
            </w:numPr>
            <w:rPr>
              <w:rFonts w:asciiTheme="minorHAnsi" w:hAnsiTheme="minorHAnsi" w:cstheme="minorBidi"/>
              <w:sz w:val="22"/>
              <w:szCs w:val="22"/>
            </w:rPr>
          </w:pPr>
          <w:r/>
          <w:hyperlink w:tooltip="#_Toc158193507" w:anchor="_Toc158193507" w:history="1">
            <w:r>
              <w:rPr>
                <w:rStyle w:val="978"/>
                <w:b/>
              </w:rPr>
              <w:t xml:space="preserve">Предмет закупки</w:t>
            </w:r>
            <w:r>
              <w:tab/>
            </w:r>
            <w:r>
              <w:fldChar w:fldCharType="begin"/>
            </w:r>
            <w:r>
              <w:instrText xml:space="preserve"> PAGEREF _Toc158193507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Theme="minorHAnsi" w:hAnsiTheme="minorHAnsi" w:cstheme="minorBidi"/>
              <w:sz w:val="22"/>
              <w:szCs w:val="22"/>
            </w:rPr>
          </w:r>
          <w:r>
            <w:rPr>
              <w:rFonts w:asciiTheme="minorHAnsi" w:hAnsiTheme="minorHAnsi" w:cstheme="minorBidi"/>
              <w:sz w:val="22"/>
              <w:szCs w:val="22"/>
            </w:rPr>
          </w:r>
        </w:p>
        <w:p>
          <w:pPr>
            <w:pStyle w:val="986"/>
            <w:numPr>
              <w:ilvl w:val="0"/>
              <w:numId w:val="25"/>
            </w:numPr>
            <w:rPr>
              <w:rFonts w:asciiTheme="minorHAnsi" w:hAnsiTheme="minorHAnsi" w:cstheme="minorBidi"/>
              <w:sz w:val="22"/>
              <w:szCs w:val="22"/>
            </w:rPr>
          </w:pPr>
          <w:r/>
          <w:hyperlink w:tooltip="#_Toc158193508" w:anchor="_Toc158193508" w:history="1">
            <w:r>
              <w:rPr>
                <w:rStyle w:val="978"/>
                <w:b/>
              </w:rPr>
              <w:t xml:space="preserve">Общие требования к условиям предоставления права на использование</w:t>
            </w:r>
            <w:r>
              <w:tab/>
            </w:r>
            <w:r>
              <w:fldChar w:fldCharType="begin"/>
            </w:r>
            <w:r>
              <w:instrText xml:space="preserve"> PAGEREF _Toc158193508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Theme="minorHAnsi" w:hAnsiTheme="minorHAnsi" w:cstheme="minorBidi"/>
              <w:sz w:val="22"/>
              <w:szCs w:val="22"/>
            </w:rPr>
          </w:r>
          <w:r>
            <w:rPr>
              <w:rFonts w:asciiTheme="minorHAnsi" w:hAnsiTheme="minorHAnsi" w:cstheme="minorBidi"/>
              <w:sz w:val="22"/>
              <w:szCs w:val="22"/>
            </w:rPr>
          </w:r>
        </w:p>
        <w:p>
          <w:pPr>
            <w:pStyle w:val="986"/>
            <w:rPr>
              <w:rFonts w:asciiTheme="minorHAnsi" w:hAnsiTheme="minorHAnsi" w:cstheme="minorBidi"/>
              <w:sz w:val="22"/>
              <w:szCs w:val="22"/>
            </w:rPr>
          </w:pPr>
          <w:r/>
          <w:hyperlink w:tooltip="#_Toc158193509" w:anchor="_Toc158193509" w:history="1">
            <w:r>
              <w:rPr>
                <w:rStyle w:val="978"/>
              </w:rPr>
              <w:t xml:space="preserve">Приложение 1 к Техническому заданию. Спецификация приобретаемых прав использования программ для ЭВМ</w:t>
            </w:r>
            <w:r>
              <w:tab/>
            </w:r>
            <w:r>
              <w:fldChar w:fldCharType="begin"/>
            </w:r>
            <w:r>
              <w:instrText xml:space="preserve"> PAGEREF</w:instrText>
            </w:r>
            <w:r>
              <w:instrText xml:space="preserve"> _Toc158193509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>
            <w:rPr>
              <w:rFonts w:asciiTheme="minorHAnsi" w:hAnsiTheme="minorHAnsi" w:cstheme="minorBidi"/>
              <w:sz w:val="22"/>
              <w:szCs w:val="22"/>
            </w:rPr>
          </w:r>
          <w:r>
            <w:rPr>
              <w:rFonts w:asciiTheme="minorHAnsi" w:hAnsiTheme="minorHAnsi" w:cstheme="minorBidi"/>
              <w:sz w:val="22"/>
              <w:szCs w:val="22"/>
            </w:rPr>
          </w:r>
        </w:p>
        <w:p>
          <w:pPr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fldChar w:fldCharType="end"/>
          </w:r>
          <w:r>
            <w:rPr>
              <w:b/>
              <w:bCs/>
              <w:sz w:val="20"/>
              <w:szCs w:val="20"/>
            </w:rPr>
          </w:r>
          <w:r>
            <w:rPr>
              <w:b/>
              <w:bCs/>
              <w:sz w:val="20"/>
              <w:szCs w:val="20"/>
            </w:rPr>
          </w:r>
        </w:p>
      </w:sdtContent>
    </w:sdt>
    <w:p>
      <w:pPr>
        <w:ind w:firstLine="709"/>
        <w:jc w:val="both"/>
        <w:rPr>
          <w:sz w:val="36"/>
          <w:szCs w:val="28"/>
        </w:rPr>
      </w:pPr>
      <w:r>
        <w:rPr>
          <w:sz w:val="36"/>
          <w:szCs w:val="28"/>
        </w:rPr>
      </w:r>
      <w:r>
        <w:rPr>
          <w:sz w:val="36"/>
          <w:szCs w:val="28"/>
        </w:rPr>
      </w:r>
      <w:r>
        <w:rPr>
          <w:sz w:val="36"/>
          <w:szCs w:val="28"/>
        </w:rPr>
      </w:r>
    </w:p>
    <w:p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792"/>
        <w:rPr>
          <w:b/>
        </w:rPr>
      </w:pPr>
      <w:r/>
      <w:bookmarkStart w:id="3" w:name="_Toc144739498"/>
      <w:r/>
      <w:bookmarkStart w:id="4" w:name="_Toc158193506"/>
      <w:r>
        <w:rPr>
          <w:b/>
        </w:rPr>
        <w:t xml:space="preserve">Общие сведения</w:t>
      </w:r>
      <w:bookmarkEnd w:id="3"/>
      <w:r/>
      <w:bookmarkEnd w:id="4"/>
      <w:r>
        <w:rPr>
          <w:b/>
        </w:rPr>
      </w:r>
      <w:r>
        <w:rPr>
          <w:b/>
        </w:rPr>
      </w:r>
    </w:p>
    <w:p>
      <w:pPr>
        <w:pStyle w:val="991"/>
        <w:numPr>
          <w:ilvl w:val="1"/>
          <w:numId w:val="15"/>
        </w:numPr>
        <w:contextualSpacing w:val="0"/>
        <w:jc w:val="both"/>
        <w:spacing w:before="60"/>
        <w:rPr>
          <w:sz w:val="28"/>
          <w:lang w:eastAsia="en-US"/>
        </w:rPr>
      </w:pPr>
      <w:r>
        <w:rPr>
          <w:sz w:val="28"/>
          <w:lang w:eastAsia="en-US"/>
        </w:rPr>
        <w:t xml:space="preserve">В настоящем документе представлено Техническое задание </w:t>
      </w:r>
      <w:r>
        <w:rPr>
          <w:sz w:val="28"/>
          <w:lang w:eastAsia="en-US"/>
        </w:rPr>
        <w:t xml:space="preserve">предоставление неисключительных прав использования  «Saby, Корпоративный удостоверяющий центр», прав использования Saby, прав использования сопутствующих СКЗИ КриптоПро CSP (бессрочная лицензия) для нужд ПАО «Россети Северо-Запад»</w:t>
      </w:r>
      <w:r>
        <w:rPr>
          <w:sz w:val="28"/>
          <w:lang w:eastAsia="en-US"/>
        </w:rPr>
        <w:t xml:space="preserve">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91"/>
        <w:numPr>
          <w:ilvl w:val="1"/>
          <w:numId w:val="15"/>
        </w:numPr>
        <w:contextualSpacing w:val="0"/>
        <w:jc w:val="both"/>
        <w:spacing w:before="60"/>
        <w:rPr>
          <w:sz w:val="28"/>
          <w:lang w:eastAsia="en-US"/>
        </w:rPr>
      </w:pPr>
      <w:r>
        <w:rPr>
          <w:sz w:val="28"/>
          <w:lang w:eastAsia="en-US"/>
        </w:rPr>
        <w:t xml:space="preserve">Заказчиком является ПАО «Россети Северо-Запад».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792"/>
        <w:rPr>
          <w:b/>
        </w:rPr>
      </w:pPr>
      <w:r/>
      <w:bookmarkStart w:id="5" w:name="_Toc144739499"/>
      <w:r/>
      <w:bookmarkStart w:id="6" w:name="_Toc158193507"/>
      <w:r>
        <w:rPr>
          <w:b/>
        </w:rPr>
        <w:t xml:space="preserve">Предмет закупки</w:t>
      </w:r>
      <w:bookmarkEnd w:id="5"/>
      <w:r/>
      <w:bookmarkEnd w:id="6"/>
      <w:r>
        <w:rPr>
          <w:b/>
        </w:rPr>
      </w:r>
      <w:r>
        <w:rPr>
          <w:b/>
        </w:rPr>
      </w:r>
    </w:p>
    <w:p>
      <w:pPr>
        <w:pStyle w:val="991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Предметом закупки является приобретение права использования программного обеспечения.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91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Наименование,</w:t>
      </w:r>
      <w:r>
        <w:rPr>
          <w:sz w:val="28"/>
          <w:lang w:eastAsia="en-US"/>
        </w:rPr>
        <w:t xml:space="preserve"> срок действия требуемых лицензий приведены в Приложении № 1.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91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Адрес предоставления лицензий: 196247, Россия, Санкт-Петербург, пл. Конституции, д.3, Лит. А, помещение 16Н.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91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Сроки поставки лицензий: в соответствии с Договором.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91"/>
        <w:numPr>
          <w:ilvl w:val="1"/>
          <w:numId w:val="15"/>
        </w:numPr>
        <w:jc w:val="both"/>
        <w:spacing w:after="60"/>
      </w:pPr>
      <w:r>
        <w:rPr>
          <w:sz w:val="28"/>
          <w:highlight w:val="none"/>
          <w:lang w:eastAsia="en-US"/>
        </w:rPr>
        <w:t xml:space="preserve">Срок действия договора – 36 месяцев или до истечения предельной цены договора. По истечение 36 месяцев, если предельная цена договора не достигнута, с</w:t>
      </w:r>
      <w:r>
        <w:rPr>
          <w:sz w:val="28"/>
          <w:highlight w:val="none"/>
          <w:lang w:eastAsia="en-US"/>
        </w:rPr>
        <w:t xml:space="preserve">рок действия договора автоматически продлевается на период, необходимый для полного исчерпания предельной </w:t>
      </w:r>
      <w:r>
        <w:rPr>
          <w:sz w:val="28"/>
          <w:highlight w:val="none"/>
          <w:lang w:eastAsia="en-US"/>
        </w:rPr>
        <w:t xml:space="preserve">стоимости Договора</w:t>
      </w:r>
      <w:r>
        <w:rPr>
          <w:sz w:val="28"/>
          <w:highlight w:val="none"/>
          <w:lang w:eastAsia="en-US"/>
        </w:rPr>
        <w:t xml:space="preserve">.</w:t>
      </w:r>
      <w:r>
        <w:rPr>
          <w:sz w:val="28"/>
          <w:highlight w:val="none"/>
          <w:lang w:eastAsia="en-US"/>
        </w:rPr>
      </w:r>
      <w:r/>
    </w:p>
    <w:p>
      <w:pPr>
        <w:pStyle w:val="792"/>
        <w:rPr>
          <w:b/>
        </w:rPr>
      </w:pPr>
      <w:r/>
      <w:bookmarkStart w:id="7" w:name="_Toc144739500"/>
      <w:r/>
      <w:bookmarkStart w:id="8" w:name="_Toc158193508"/>
      <w:r>
        <w:rPr>
          <w:b/>
        </w:rPr>
        <w:t xml:space="preserve">Общие треб</w:t>
      </w:r>
      <w:r>
        <w:rPr>
          <w:b/>
        </w:rPr>
        <w:t xml:space="preserve">ования к условиям предоставления права на использование</w:t>
      </w:r>
      <w:bookmarkEnd w:id="7"/>
      <w:r/>
      <w:bookmarkEnd w:id="8"/>
      <w:r>
        <w:rPr>
          <w:b/>
        </w:rPr>
        <w:t xml:space="preserve"> программ</w:t>
      </w:r>
      <w:r>
        <w:rPr>
          <w:b/>
        </w:rPr>
      </w:r>
      <w:r>
        <w:rPr>
          <w:b/>
        </w:rPr>
      </w:r>
    </w:p>
    <w:p>
      <w:pPr>
        <w:ind w:firstLine="709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lang w:eastAsia="en-US"/>
        </w:rPr>
        <w:t xml:space="preserve">3.1. </w:t>
      </w:r>
      <w:r>
        <w:rPr>
          <w:sz w:val="28"/>
          <w:lang w:eastAsia="en-US"/>
        </w:rPr>
        <w:t xml:space="preserve">Права использования Saby, Корпоративный удостоверяющий центр.   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0"/>
        <w:jc w:val="both"/>
      </w:pPr>
      <w:r>
        <w:rPr>
          <w:sz w:val="28"/>
          <w:highlight w:val="none"/>
          <w:lang w:eastAsia="en-US"/>
        </w:rPr>
        <w:t xml:space="preserve">3.1.1. </w:t>
      </w:r>
      <w:r>
        <w:rPr>
          <w:sz w:val="28"/>
          <w:highlight w:val="none"/>
          <w:lang w:eastAsia="en-US"/>
        </w:rPr>
        <w:t xml:space="preserve">Корпоративный удостоверяющий центр является с</w:t>
      </w:r>
      <w:r>
        <w:rPr>
          <w:sz w:val="28"/>
          <w:highlight w:val="none"/>
          <w:lang w:eastAsia="en-US"/>
        </w:rPr>
        <w:t xml:space="preserve">ервисом для самостоятельного выпуска, продления и отзыва сертификатов на сотрудников компании. Выпуск и регистрация в ФНС 5 МЧД.</w:t>
      </w:r>
      <w:r>
        <w:rPr>
          <w:sz w:val="28"/>
          <w:highlight w:val="none"/>
          <w:lang w:eastAsia="en-US"/>
        </w:rPr>
      </w:r>
      <w:r/>
    </w:p>
    <w:p>
      <w:pPr>
        <w:ind w:firstLine="0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Срок действия единичной выпущенной лицензии – 36 месяцев.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0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highlight w:val="none"/>
          <w:lang w:eastAsia="en-US"/>
        </w:rPr>
        <w:t xml:space="preserve">Лицензия приобретается ежегодно в течение срока действия договора.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0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3.1.2. </w:t>
      </w:r>
      <w:r>
        <w:rPr>
          <w:sz w:val="28"/>
          <w:highlight w:val="none"/>
          <w:lang w:eastAsia="en-US"/>
        </w:rPr>
        <w:t xml:space="preserve">Для использования прав, полученных по настоящему договору, Лицензиату выделяется аккаунт (личный кабинет)</w:t>
      </w:r>
      <w:r>
        <w:rPr>
          <w:sz w:val="28"/>
          <w:highlight w:val="none"/>
          <w:lang w:eastAsia="en-US"/>
        </w:rPr>
        <w:t xml:space="preserve">.</w:t>
      </w:r>
      <w:r>
        <w:rPr>
          <w:sz w:val="28"/>
          <w:highlight w:val="none"/>
          <w:lang w:eastAsia="en-US"/>
        </w:rPr>
        <w:t xml:space="preserve"> 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0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3.1.3. </w:t>
      </w:r>
      <w:r>
        <w:rPr>
          <w:sz w:val="28"/>
          <w:highlight w:val="none"/>
          <w:lang w:eastAsia="en-US"/>
        </w:rPr>
        <w:t xml:space="preserve">Лицензиат в соответствии со ст. 428 ГК РФ присоединяется к Регламенту, опубликованному по адресу http://saby.ru/reglament (далее - Регламент) и в рамках договора заключает соглашение о наделении полномочий. 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0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3.1.4. Лицензиат</w:t>
      </w:r>
      <w:r>
        <w:rPr>
          <w:sz w:val="28"/>
          <w:highlight w:val="none"/>
          <w:lang w:eastAsia="en-US"/>
        </w:rPr>
        <w:t xml:space="preserve"> берет на себя обязательство по приему заявлений на выдачу сертификатов ключей проверки электронной подписи от заявителей – физических лиц, являющихся сотрудниками юридического лица, а также по вручению сертификатов ключей проверки электронных подп</w:t>
      </w:r>
      <w:r>
        <w:rPr>
          <w:sz w:val="28"/>
          <w:highlight w:val="none"/>
          <w:lang w:eastAsia="en-US"/>
        </w:rPr>
        <w:t xml:space="preserve">исей от имени Лицензиара.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0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lang w:eastAsia="en-US"/>
        </w:rPr>
        <w:tab/>
        <w:t xml:space="preserve">3.2. </w:t>
      </w:r>
      <w:r>
        <w:rPr>
          <w:sz w:val="28"/>
          <w:lang w:eastAsia="en-US"/>
        </w:rPr>
        <w:t xml:space="preserve">Права использования Saby</w:t>
      </w:r>
      <w:r>
        <w:rPr>
          <w:sz w:val="28"/>
          <w:lang w:eastAsia="en-US"/>
        </w:rPr>
        <w:t xml:space="preserve"> – электронные подписи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0"/>
        <w:jc w:val="both"/>
      </w:pPr>
      <w:r>
        <w:rPr>
          <w:sz w:val="28"/>
          <w:highlight w:val="none"/>
          <w:lang w:eastAsia="en-US"/>
        </w:rPr>
        <w:t xml:space="preserve">3.2.1. </w:t>
      </w:r>
      <w:r>
        <w:rPr>
          <w:sz w:val="28"/>
          <w:highlight w:val="none"/>
          <w:lang w:eastAsia="en-US"/>
        </w:rPr>
        <w:t xml:space="preserve">Электронная подпись представителя юридического лица для работы на nalog.ru, Росреестре, Федресурсе, Госуслугах, ПИК ЕАСУЗ и других информационных системах.</w:t>
      </w:r>
      <w:r>
        <w:rPr>
          <w:sz w:val="28"/>
          <w:highlight w:val="none"/>
          <w:lang w:eastAsia="en-US"/>
        </w:rPr>
      </w:r>
      <w:r/>
    </w:p>
    <w:p>
      <w:pPr>
        <w:ind w:firstLine="0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Срок действия лицензии – 12 месяцев.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0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3.2.2. Количество выпущенных в рамках действия договора ЭП определяется потребностью юридического лица и является переменной величиной. </w:t>
      </w:r>
      <w:r>
        <w:rPr>
          <w:sz w:val="28"/>
          <w:highlight w:val="none"/>
          <w:lang w:eastAsia="en-US"/>
        </w:rPr>
        <w:t xml:space="preserve">Переменный платеж, рассчитываемый в соответствии с количеством зарегистрированных сотрудников в Saby с подписью на ключевом носителе для собственных нужд Лицензиата по ценам, указанным в прайсе, производится ежемесячно.   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708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3.3. </w:t>
      </w:r>
      <w:r>
        <w:rPr>
          <w:sz w:val="28"/>
          <w:highlight w:val="none"/>
          <w:lang w:eastAsia="en-US"/>
        </w:rPr>
        <w:t xml:space="preserve"> </w:t>
      </w:r>
      <w:r>
        <w:rPr>
          <w:sz w:val="28"/>
          <w:highlight w:val="none"/>
          <w:lang w:eastAsia="en-US"/>
        </w:rPr>
        <w:t xml:space="preserve">Право на </w:t>
      </w:r>
      <w:r>
        <w:rPr>
          <w:sz w:val="28"/>
          <w:highlight w:val="none"/>
          <w:lang w:eastAsia="en-US"/>
        </w:rPr>
        <w:t xml:space="preserve">использование средств  криптографической защиты информации </w:t>
      </w:r>
      <w:r>
        <w:rPr>
          <w:sz w:val="28"/>
          <w:highlight w:val="none"/>
          <w:lang w:eastAsia="en-US"/>
        </w:rPr>
        <w:t xml:space="preserve">КриптоПро </w:t>
      </w:r>
      <w:r>
        <w:rPr>
          <w:sz w:val="28"/>
          <w:lang w:eastAsia="en-US"/>
        </w:rPr>
        <w:t xml:space="preserve">CSP </w:t>
      </w:r>
      <w:r>
        <w:rPr>
          <w:sz w:val="28"/>
          <w:highlight w:val="none"/>
          <w:lang w:eastAsia="en-US"/>
        </w:rPr>
        <w:t xml:space="preserve">5.0 (бессрочная лицензия). 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708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3.3.1. Ш</w:t>
      </w:r>
      <w:r>
        <w:rPr>
          <w:sz w:val="28"/>
          <w:highlight w:val="none"/>
          <w:lang w:eastAsia="en-US"/>
        </w:rPr>
        <w:t xml:space="preserve">ифровальные (криптографические) средства (СКЗИ), используемые для реализации хотя бы одной из следующих функций - создание электронной подписи, проверка электронной подписи, создание ключа электронной подписи и ключа проверки, имеющие подтверждение соответ</w:t>
      </w:r>
      <w:r>
        <w:rPr>
          <w:sz w:val="28"/>
          <w:highlight w:val="none"/>
          <w:lang w:eastAsia="en-US"/>
        </w:rPr>
        <w:t xml:space="preserve">ствия требованиям, установленным Федеральным законом от 06.04.2011 № 63-ФЗ «Об электронной подписи» СКЗИ и средства ЭП могут использоваться для защиты конфиденциальной информации, не содержащей сведений, составляющих государственную тайну.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708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Срок действия лицензии – бессрочно.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708"/>
        <w:jc w:val="both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  <w:t xml:space="preserve">3.3.2.  Количество предоставленного право на использование ПО К</w:t>
      </w:r>
      <w:r>
        <w:rPr>
          <w:sz w:val="28"/>
          <w:highlight w:val="none"/>
          <w:lang w:eastAsia="en-US"/>
        </w:rPr>
        <w:t xml:space="preserve">риптоПро CSP 5.0</w:t>
      </w:r>
      <w:r>
        <w:rPr>
          <w:sz w:val="28"/>
          <w:highlight w:val="none"/>
          <w:lang w:eastAsia="en-US"/>
        </w:rPr>
        <w:t xml:space="preserve"> </w:t>
      </w:r>
      <w:r>
        <w:rPr>
          <w:sz w:val="28"/>
          <w:highlight w:val="none"/>
          <w:lang w:eastAsia="en-US"/>
        </w:rPr>
        <w:t xml:space="preserve">определяется потребностью юридического лица. Платеж п</w:t>
      </w:r>
      <w:r>
        <w:rPr>
          <w:sz w:val="28"/>
          <w:highlight w:val="none"/>
          <w:lang w:eastAsia="en-US"/>
        </w:rPr>
        <w:t xml:space="preserve">роизводится ежемесячно. 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rPr>
          <w:sz w:val="28"/>
          <w:lang w:eastAsia="en-US"/>
        </w:rPr>
        <w:sectPr>
          <w:headerReference w:type="default" r:id="rId9"/>
          <w:footerReference w:type="default" r:id="rId10"/>
          <w:footnotePr/>
          <w:endnotePr/>
          <w:type w:val="nextPage"/>
          <w:pgSz w:w="11906" w:h="16838" w:orient="portrait"/>
          <w:pgMar w:top="1134" w:right="850" w:bottom="1134" w:left="1701" w:header="284" w:footer="129" w:gutter="0"/>
          <w:cols w:num="1" w:sep="0" w:space="708" w:equalWidth="1"/>
          <w:docGrid w:linePitch="360"/>
          <w:titlePg/>
        </w:sect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792"/>
        <w:numPr>
          <w:ilvl w:val="0"/>
          <w:numId w:val="0"/>
        </w:numPr>
      </w:pPr>
      <w:r/>
      <w:bookmarkStart w:id="9" w:name="_Toc144739501"/>
      <w:r/>
      <w:bookmarkStart w:id="10" w:name="_Toc158193509"/>
      <w:r>
        <w:t xml:space="preserve">Приложение 1 к Техническому заданию. Спецификация приобретаемых прав использования программ для ЭВМ</w:t>
      </w:r>
      <w:bookmarkEnd w:id="9"/>
      <w:r/>
      <w:bookmarkEnd w:id="10"/>
      <w:r/>
      <w:r/>
    </w:p>
    <w:p>
      <w:r/>
      <w:r/>
    </w:p>
    <w:tbl>
      <w:tblPr>
        <w:tblW w:w="9640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5812"/>
      </w:tblGrid>
      <w:tr>
        <w:tblPrEx/>
        <w:trPr/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№</w:t>
            </w:r>
            <w:r>
              <w:rPr>
                <w:b/>
                <w:bCs/>
                <w:sz w:val="21"/>
                <w:szCs w:val="21"/>
              </w:rPr>
            </w:r>
            <w:r>
              <w:rPr>
                <w:b/>
                <w:bCs/>
                <w:sz w:val="21"/>
                <w:szCs w:val="21"/>
              </w:rPr>
            </w:r>
          </w:p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п</w:t>
            </w:r>
            <w:r>
              <w:rPr>
                <w:b/>
                <w:bCs/>
                <w:sz w:val="21"/>
                <w:szCs w:val="21"/>
              </w:rPr>
              <w:t xml:space="preserve">/п</w:t>
            </w:r>
            <w:r>
              <w:rPr>
                <w:b/>
                <w:bCs/>
                <w:sz w:val="21"/>
                <w:szCs w:val="21"/>
              </w:rPr>
            </w:r>
            <w:r>
              <w:rPr>
                <w:b/>
                <w:bCs/>
                <w:sz w:val="21"/>
                <w:szCs w:val="2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Параметры требований к услугам</w:t>
            </w:r>
            <w:r>
              <w:rPr>
                <w:b/>
                <w:bCs/>
                <w:sz w:val="21"/>
                <w:szCs w:val="21"/>
              </w:rPr>
            </w:r>
            <w:r>
              <w:rPr>
                <w:b/>
                <w:bCs/>
                <w:sz w:val="21"/>
                <w:szCs w:val="21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Конкретные требования к услугам</w:t>
            </w:r>
            <w:r>
              <w:rPr>
                <w:b/>
                <w:bCs/>
                <w:sz w:val="21"/>
                <w:szCs w:val="21"/>
              </w:rPr>
            </w:r>
            <w:r>
              <w:rPr>
                <w:b/>
                <w:bCs/>
                <w:sz w:val="21"/>
                <w:szCs w:val="21"/>
              </w:rPr>
            </w:r>
          </w:p>
        </w:tc>
      </w:tr>
      <w:tr>
        <w:tblPrEx/>
        <w:trPr>
          <w:trHeight w:val="4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pStyle w:val="991"/>
              <w:numPr>
                <w:ilvl w:val="0"/>
                <w:numId w:val="3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Программное обеспечение (Программа 1)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jc w:val="both"/>
              <w:tabs>
                <w:tab w:val="left" w:pos="284" w:leader="none"/>
              </w:tabs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Saby</w:t>
            </w:r>
            <w:r>
              <w:rPr>
                <w:b/>
                <w:bCs/>
                <w:sz w:val="21"/>
                <w:szCs w:val="21"/>
              </w:rPr>
            </w:r>
            <w:r>
              <w:rPr>
                <w:b/>
                <w:bCs/>
                <w:sz w:val="21"/>
                <w:szCs w:val="21"/>
              </w:rPr>
            </w:r>
          </w:p>
          <w:p>
            <w:pPr>
              <w:jc w:val="both"/>
              <w:tabs>
                <w:tab w:val="left" w:pos="284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Исключительные  имущественные  права  принадлежат  </w:t>
            </w:r>
            <w:r>
              <w:br/>
            </w:r>
            <w:r>
              <w:rPr>
                <w:sz w:val="21"/>
                <w:szCs w:val="21"/>
              </w:rPr>
              <w:t xml:space="preserve">ООО  «Компания «Тензор» (свидетельство об официальной регистрации программы для ЭВМ № </w:t>
            </w:r>
            <w:r>
              <w:rPr>
                <w:sz w:val="21"/>
                <w:szCs w:val="21"/>
              </w:rPr>
              <w:t xml:space="preserve">2025619815</w:t>
            </w:r>
            <w:r>
              <w:rPr>
                <w:sz w:val="21"/>
                <w:szCs w:val="21"/>
              </w:rPr>
              <w:t xml:space="preserve"> от </w:t>
            </w:r>
            <w:r>
              <w:rPr>
                <w:sz w:val="21"/>
                <w:szCs w:val="21"/>
              </w:rPr>
              <w:t xml:space="preserve">18.04.2025</w:t>
            </w:r>
            <w:bookmarkStart w:id="0" w:name="undefined"/>
            <w:r/>
            <w:bookmarkEnd w:id="0"/>
            <w:r>
              <w:rPr>
                <w:sz w:val="21"/>
                <w:szCs w:val="21"/>
              </w:rPr>
              <w:t xml:space="preserve">).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jc w:val="both"/>
              <w:tabs>
                <w:tab w:val="left" w:pos="284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Регистрационный номер программного обеспечения в Едином реестре российских программ для электронных вычислительных машин и баз данных: 332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jc w:val="both"/>
              <w:tabs>
                <w:tab w:val="left" w:pos="284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Участник закупки может быть любое лицо, наделенное правами распространения программного обеспечения на территории Российской Федерации, то есть иметь лицензионный договор с правообладателем программного обеспечения.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14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pStyle w:val="991"/>
              <w:numPr>
                <w:ilvl w:val="0"/>
                <w:numId w:val="3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Программное обеспечение (Программа 2)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vMerge w:val="restart"/>
            <w:textDirection w:val="lrTb"/>
            <w:noWrap w:val="false"/>
          </w:tcPr>
          <w:p>
            <w:pPr>
              <w:jc w:val="both"/>
              <w:spacing w:before="0" w:after="0"/>
              <w:rPr>
                <w:b/>
                <w:bCs/>
                <w:sz w:val="21"/>
                <w:szCs w:val="21"/>
                <w:highlight w:val="none"/>
                <w:lang w:val="en-US" w:eastAsia="en-US"/>
                <w14:ligatures w14:val="none"/>
              </w:rPr>
            </w:pPr>
            <w:r>
              <w:rPr>
                <w:b/>
                <w:bCs/>
                <w:sz w:val="21"/>
                <w:szCs w:val="21"/>
                <w:highlight w:val="none"/>
                <w:lang w:val="en-US"/>
              </w:rPr>
            </w:r>
            <w:r>
              <w:rPr>
                <w:b/>
                <w:bCs/>
                <w:sz w:val="21"/>
                <w:szCs w:val="21"/>
                <w:highlight w:val="none"/>
                <w:lang w:val="en-US" w:eastAsia="en-US"/>
              </w:rPr>
              <w:t xml:space="preserve">КриптоПро </w:t>
            </w:r>
            <w:r>
              <w:rPr>
                <w:b/>
                <w:bCs/>
                <w:sz w:val="21"/>
                <w:szCs w:val="21"/>
                <w:highlight w:val="none"/>
                <w:lang w:val="en-US" w:eastAsia="en-US"/>
              </w:rPr>
              <w:t xml:space="preserve">CSP </w:t>
            </w:r>
            <w:r>
              <w:rPr>
                <w:b/>
                <w:bCs/>
                <w:sz w:val="21"/>
                <w:szCs w:val="21"/>
                <w:highlight w:val="none"/>
                <w:lang w:val="en-US" w:eastAsia="en-US"/>
              </w:rPr>
              <w:t xml:space="preserve">5.0</w:t>
            </w:r>
            <w:r>
              <w:rPr>
                <w:b/>
                <w:bCs/>
                <w:sz w:val="21"/>
                <w:szCs w:val="21"/>
                <w:highlight w:val="none"/>
                <w14:ligatures w14:val="none"/>
              </w:rPr>
            </w:r>
            <w:r>
              <w:rPr>
                <w:b/>
                <w:bCs/>
                <w:sz w:val="21"/>
                <w:szCs w:val="21"/>
                <w:highlight w:val="none"/>
                <w:lang w:val="en-US" w:eastAsia="en-US"/>
                <w14:ligatures w14:val="none"/>
              </w:rPr>
            </w:r>
          </w:p>
          <w:p>
            <w:pPr>
              <w:jc w:val="both"/>
              <w:tabs>
                <w:tab w:val="left" w:pos="284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Исключительные  имущественные  права  принадлежат  </w:t>
            </w:r>
            <w:r>
              <w:br/>
            </w:r>
            <w:r>
              <w:rPr>
                <w:sz w:val="21"/>
                <w:szCs w:val="21"/>
              </w:rPr>
              <w:t xml:space="preserve">ООО  «КРИПТО-ПРО» (свидетельство об официальной регистрации программы д</w:t>
            </w:r>
            <w:r>
              <w:rPr>
                <w:sz w:val="21"/>
                <w:szCs w:val="21"/>
              </w:rPr>
              <w:t xml:space="preserve">ля ЭВМ </w:t>
            </w:r>
            <w:r>
              <w:rPr>
                <w:sz w:val="21"/>
                <w:szCs w:val="21"/>
              </w:rPr>
              <w:t xml:space="preserve">№ 2017613509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от </w:t>
            </w:r>
            <w:r>
              <w:rPr>
                <w:sz w:val="21"/>
                <w:szCs w:val="21"/>
              </w:rPr>
              <w:t xml:space="preserve">21.03.2017</w:t>
            </w:r>
            <w:r>
              <w:rPr>
                <w:sz w:val="21"/>
                <w:szCs w:val="21"/>
              </w:rPr>
              <w:t xml:space="preserve">).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jc w:val="both"/>
              <w:tabs>
                <w:tab w:val="left" w:pos="284" w:leader="none"/>
              </w:tabs>
              <w:rPr>
                <w:sz w:val="21"/>
                <w:szCs w:val="21"/>
                <w:highlight w:val="none"/>
              </w:rPr>
            </w:pPr>
            <w:r>
              <w:rPr>
                <w:b/>
                <w:bCs/>
                <w:sz w:val="21"/>
                <w:szCs w:val="21"/>
              </w:rPr>
            </w:r>
            <w:r>
              <w:rPr>
                <w:sz w:val="21"/>
                <w:szCs w:val="21"/>
              </w:rPr>
              <w:t xml:space="preserve">Регистрационный номер программного обеспечения в Едином реестре российских программ для электронных вычислительных машин и баз данных</w:t>
            </w:r>
            <w:r>
              <w:rPr>
                <w:sz w:val="21"/>
                <w:szCs w:val="21"/>
              </w:rPr>
              <w:t xml:space="preserve">: 4332</w:t>
            </w:r>
            <w:r>
              <w:rPr>
                <w:b/>
                <w:bCs/>
                <w:sz w:val="21"/>
                <w:szCs w:val="21"/>
              </w:rPr>
            </w:r>
            <w:r>
              <w:rPr>
                <w:sz w:val="21"/>
                <w:szCs w:val="21"/>
                <w:highlight w:val="none"/>
              </w:rPr>
            </w:r>
          </w:p>
          <w:p>
            <w:pPr>
              <w:jc w:val="both"/>
              <w:tabs>
                <w:tab w:val="left" w:pos="284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Участник закупки может быть любое лицо, наделенное правами распространения программного обеспечения на территории Российской Федерации, то есть иметь лицензионный договор с правообладателем программного обеспечения.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3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pStyle w:val="991"/>
              <w:numPr>
                <w:ilvl w:val="0"/>
                <w:numId w:val="3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Объем (конфигурация)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pStyle w:val="991"/>
              <w:numPr>
                <w:ilvl w:val="0"/>
                <w:numId w:val="30"/>
              </w:numPr>
              <w:tabs>
                <w:tab w:val="left" w:pos="284" w:leader="none"/>
              </w:tabs>
              <w:rPr>
                <w:sz w:val="21"/>
                <w:szCs w:val="21"/>
              </w:rPr>
            </w:pPr>
            <w:r/>
            <w:sdt>
              <w:sdtPr>
                <w:alias w:val="{% ПолучитьЛицензии(&lt;Документ.Номенклатура&gt;) %}"/>
                <w15:appearance w15:val="boundingBox"/>
                <w:label w:val="0"/>
                <w:lock w:val="unlocked"/>
                <w:tag w:val="tensor_te_exp:7b2520d09fd0bed0bbd183d187d0b8d182d18cd09bd0b8d186d0b5d0bdd0b7d0b8d0b8283cd094d0bed0bad183d0bcd0b5d0bdd1822ed09dd0bed0bcd0b5d0bdd0bad0bbd0b0d182d183d180d0b03e2920257d"/>
                <w:rPr/>
              </w:sdtPr>
              <w:sdtContent>
                <w:r>
                  <w:rPr>
                    <w:sz w:val="21"/>
                    <w:szCs w:val="21"/>
                    <w:lang w:val="en-US"/>
                  </w:rPr>
                  <w:t xml:space="preserve">Права использования Saby, Корпоративный удостоверяющий центр – 1 шт.</w:t>
                </w:r>
              </w:sdtContent>
            </w:sdt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991"/>
              <w:numPr>
                <w:ilvl w:val="0"/>
                <w:numId w:val="30"/>
              </w:numPr>
              <w:tabs>
                <w:tab w:val="left" w:pos="284" w:leader="none"/>
              </w:tabs>
              <w:rPr>
                <w:sz w:val="21"/>
                <w:szCs w:val="21"/>
              </w:rPr>
            </w:pPr>
            <w:r/>
            <w:sdt>
              <w:sdtPr>
                <w:alias w:val=""/>
                <w15:appearance w15:val="boundingBox"/>
                <w:label w:val="0"/>
                <w:lock w:val="unlocked"/>
                <w:tag w:val="tensor_te_linefeed:"/>
                <w:rPr/>
              </w:sdtPr>
              <w:sdtContent>
                <w:r>
                  <w:rPr>
                    <w:sz w:val="21"/>
                    <w:szCs w:val="21"/>
                    <w:lang w:val="en-US"/>
                  </w:rPr>
                  <w:t xml:space="preserve">Права использования Saby, </w:t>
                </w:r>
                <w:r>
                  <w:rPr>
                    <w:sz w:val="21"/>
                    <w:szCs w:val="21"/>
                  </w:rPr>
                  <w:t xml:space="preserve">ЭП Оптимальная</w:t>
                </w:r>
                <w:r/>
                <w:r>
                  <w:rPr>
                    <w:sz w:val="21"/>
                    <w:szCs w:val="21"/>
                    <w:lang w:val="en-US"/>
                  </w:rPr>
                  <w:t xml:space="preserve"> для КУЦ (от 100) – 1 шт.</w:t>
                </w:r>
              </w:sdtContent>
            </w:sdt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991"/>
              <w:numPr>
                <w:ilvl w:val="0"/>
                <w:numId w:val="30"/>
              </w:numPr>
              <w:tabs>
                <w:tab w:val="left" w:pos="284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 w:eastAsia="en-US"/>
              </w:rPr>
              <w:t xml:space="preserve">Права использования </w:t>
            </w:r>
            <w:r>
              <w:rPr>
                <w:sz w:val="21"/>
                <w:szCs w:val="21"/>
                <w:lang w:val="en-US" w:eastAsia="en-US"/>
              </w:rPr>
              <w:t xml:space="preserve">КриптоПро </w:t>
            </w:r>
            <w:r>
              <w:rPr>
                <w:sz w:val="21"/>
                <w:szCs w:val="21"/>
                <w:lang w:val="en-US" w:eastAsia="en-US"/>
              </w:rPr>
              <w:t xml:space="preserve">CSP </w:t>
            </w:r>
            <w:r>
              <w:rPr>
                <w:sz w:val="21"/>
                <w:szCs w:val="21"/>
                <w:lang w:val="en-US" w:eastAsia="en-US"/>
              </w:rPr>
              <w:t xml:space="preserve">5.0</w:t>
            </w:r>
            <w:r>
              <w:rPr>
                <w:sz w:val="21"/>
                <w:szCs w:val="21"/>
                <w:highlight w:val="none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pStyle w:val="991"/>
              <w:numPr>
                <w:ilvl w:val="0"/>
                <w:numId w:val="3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Срок оказания услуг (предоставления лицензий)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 рабочих дня от заключения контракта.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2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pStyle w:val="991"/>
              <w:numPr>
                <w:ilvl w:val="0"/>
                <w:numId w:val="3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 оказания услуг </w:t>
            </w:r>
            <w:r>
              <w:rPr>
                <w:sz w:val="21"/>
                <w:szCs w:val="21"/>
              </w:rPr>
              <w:t xml:space="preserve">(предоставления лицензий)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rPr>
                <w:bCs/>
                <w:sz w:val="21"/>
                <w:szCs w:val="21"/>
                <w:vertAlign w:val="superscript"/>
              </w:rPr>
            </w:pPr>
            <w:r>
              <w:rPr>
                <w:bCs/>
                <w:sz w:val="21"/>
                <w:szCs w:val="21"/>
                <w:vertAlign w:val="superscript"/>
              </w:rPr>
            </w:r>
            <w:r>
              <w:rPr>
                <w:sz w:val="21"/>
                <w:szCs w:val="21"/>
                <w:lang w:eastAsia="en-US"/>
              </w:rPr>
              <w:t xml:space="preserve">ПАО «Россети Северо-Запад»</w:t>
            </w:r>
            <w:r>
              <w:rPr>
                <w:bCs/>
                <w:sz w:val="21"/>
                <w:szCs w:val="21"/>
                <w:vertAlign w:val="superscript"/>
              </w:rPr>
            </w:r>
            <w:r>
              <w:rPr>
                <w:bCs/>
                <w:sz w:val="21"/>
                <w:szCs w:val="21"/>
                <w:vertAlign w:val="superscript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0" w:type="dxa"/>
            <w:textDirection w:val="lrTb"/>
            <w:noWrap w:val="false"/>
          </w:tcPr>
          <w:p>
            <w:pPr>
              <w:rPr>
                <w:sz w:val="21"/>
                <w:szCs w:val="21"/>
              </w:rPr>
              <w:outlineLvl w:val="0"/>
            </w:pPr>
            <w:r>
              <w:rPr>
                <w:b/>
                <w:bCs/>
              </w:rPr>
              <w:t xml:space="preserve">Функциональные характеристики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pStyle w:val="991"/>
              <w:numPr>
                <w:ilvl w:val="0"/>
                <w:numId w:val="3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sz w:val="21"/>
                <w:szCs w:val="21"/>
                <w:highlight w:val="yellow"/>
              </w:rPr>
            </w:pPr>
            <w:r/>
            <w:sdt>
              <w:sdtPr>
                <w:alias w:val="{%&lt;Документ.Номенклатура.Наименование&gt;%}"/>
                <w15:appearance w15:val="boundingBox"/>
                <w:label w:val="0"/>
                <w:lock w:val="unlocked"/>
                <w:tag w:val="tensor_te_exp:7b253cd094d0bed0bad183d0bcd0b5d0bdd1822ed09dd0bed0bcd0b5d0bdd0bad0bbd0b0d182d183d180d0b02ed09dd0b0d0b8d0bcd0b5d0bdd0bed0b2d0b0d0bdd0b8d0b53e257d"/>
                <w:rPr/>
              </w:sdtPr>
              <w:sdtContent>
                <w:r>
                  <w:rPr>
                    <w:sz w:val="21"/>
                    <w:szCs w:val="21"/>
                  </w:rPr>
                  <w:t xml:space="preserve">Права использования Saby, Корпоративный удостоверяющий центр</w:t>
                </w:r>
              </w:sdtContent>
            </w:sdt>
            <w:r/>
            <w:sdt>
              <w:sdtPr>
                <w:alias w:val="{%фильтр: &lt;Документ.Номенклатура.Тип&gt; == ‘Неисключительные права’ || &lt;Документ.Номенклатура.Тип&gt; == ‘Услуги и работы’%}"/>
                <w15:appearance w15:val="boundingBox"/>
                <w:label w:val="0"/>
                <w:lock w:val="unlocked"/>
                <w:showingPlcHdr w:val="true"/>
                <w:tag w:val="tensor_te_exp:7b25d184d0b8d0bbd18cd182d1803a203cd094d0bed0bad183d0bcd0b5d0bdd1822ed09dd0bed0bcd0b5d0bdd0bad0bbd0b0d182d183d180d0b02ed0a2d0b8d0bf3e203d3d20e28098d09dd0b5d0b8d181d0bad0bbd18ed187d0b8d182d0b5d0bbd18cd0bdd18bd0b520d0bfd180d0b0d0b2d0b0e28099207c7c203cd094d0bed0bad183d0bcd0b5d0bdd1822ed09dd0bed0bcd0b5d0bdd0bad0bbd0b0d182d183d180d0b02ed0a2d0b8d0bf3e203d3d20e28098d0a3d181d0bbd183d0b3d0b820d0b820d180d0b0d0b1d0bed182d18be28099257d"/>
                <w:rPr/>
              </w:sdtPr>
              <w:sdtContent>
                <w:r>
                  <w:t xml:space="preserve">    </w:t>
                </w:r>
              </w:sdtContent>
            </w:sdt>
            <w:r>
              <w:rPr>
                <w:sz w:val="21"/>
                <w:szCs w:val="21"/>
                <w:highlight w:val="yellow"/>
              </w:rPr>
            </w:r>
            <w:r>
              <w:rPr>
                <w:sz w:val="21"/>
                <w:szCs w:val="21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rPr>
                <w:sz w:val="21"/>
                <w:szCs w:val="21"/>
              </w:rPr>
              <w:outlineLvl w:val="0"/>
            </w:pPr>
            <w:r/>
            <w:sdt>
              <w:sdtPr>
                <w:alias w:val="{%ПолучитьОписаниеНом(&lt;Документ.Номенклатура.Описание&gt;, &lt;Документ.Номенклатура.Тип&gt;,  &lt;Документ.Номенклатура.Категория&gt;)%}"/>
                <w15:appearance w15:val="boundingBox"/>
                <w:label w:val="0"/>
                <w:lock w:val="unlocked"/>
                <w:tag w:val="tensor_te_exp:7b25d09fd0bed0bbd183d187d0b8d182d18cd09ed0bfd0b8d181d0b0d0bdd0b8d0b5d09dd0bed0bc283cd094d0bed0bad183d0bcd0b5d0bdd1822ed09dd0bed0bcd0b5d0bdd0bad0bbd0b0d182d183d180d0b02ed09ed0bfd0b8d181d0b0d0bdd0b8d0b53e2c203cd094d0bed0bad183d0bcd0b5d0bdd1822ed09dd0bed0bcd0b5d0bdd0bad0bbd0b0d182d183d180d0b02ed0a2d0b8d0bf3e2c20203cd094d0bed0bad183d0bcd0b5d0bdd1822ed09dd0bed0bcd0b5d0bdd0bad0bbd0b0d182d183d180d0b02ed09ad0b0d182d0b5d0b3d0bed180d0b8d18f3e29257d"/>
                <w:rPr/>
              </w:sdtPr>
              <w:sdtContent>
                <w:r>
                  <w:rPr>
                    <w:sz w:val="21"/>
                    <w:szCs w:val="21"/>
                  </w:rPr>
                  <w:t xml:space="preserve">Сервис для самостоятельного выпуска, продления и отзыва сертификатов на своих сотрудников. Выпуск и регистрация в ФНС 5 МЧД.</w:t>
                </w:r>
              </w:sdtContent>
            </w:sdt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rPr>
                <w:sz w:val="21"/>
                <w:szCs w:val="21"/>
              </w:rPr>
              <w:outlineLvl w:val="0"/>
            </w:pPr>
            <w:r/>
            <w:sdt>
              <w:sdtPr>
                <w:alias w:val=""/>
                <w15:appearance w15:val="boundingBox"/>
                <w:label w:val="0"/>
                <w:lock w:val="unlocked"/>
                <w:tag w:val="tensor_te_linefeed:"/>
                <w:rPr/>
              </w:sdtPr>
              <w:sdtContent>
                <w:r>
                  <w:rPr>
                    <w:sz w:val="21"/>
                    <w:szCs w:val="21"/>
                  </w:rPr>
                  <w:t xml:space="preserve">Срок действия лицензии - 36 месяцев.</w:t>
                </w:r>
              </w:sdtContent>
            </w:sdt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9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pStyle w:val="991"/>
              <w:numPr>
                <w:ilvl w:val="0"/>
                <w:numId w:val="3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sz w:val="21"/>
                <w:szCs w:val="21"/>
                <w:highlight w:val="yellow"/>
              </w:rPr>
            </w:pPr>
            <w:r>
              <w:rPr>
                <w:sz w:val="21"/>
                <w:szCs w:val="21"/>
              </w:rPr>
              <w:t xml:space="preserve">Права использования Saby, ЭП Оптимальная для КУЦ (от 100)</w:t>
            </w:r>
            <w:sdt>
              <w:sdtPr>
                <w:alias w:val="{%фильтр: &lt;Документ.Номенклатура.Тип&gt; == ‘Неисключительные права’ || &lt;Документ.Номенклатура.Тип&gt; == ‘Услуги и работы’%}"/>
                <w15:appearance w15:val="boundingBox"/>
                <w:label w:val="0"/>
                <w:lock w:val="unlocked"/>
                <w:showingPlcHdr w:val="true"/>
                <w:tag w:val="tensor_te_exp:7b25d184d0b8d0bbd18cd182d1803a203cd094d0bed0bad183d0bcd0b5d0bdd1822ed09dd0bed0bcd0b5d0bdd0bad0bbd0b0d182d183d180d0b02ed0a2d0b8d0bf3e203d3d20e28098d09dd0b5d0b8d181d0bad0bbd18ed187d0b8d182d0b5d0bbd18cd0bdd18bd0b520d0bfd180d0b0d0b2d0b0e28099207c7c203cd094d0bed0bad183d0bcd0b5d0bdd1822ed09dd0bed0bcd0b5d0bdd0bad0bbd0b0d182d183d180d0b02ed0a2d0b8d0bf3e203d3d20e28098d0a3d181d0bbd183d0b3d0b820d0b820d180d0b0d0b1d0bed182d18be28099257d"/>
                <w:rPr/>
              </w:sdtPr>
              <w:sdtContent>
                <w:r>
                  <w:t xml:space="preserve">    </w:t>
                </w:r>
              </w:sdtContent>
            </w:sdt>
            <w:r>
              <w:rPr>
                <w:sz w:val="21"/>
                <w:szCs w:val="21"/>
                <w:highlight w:val="yellow"/>
              </w:rPr>
            </w:r>
            <w:r>
              <w:rPr>
                <w:sz w:val="21"/>
                <w:szCs w:val="21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rPr>
                <w:sz w:val="21"/>
                <w:szCs w:val="21"/>
              </w:rPr>
              <w:outlineLvl w:val="0"/>
            </w:pPr>
            <w:r>
              <w:rPr>
                <w:sz w:val="21"/>
                <w:szCs w:val="21"/>
              </w:rPr>
              <w:t xml:space="preserve">ЭП представителя ЮЛ для работы на nalog.ru, Росреестре, Федресурсе, Госуслугах, ПИК ЕАСУЗ и других информационных системах.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rPr>
                <w:sz w:val="21"/>
                <w:szCs w:val="21"/>
              </w:rPr>
              <w:outlineLvl w:val="0"/>
            </w:pPr>
            <w:r>
              <w:rPr>
                <w:sz w:val="21"/>
                <w:szCs w:val="21"/>
              </w:rPr>
              <w:t xml:space="preserve">Срок действия лицензии - 12 месяцев.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5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Merge w:val="restart"/>
            <w:textDirection w:val="lrTb"/>
            <w:noWrap w:val="false"/>
          </w:tcPr>
          <w:p>
            <w:pPr>
              <w:pStyle w:val="991"/>
              <w:numPr>
                <w:ilvl w:val="0"/>
                <w:numId w:val="3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t xml:space="preserve">Права использования </w:t>
            </w:r>
            <w:r>
              <w:rPr>
                <w:sz w:val="21"/>
                <w:szCs w:val="21"/>
                <w:lang w:val="en-US" w:eastAsia="en-US"/>
              </w:rPr>
              <w:t xml:space="preserve">КриптоПро </w:t>
            </w:r>
            <w:r>
              <w:rPr>
                <w:sz w:val="21"/>
                <w:szCs w:val="21"/>
                <w:lang w:val="en-US" w:eastAsia="en-US"/>
              </w:rPr>
              <w:t xml:space="preserve">CSP </w:t>
            </w:r>
            <w:r>
              <w:rPr>
                <w:sz w:val="21"/>
                <w:szCs w:val="21"/>
                <w:lang w:val="en-US" w:eastAsia="en-US"/>
              </w:rPr>
              <w:t xml:space="preserve">5.0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vMerge w:val="restart"/>
            <w:textDirection w:val="lrTb"/>
            <w:noWrap w:val="false"/>
          </w:tcPr>
          <w:p>
            <w:pPr>
              <w:rPr>
                <w:sz w:val="21"/>
                <w:szCs w:val="21"/>
                <w:highlight w:val="none"/>
                <w14:ligatures w14:val="none"/>
              </w:rPr>
              <w:outlineLvl w:val="0"/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t xml:space="preserve">Средства криптографической защиты информации.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  <w:highlight w:val="none"/>
                <w14:ligatures w14:val="none"/>
              </w:rPr>
            </w:r>
          </w:p>
          <w:p>
            <w:pPr>
              <w:rPr>
                <w:sz w:val="21"/>
                <w:szCs w:val="21"/>
              </w:rPr>
              <w:outlineLvl w:val="0"/>
            </w:pPr>
            <w:r>
              <w:rPr>
                <w:sz w:val="21"/>
                <w:szCs w:val="21"/>
              </w:rPr>
              <w:t xml:space="preserve">Срок действия лицензии – бессрочно.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jc w:val="both"/>
        <w:spacing w:before="120" w:after="60"/>
        <w:rPr>
          <w:lang w:eastAsia="en-US"/>
        </w:rPr>
      </w:pPr>
      <w:r>
        <w:rPr>
          <w:lang w:eastAsia="en-US"/>
        </w:rPr>
        <w:t xml:space="preserve">Предложение товара эквивалента не рассматривается.</w:t>
      </w:r>
      <w:r>
        <w:rPr>
          <w:lang w:eastAsia="en-US"/>
        </w:rPr>
      </w:r>
      <w:r>
        <w:rPr>
          <w:lang w:eastAsia="en-US"/>
        </w:rPr>
      </w:r>
    </w:p>
    <w:p>
      <w:pPr>
        <w:jc w:val="both"/>
        <w:spacing w:before="120" w:after="60"/>
        <w:rPr>
          <w:sz w:val="28"/>
          <w:szCs w:val="28"/>
          <w:lang w:eastAsia="en-US"/>
        </w:rPr>
      </w:pPr>
      <w:r>
        <w:rPr>
          <w:sz w:val="28"/>
          <w:highlight w:val="none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spacing w:before="120" w:after="60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jc w:val="both"/>
        <w:spacing w:before="120" w:after="60"/>
        <w:rPr>
          <w:sz w:val="28"/>
          <w:szCs w:val="28"/>
          <w:highlight w:val="none"/>
          <w:lang w:eastAsia="en-US"/>
        </w:rPr>
        <w:sectPr>
          <w:footerReference w:type="default" r:id="rId11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</w:pPr>
      <w:r>
        <w:rPr>
          <w:sz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jc w:val="both"/>
        <w:spacing w:before="120" w:after="60"/>
        <w:rPr>
          <w:sz w:val="28"/>
          <w:szCs w:val="28"/>
          <w14:ligatures w14:val="none"/>
        </w:rPr>
      </w:pPr>
      <w:r>
        <w:rPr>
          <w:sz w:val="28"/>
          <w:lang w:eastAsia="en-US"/>
        </w:rPr>
        <w:t xml:space="preserve">Приложение 2</w:t>
      </w:r>
      <w:r>
        <w:rPr>
          <w:sz w:val="28"/>
          <w:szCs w:val="28"/>
          <w:lang w:eastAsia="en-US"/>
        </w:rPr>
        <w:t xml:space="preserve"> к Техническому заданию. Прайс-лист.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jc w:val="both"/>
        <w:spacing w:before="120" w:after="60"/>
        <w:rPr>
          <w:sz w:val="28"/>
          <w:szCs w:val="28"/>
          <w:highlight w:val="none"/>
          <w:lang w:eastAsia="en-US"/>
        </w:rPr>
      </w:pPr>
      <w:r>
        <w:rPr>
          <w:sz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tbl>
      <w:tblPr>
        <w:tblStyle w:val="984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9496"/>
        <w:gridCol w:w="1559"/>
        <w:gridCol w:w="2126"/>
      </w:tblGrid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ind w:firstLine="567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 xml:space="preserve">Наименование товара (работы, услуг)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 xml:space="preserve">Количество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firstLine="567"/>
              <w:jc w:val="left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 xml:space="preserve">Цена, руб.*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  <w:p>
            <w:pPr>
              <w:ind w:firstLine="567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eastAsia="Times New Roman" w:cs="Times New Roman"/>
                <w:color w:val="000000" w:themeColor="text1"/>
                <w:spacing w:val="0"/>
                <w:sz w:val="20"/>
                <w:szCs w:val="20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0"/>
                <w:sz w:val="20"/>
                <w:szCs w:val="20"/>
                <w:highlight w:val="none"/>
                <w:lang w:eastAsia="ru-RU"/>
              </w:rPr>
              <w:t xml:space="preserve">Права использования Saby,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0"/>
                <w:sz w:val="20"/>
                <w:szCs w:val="20"/>
                <w:highlight w:val="none"/>
                <w:lang w:eastAsia="ru-RU"/>
              </w:rPr>
              <w:t xml:space="preserve">ЭП Оптимальная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0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0"/>
                <w:sz w:val="20"/>
                <w:szCs w:val="20"/>
                <w:highlight w:val="none"/>
                <w:lang w:eastAsia="ru-RU"/>
                <w14:ligatures w14:val="none"/>
              </w:rPr>
            </w:r>
          </w:p>
          <w:p>
            <w:pPr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ЭП для работы на nalog.ru, Росреестре, Федресурсе, Госуслугах, ПИК ЕАСУЗ и других информационных системах.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1 шт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0"/>
                <w:sz w:val="20"/>
                <w:szCs w:val="20"/>
                <w:highlight w:val="none"/>
              </w:rPr>
              <w:t xml:space="preserve">Права и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спользования Saby, 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ЭП Оптимальная с КриптоПро в составе ЭП.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spacing w:before="0" w:after="0"/>
              <w:rPr>
                <w:rFonts w:ascii="Times New Roman" w:hAnsi="Times New Roman" w:cs="Times New Roman"/>
                <w:color w:val="auto" w:themeColor="text1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pacing w:val="0"/>
                <w:sz w:val="20"/>
                <w:szCs w:val="20"/>
                <w:highlight w:val="none"/>
                <w:lang w:eastAsia="ru-RU"/>
              </w:rPr>
              <w:t xml:space="preserve">ЭП для работы на nalog.ru, Росреестре, Федресурсе, Госуслугах, ПИК ЕАСУЗ и других информационных системах. Тариф включает в себя программу для шифрования данных КриптоПро CSP.</w:t>
            </w:r>
            <w:r>
              <w:rPr>
                <w:rFonts w:ascii="Times New Roman" w:hAnsi="Times New Roman" w:cs="Times New Roman"/>
                <w:color w:val="auto" w:themeColor="text1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 w:themeColor="text1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1 шт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Права использования Saby, ЭТ-LITE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  <w:p>
            <w:pPr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ЭП подходит для любых торгов: участия в госз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акупках по 44-ФЗ в качестве поставщика, проведения закупок по 223-ФЗ или участия в них, участия в торгах по реализации имущества, использования для работы на гос. порталах. В нее можно подключить дополнительные ЭТП (В2В, Фабрикант, ЦДТ, АТЦ, Регторг и др.)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1 шт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4.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Права использования Saby, ЭП Профи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  <w:p>
            <w:pPr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Для участия в закупках на площадках: 9 федеральных, коммер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ческих, по банкротству, B2B-Center, Фабрикант, Электронная система Поволжья, ЕТС-Тендер (ЭТП Казахстан). Также вы получите: техподдержку 365/24/7, мастер автоматической настройки ЭП, возможность оформления сертификата без посещения офиса УЦ через ЕБС+ЕСИА.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1 шт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825"/>
        </w:trPr>
        <w:tc>
          <w:tcPr>
            <w:tcW w:w="850" w:type="dxa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5.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Права использования Saby, ЭП Максимальная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  <w:p>
            <w:pPr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  <w:lang w:eastAsia="ru-RU"/>
              </w:rPr>
              <w:t xml:space="preserve">ЭП подойдет для участия в закупках на всех основных площа</w:t>
            </w: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  <w:lang w:eastAsia="ru-RU"/>
              </w:rPr>
              <w:t xml:space="preserve">дках: 8 федеральных, коммерческих, по банкротству, а также на площадках, которые обычно   подключаются за дополнительную плату - B2B-Center, Фабрикант, Аукционный   тендерный центр, Регторг. ЭП включает в себя программу для шифрования данных КриптоПро CSP.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1 шт</w:t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16"/>
                <w:szCs w:val="16"/>
                <w:highlight w:val="none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765"/>
        </w:trPr>
        <w:tc>
          <w:tcPr>
            <w:tcW w:w="850" w:type="dxa"/>
            <w:vMerge w:val="restart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6.</w:t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</w:tc>
        <w:tc>
          <w:tcPr>
            <w:tcW w:w="9496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sz w:val="21"/>
                <w:szCs w:val="21"/>
                <w:highlight w:val="none"/>
                <w:lang w:val="en-US"/>
              </w:rPr>
              <w:t xml:space="preserve">Права использования Saby, Корпоративный удостоверяющий центр</w:t>
            </w:r>
            <w:r>
              <w:rPr>
                <w:sz w:val="21"/>
                <w:szCs w:val="21"/>
                <w:highlight w:val="none"/>
                <w:lang w:val="en-US"/>
              </w:rPr>
              <w:t xml:space="preserve">. </w:t>
            </w:r>
            <w:r>
              <w:rPr>
                <w:highlight w:val="none"/>
              </w:rPr>
            </w:r>
            <w:sdt>
              <w:sdtPr>
                <w:alias w:val="{%ПолучитьОписаниеНом(&lt;Документ.Номенклатура.Описание&gt;, &lt;Документ.Номенклатура.Тип&gt;,  &lt;Документ.Номенклатура.Категория&gt;)%}"/>
                <w15:appearance w15:val="boundingBox"/>
                <w:label w:val="0"/>
                <w:lock w:val="unlocked"/>
                <w:tag w:val="tensor_te_exp:7b25d09fd0bed0bbd183d187d0b8d182d18cd09ed0bfd0b8d181d0b0d0bdd0b8d0b5d09dd0bed0bc283cd094d0bed0bad183d0bcd0b5d0bdd1822ed09dd0bed0bcd0b5d0bdd0bad0bbd0b0d182d183d180d0b02ed09ed0bfd0b8d181d0b0d0bdd0b8d0b53e2c203cd094d0bed0bad183d0bcd0b5d0bdd1822ed09dd0bed0bcd0b5d0bdd0bad0bbd0b0d182d183d180d0b02ed0a2d0b8d0bf3e2c20203cd094d0bed0bad183d0bcd0b5d0bdd1822ed09dd0bed0bcd0b5d0bdd0bad0bbd0b0d182d183d180d0b02ed09ad0b0d182d0b5d0b3d0bed180d0b8d18f3e29257d"/>
                <w:rPr>
                  <w:highlight w:val="none"/>
                </w:rPr>
              </w:sdtPr>
              <w:sdtContent>
                <w:r>
                  <w:rPr>
                    <w:sz w:val="21"/>
                    <w:szCs w:val="21"/>
                    <w:highlight w:val="none"/>
                  </w:rPr>
                  <w:t xml:space="preserve">Сервис для самостоятельного выпуска, продления и отзыва сертификатов на своих сотрудников. Выпуск и регистрация в ФНС 5 МЧД.</w:t>
                </w:r>
              </w:sdtContent>
            </w:sdt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1 шт</w:t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15"/>
        </w:trPr>
        <w:tc>
          <w:tcPr>
            <w:tcW w:w="850" w:type="dxa"/>
            <w:vMerge w:val="restart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7. </w:t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</w:tc>
        <w:tc>
          <w:tcPr>
            <w:tcW w:w="9496" w:type="dxa"/>
            <w:vMerge w:val="restart"/>
            <w:textDirection w:val="lrTb"/>
            <w:noWrap w:val="false"/>
          </w:tcPr>
          <w:p>
            <w:pPr>
              <w:spacing w:before="0" w:after="0"/>
              <w:rPr>
                <w:sz w:val="21"/>
                <w:szCs w:val="21"/>
                <w:highlight w:val="none"/>
                <w14:ligatures w14:val="none"/>
              </w:rPr>
            </w:pPr>
            <w:r>
              <w:rPr>
                <w:sz w:val="21"/>
                <w:szCs w:val="21"/>
                <w:highlight w:val="none"/>
                <w:lang w:val="en-US"/>
              </w:rPr>
            </w:r>
            <w:r>
              <w:rPr>
                <w:sz w:val="21"/>
                <w:szCs w:val="21"/>
                <w:highlight w:val="none"/>
                <w:lang w:val="en-US" w:eastAsia="en-US"/>
              </w:rPr>
              <w:t xml:space="preserve">КриптоПро </w:t>
            </w:r>
            <w:r>
              <w:rPr>
                <w:sz w:val="21"/>
                <w:szCs w:val="21"/>
                <w:highlight w:val="none"/>
                <w:lang w:val="en-US" w:eastAsia="en-US"/>
              </w:rPr>
              <w:t xml:space="preserve">CSP </w:t>
            </w:r>
            <w:r>
              <w:rPr>
                <w:sz w:val="21"/>
                <w:szCs w:val="21"/>
                <w:highlight w:val="none"/>
                <w:lang w:val="en-US" w:eastAsia="en-US"/>
              </w:rPr>
              <w:t xml:space="preserve">5.0 (бессрочная лицензия)**</w:t>
            </w:r>
            <w:r>
              <w:rPr>
                <w:sz w:val="21"/>
                <w:szCs w:val="21"/>
                <w:highlight w:val="none"/>
                <w14:ligatures w14:val="none"/>
              </w:rPr>
            </w:r>
            <w:r>
              <w:rPr>
                <w:sz w:val="21"/>
                <w:szCs w:val="21"/>
                <w:highlight w:val="none"/>
                <w14:ligatures w14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  <w:t xml:space="preserve">1 шт</w:t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ind w:firstLine="567"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0"/>
                <w:sz w:val="20"/>
                <w:szCs w:val="20"/>
                <w:highlight w:val="none"/>
              </w:rPr>
            </w:r>
          </w:p>
        </w:tc>
      </w:tr>
    </w:tbl>
    <w:p>
      <w:pPr>
        <w:jc w:val="both"/>
        <w:spacing w:before="120" w:after="60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* </w:t>
      </w:r>
      <w:r>
        <w:rPr>
          <w:sz w:val="22"/>
          <w:szCs w:val="22"/>
          <w:lang w:eastAsia="en-US"/>
        </w:rPr>
        <w:t xml:space="preserve">заполняется по результатам торгов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20" w:after="60"/>
        <w:rPr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** С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тоимость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лицензии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стороннее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программное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обеспечение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не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фиксируется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на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весь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срок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действия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договора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Стоимость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фиксируется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1 год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с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последующим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ежегодным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пересмотром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случае изменения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цен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правообладателя.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Поставщик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обязуется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заблаговременно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уведомить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заказчика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об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индексации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стоимости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не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менее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чем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за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30 календарных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дней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до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вступления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изменений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  <w:t xml:space="preserve">силу.</w:t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color w:val="auto"/>
          <w:spacing w:val="0"/>
          <w:sz w:val="22"/>
          <w:szCs w:val="22"/>
          <w:highlight w:val="none"/>
        </w:rPr>
      </w:r>
    </w:p>
    <w:sectPr>
      <w:footnotePr/>
      <w:endnotePr/>
      <w:type w:val="nextPage"/>
      <w:pgSz w:w="16838" w:h="11906" w:orient="landscape"/>
      <w:pgMar w:top="850" w:right="850" w:bottom="850" w:left="1134" w:header="284" w:footer="12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14"/>
      <w:gridCol w:w="3114"/>
      <w:gridCol w:w="3127"/>
    </w:tblGrid>
    <w:tr>
      <w:tblPrEx/>
      <w:trPr/>
      <w:tc>
        <w:tcPr>
          <w:tcW w:w="3190" w:type="dxa"/>
          <w:textDirection w:val="lrTb"/>
          <w:noWrap w:val="false"/>
        </w:tcPr>
        <w:p>
          <w:pPr>
            <w:pStyle w:val="981"/>
            <w:ind w:right="360"/>
            <w:rPr>
              <w:sz w:val="20"/>
              <w:szCs w:val="20"/>
            </w:rPr>
          </w:pP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  <w:tc>
        <w:tcPr>
          <w:tcW w:w="3190" w:type="dxa"/>
          <w:textDirection w:val="lrTb"/>
          <w:noWrap w:val="false"/>
        </w:tcPr>
        <w:p>
          <w:pPr>
            <w:pStyle w:val="981"/>
            <w:ind w:right="360"/>
            <w:rPr>
              <w:sz w:val="20"/>
              <w:szCs w:val="20"/>
            </w:rPr>
          </w:pP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  <w:tc>
        <w:tcPr>
          <w:tcW w:w="3191" w:type="dxa"/>
          <w:textDirection w:val="lrTb"/>
          <w:noWrap w:val="false"/>
        </w:tcPr>
        <w:p>
          <w:pPr>
            <w:pStyle w:val="981"/>
            <w:ind w:right="36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 \* MERGEFORMAT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 xml:space="preserve">3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</w:tr>
  </w:tbl>
  <w:p>
    <w:pPr>
      <w:pStyle w:val="981"/>
      <w:ind w:right="360"/>
      <w:rPr>
        <w:sz w:val="12"/>
        <w:szCs w:val="12"/>
      </w:rPr>
    </w:pPr>
    <w:r>
      <w:rPr>
        <w:sz w:val="12"/>
        <w:szCs w:val="12"/>
      </w:rPr>
    </w:r>
    <w:r>
      <w:rPr>
        <w:sz w:val="12"/>
        <w:szCs w:val="12"/>
      </w:rPr>
    </w:r>
    <w:r>
      <w:rPr>
        <w:sz w:val="12"/>
        <w:szCs w:val="1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1"/>
      <w:ind w:right="360"/>
      <w:rPr>
        <w:sz w:val="12"/>
        <w:szCs w:val="12"/>
      </w:rPr>
    </w:pPr>
    <w:r>
      <w:rPr>
        <w:sz w:val="12"/>
        <w:szCs w:val="12"/>
      </w:rPr>
    </w:r>
    <w:r>
      <w:rPr>
        <w:sz w:val="12"/>
        <w:szCs w:val="12"/>
      </w:rPr>
    </w:r>
    <w:r>
      <w:rPr>
        <w:sz w:val="12"/>
        <w:szCs w:val="1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0" w:hanging="480"/>
      </w:pPr>
      <w:rPr>
        <w:rFonts w:hint="default" w:ascii="Times New Roman" w:hAnsi="Times New Roman" w:eastAsia="Times New Roman" w:cs="Times New Roman"/>
        <w:color w:val="0000ff"/>
        <w:sz w:val="28"/>
        <w:u w:val="singl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793"/>
      <w:isLgl w:val="fal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794"/>
      <w:isLgl w:val="false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0" w:firstLine="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="Calibri" w:cs="Times New Roman"/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pStyle w:val="792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227" w:firstLine="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113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227" w:firstLine="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227" w:firstLine="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</w:num>
  <w:num w:numId="2">
    <w:abstractNumId w:val="3"/>
  </w:num>
  <w:num w:numId="3">
    <w:abstractNumId w:val="14"/>
  </w:num>
  <w:num w:numId="4">
    <w:abstractNumId w:val="17"/>
  </w:num>
  <w:num w:numId="5">
    <w:abstractNumId w:val="5"/>
  </w:num>
  <w:num w:numId="6">
    <w:abstractNumId w:val="6"/>
  </w:num>
  <w:num w:numId="7">
    <w:abstractNumId w:val="6"/>
  </w:num>
  <w:num w:numId="8">
    <w:abstractNumId w:val="6"/>
  </w:num>
  <w:num w:numId="9">
    <w:abstractNumId w:val="4"/>
  </w:num>
  <w:num w:numId="10">
    <w:abstractNumId w:val="11"/>
  </w:num>
  <w:num w:numId="11">
    <w:abstractNumId w:val="12"/>
  </w:num>
  <w:num w:numId="12">
    <w:abstractNumId w:val="10"/>
  </w:num>
  <w:num w:numId="13">
    <w:abstractNumId w:val="2"/>
  </w:num>
  <w:num w:numId="14">
    <w:abstractNumId w:val="6"/>
  </w:num>
  <w:num w:numId="15">
    <w:abstractNumId w:val="9"/>
  </w:num>
  <w:num w:numId="16">
    <w:abstractNumId w:val="9"/>
  </w:num>
  <w:num w:numId="17">
    <w:abstractNumId w:val="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3"/>
  </w:num>
  <w:num w:numId="23">
    <w:abstractNumId w:val="9"/>
  </w:num>
  <w:num w:numId="24">
    <w:abstractNumId w:val="1"/>
  </w:num>
  <w:num w:numId="25">
    <w:abstractNumId w:val="7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8"/>
  </w:num>
  <w:num w:numId="29">
    <w:abstractNumId w:val="18"/>
  </w:num>
  <w:num w:numId="30">
    <w:abstractNumId w:val="19"/>
  </w:num>
  <w:num w:numId="31">
    <w:abstractNumId w:val="20"/>
  </w:num>
  <w:num w:numId="32">
    <w:abstractNumId w:val="21"/>
  </w:num>
  <w:num w:numId="33">
    <w:abstractNumId w:val="22"/>
  </w:num>
  <w:num w:numId="34">
    <w:abstractNumId w:val="23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1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792">
    <w:name w:val="Heading 1"/>
    <w:basedOn w:val="791"/>
    <w:next w:val="791"/>
    <w:link w:val="985"/>
    <w:qFormat/>
    <w:pPr>
      <w:numPr>
        <w:ilvl w:val="0"/>
        <w:numId w:val="15"/>
      </w:numPr>
      <w:jc w:val="both"/>
      <w:keepNext/>
      <w:spacing w:before="120" w:after="60"/>
      <w:outlineLvl w:val="0"/>
    </w:pPr>
    <w:rPr>
      <w:sz w:val="28"/>
      <w:szCs w:val="20"/>
      <w:lang w:eastAsia="en-US"/>
    </w:rPr>
  </w:style>
  <w:style w:type="paragraph" w:styleId="793">
    <w:name w:val="Heading 2"/>
    <w:basedOn w:val="791"/>
    <w:next w:val="791"/>
    <w:link w:val="974"/>
    <w:qFormat/>
    <w:pPr>
      <w:numPr>
        <w:ilvl w:val="1"/>
        <w:numId w:val="8"/>
      </w:numPr>
      <w:keepNext/>
      <w:spacing w:before="120" w:after="120"/>
      <w:outlineLvl w:val="1"/>
    </w:pPr>
    <w:rPr>
      <w:sz w:val="28"/>
      <w:szCs w:val="20"/>
    </w:rPr>
  </w:style>
  <w:style w:type="paragraph" w:styleId="794">
    <w:name w:val="Heading 3"/>
    <w:basedOn w:val="791"/>
    <w:next w:val="791"/>
    <w:link w:val="988"/>
    <w:qFormat/>
    <w:pPr>
      <w:numPr>
        <w:ilvl w:val="2"/>
        <w:numId w:val="8"/>
      </w:numPr>
      <w:keepNext/>
      <w:spacing w:before="120" w:after="60"/>
      <w:outlineLvl w:val="2"/>
    </w:pPr>
    <w:rPr>
      <w:sz w:val="28"/>
      <w:szCs w:val="20"/>
    </w:rPr>
  </w:style>
  <w:style w:type="paragraph" w:styleId="795">
    <w:name w:val="Heading 4"/>
    <w:basedOn w:val="791"/>
    <w:next w:val="791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6">
    <w:name w:val="Heading 5"/>
    <w:basedOn w:val="791"/>
    <w:next w:val="791"/>
    <w:link w:val="8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97">
    <w:name w:val="Heading 6"/>
    <w:basedOn w:val="791"/>
    <w:next w:val="791"/>
    <w:link w:val="8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8">
    <w:name w:val="Heading 7"/>
    <w:basedOn w:val="791"/>
    <w:next w:val="791"/>
    <w:link w:val="8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9">
    <w:name w:val="Heading 8"/>
    <w:basedOn w:val="791"/>
    <w:next w:val="791"/>
    <w:link w:val="8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0">
    <w:name w:val="Heading 9"/>
    <w:basedOn w:val="791"/>
    <w:next w:val="791"/>
    <w:link w:val="8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1" w:default="1">
    <w:name w:val="Default Paragraph Font"/>
    <w:uiPriority w:val="1"/>
    <w:semiHidden/>
    <w:unhideWhenUsed/>
  </w:style>
  <w:style w:type="table" w:styleId="8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3" w:default="1">
    <w:name w:val="No List"/>
    <w:uiPriority w:val="99"/>
    <w:semiHidden/>
    <w:unhideWhenUsed/>
  </w:style>
  <w:style w:type="character" w:styleId="804" w:customStyle="1">
    <w:name w:val="Heading 4 Char"/>
    <w:basedOn w:val="80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5" w:customStyle="1">
    <w:name w:val="Heading 5 Char"/>
    <w:basedOn w:val="80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6" w:customStyle="1">
    <w:name w:val="Heading 6 Char"/>
    <w:basedOn w:val="8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7" w:customStyle="1">
    <w:name w:val="Heading 7 Char"/>
    <w:basedOn w:val="80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8" w:customStyle="1">
    <w:name w:val="Heading 8 Char"/>
    <w:basedOn w:val="80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9" w:customStyle="1">
    <w:name w:val="Heading 9 Char"/>
    <w:basedOn w:val="80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0" w:customStyle="1">
    <w:name w:val="Title Char"/>
    <w:basedOn w:val="801"/>
    <w:uiPriority w:val="10"/>
    <w:rPr>
      <w:sz w:val="48"/>
      <w:szCs w:val="48"/>
    </w:rPr>
  </w:style>
  <w:style w:type="character" w:styleId="811" w:customStyle="1">
    <w:name w:val="Subtitle Char"/>
    <w:basedOn w:val="801"/>
    <w:uiPriority w:val="11"/>
    <w:rPr>
      <w:sz w:val="24"/>
      <w:szCs w:val="24"/>
    </w:rPr>
  </w:style>
  <w:style w:type="character" w:styleId="812" w:customStyle="1">
    <w:name w:val="Quote Char"/>
    <w:uiPriority w:val="29"/>
    <w:rPr>
      <w:i/>
    </w:rPr>
  </w:style>
  <w:style w:type="character" w:styleId="813" w:customStyle="1">
    <w:name w:val="Intense Quote Char"/>
    <w:uiPriority w:val="30"/>
    <w:rPr>
      <w:i/>
    </w:rPr>
  </w:style>
  <w:style w:type="character" w:styleId="814" w:customStyle="1">
    <w:name w:val="Caption Char"/>
    <w:basedOn w:val="801"/>
    <w:uiPriority w:val="35"/>
    <w:rPr>
      <w:b/>
      <w:bCs/>
      <w:color w:val="4f81bd" w:themeColor="accent1"/>
      <w:sz w:val="18"/>
      <w:szCs w:val="18"/>
    </w:rPr>
  </w:style>
  <w:style w:type="character" w:styleId="815" w:customStyle="1">
    <w:name w:val="Endnote Text Char"/>
    <w:uiPriority w:val="99"/>
    <w:rPr>
      <w:sz w:val="20"/>
    </w:rPr>
  </w:style>
  <w:style w:type="character" w:styleId="816" w:customStyle="1">
    <w:name w:val="Heading 1 Char"/>
    <w:basedOn w:val="801"/>
    <w:uiPriority w:val="9"/>
    <w:rPr>
      <w:rFonts w:ascii="Arial" w:hAnsi="Arial" w:eastAsia="Arial" w:cs="Arial"/>
      <w:sz w:val="40"/>
      <w:szCs w:val="40"/>
    </w:rPr>
  </w:style>
  <w:style w:type="character" w:styleId="817" w:customStyle="1">
    <w:name w:val="Heading 2 Char"/>
    <w:basedOn w:val="801"/>
    <w:uiPriority w:val="9"/>
    <w:rPr>
      <w:rFonts w:ascii="Arial" w:hAnsi="Arial" w:eastAsia="Arial" w:cs="Arial"/>
      <w:sz w:val="34"/>
    </w:rPr>
  </w:style>
  <w:style w:type="character" w:styleId="818" w:customStyle="1">
    <w:name w:val="Heading 3 Char"/>
    <w:basedOn w:val="801"/>
    <w:uiPriority w:val="9"/>
    <w:rPr>
      <w:rFonts w:ascii="Arial" w:hAnsi="Arial" w:eastAsia="Arial" w:cs="Arial"/>
      <w:sz w:val="30"/>
      <w:szCs w:val="30"/>
    </w:rPr>
  </w:style>
  <w:style w:type="character" w:styleId="819" w:customStyle="1">
    <w:name w:val="Заголовок 4 Знак"/>
    <w:basedOn w:val="801"/>
    <w:link w:val="795"/>
    <w:uiPriority w:val="9"/>
    <w:rPr>
      <w:rFonts w:ascii="Arial" w:hAnsi="Arial" w:eastAsia="Arial" w:cs="Arial"/>
      <w:b/>
      <w:bCs/>
      <w:sz w:val="26"/>
      <w:szCs w:val="26"/>
    </w:rPr>
  </w:style>
  <w:style w:type="character" w:styleId="820" w:customStyle="1">
    <w:name w:val="Заголовок 5 Знак"/>
    <w:basedOn w:val="801"/>
    <w:link w:val="796"/>
    <w:uiPriority w:val="9"/>
    <w:rPr>
      <w:rFonts w:ascii="Arial" w:hAnsi="Arial" w:eastAsia="Arial" w:cs="Arial"/>
      <w:b/>
      <w:bCs/>
      <w:sz w:val="24"/>
      <w:szCs w:val="24"/>
    </w:rPr>
  </w:style>
  <w:style w:type="character" w:styleId="821" w:customStyle="1">
    <w:name w:val="Заголовок 6 Знак"/>
    <w:basedOn w:val="801"/>
    <w:link w:val="797"/>
    <w:uiPriority w:val="9"/>
    <w:rPr>
      <w:rFonts w:ascii="Arial" w:hAnsi="Arial" w:eastAsia="Arial" w:cs="Arial"/>
      <w:b/>
      <w:bCs/>
      <w:sz w:val="22"/>
      <w:szCs w:val="22"/>
    </w:rPr>
  </w:style>
  <w:style w:type="character" w:styleId="822" w:customStyle="1">
    <w:name w:val="Заголовок 7 Знак"/>
    <w:basedOn w:val="801"/>
    <w:link w:val="7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3" w:customStyle="1">
    <w:name w:val="Заголовок 8 Знак"/>
    <w:basedOn w:val="801"/>
    <w:link w:val="799"/>
    <w:uiPriority w:val="9"/>
    <w:rPr>
      <w:rFonts w:ascii="Arial" w:hAnsi="Arial" w:eastAsia="Arial" w:cs="Arial"/>
      <w:i/>
      <w:iCs/>
      <w:sz w:val="22"/>
      <w:szCs w:val="22"/>
    </w:rPr>
  </w:style>
  <w:style w:type="character" w:styleId="824" w:customStyle="1">
    <w:name w:val="Заголовок 9 Знак"/>
    <w:basedOn w:val="801"/>
    <w:link w:val="800"/>
    <w:uiPriority w:val="9"/>
    <w:rPr>
      <w:rFonts w:ascii="Arial" w:hAnsi="Arial" w:eastAsia="Arial" w:cs="Arial"/>
      <w:i/>
      <w:iCs/>
      <w:sz w:val="21"/>
      <w:szCs w:val="21"/>
    </w:rPr>
  </w:style>
  <w:style w:type="paragraph" w:styleId="825">
    <w:name w:val="No Spacing"/>
    <w:uiPriority w:val="1"/>
    <w:qFormat/>
  </w:style>
  <w:style w:type="paragraph" w:styleId="826">
    <w:name w:val="Title"/>
    <w:basedOn w:val="791"/>
    <w:next w:val="791"/>
    <w:link w:val="8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7" w:customStyle="1">
    <w:name w:val="Заголовок Знак"/>
    <w:basedOn w:val="801"/>
    <w:link w:val="826"/>
    <w:uiPriority w:val="10"/>
    <w:rPr>
      <w:sz w:val="48"/>
      <w:szCs w:val="48"/>
    </w:rPr>
  </w:style>
  <w:style w:type="paragraph" w:styleId="828">
    <w:name w:val="Subtitle"/>
    <w:basedOn w:val="791"/>
    <w:next w:val="791"/>
    <w:link w:val="829"/>
    <w:uiPriority w:val="11"/>
    <w:qFormat/>
    <w:pPr>
      <w:spacing w:before="200" w:after="200"/>
    </w:pPr>
  </w:style>
  <w:style w:type="character" w:styleId="829" w:customStyle="1">
    <w:name w:val="Подзаголовок Знак"/>
    <w:basedOn w:val="801"/>
    <w:link w:val="828"/>
    <w:uiPriority w:val="11"/>
    <w:rPr>
      <w:sz w:val="24"/>
      <w:szCs w:val="24"/>
    </w:rPr>
  </w:style>
  <w:style w:type="paragraph" w:styleId="830">
    <w:name w:val="Quote"/>
    <w:basedOn w:val="791"/>
    <w:next w:val="791"/>
    <w:link w:val="831"/>
    <w:uiPriority w:val="29"/>
    <w:qFormat/>
    <w:pPr>
      <w:ind w:left="720" w:right="720"/>
    </w:pPr>
    <w:rPr>
      <w:i/>
    </w:rPr>
  </w:style>
  <w:style w:type="character" w:styleId="831" w:customStyle="1">
    <w:name w:val="Цитата 2 Знак"/>
    <w:link w:val="830"/>
    <w:uiPriority w:val="29"/>
    <w:rPr>
      <w:i/>
    </w:rPr>
  </w:style>
  <w:style w:type="paragraph" w:styleId="832">
    <w:name w:val="Intense Quote"/>
    <w:basedOn w:val="791"/>
    <w:next w:val="791"/>
    <w:link w:val="83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3" w:customStyle="1">
    <w:name w:val="Выделенная цитата Знак"/>
    <w:link w:val="832"/>
    <w:uiPriority w:val="30"/>
    <w:rPr>
      <w:i/>
    </w:rPr>
  </w:style>
  <w:style w:type="character" w:styleId="834" w:customStyle="1">
    <w:name w:val="Header Char"/>
    <w:basedOn w:val="801"/>
    <w:uiPriority w:val="99"/>
  </w:style>
  <w:style w:type="character" w:styleId="835" w:customStyle="1">
    <w:name w:val="Footer Char"/>
    <w:basedOn w:val="801"/>
    <w:uiPriority w:val="99"/>
  </w:style>
  <w:style w:type="paragraph" w:styleId="836">
    <w:name w:val="Caption"/>
    <w:basedOn w:val="791"/>
    <w:next w:val="791"/>
    <w:link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7" w:customStyle="1">
    <w:name w:val="Название объекта Знак"/>
    <w:basedOn w:val="801"/>
    <w:link w:val="836"/>
    <w:uiPriority w:val="35"/>
    <w:rPr>
      <w:b/>
      <w:bCs/>
      <w:color w:val="4f81bd" w:themeColor="accent1"/>
      <w:sz w:val="18"/>
      <w:szCs w:val="18"/>
    </w:rPr>
  </w:style>
  <w:style w:type="table" w:styleId="838" w:customStyle="1">
    <w:name w:val="Table Grid Light"/>
    <w:basedOn w:val="8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9">
    <w:name w:val="Plain Table 1"/>
    <w:basedOn w:val="8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0">
    <w:name w:val="Plain Table 2"/>
    <w:basedOn w:val="80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1">
    <w:name w:val="Plain Table 3"/>
    <w:basedOn w:val="8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2">
    <w:name w:val="Plain Table 4"/>
    <w:basedOn w:val="8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Plain Table 5"/>
    <w:basedOn w:val="8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4">
    <w:name w:val="Grid Table 1 Light"/>
    <w:basedOn w:val="80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Grid Table 1 Light - Accent 1"/>
    <w:basedOn w:val="8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Grid Table 1 Light - Accent 2"/>
    <w:basedOn w:val="8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Grid Table 1 Light - Accent 3"/>
    <w:basedOn w:val="8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4"/>
    <w:basedOn w:val="8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5"/>
    <w:basedOn w:val="8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6"/>
    <w:basedOn w:val="8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2"/>
    <w:basedOn w:val="8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2 - Accent 1"/>
    <w:basedOn w:val="8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2 - Accent 2"/>
    <w:basedOn w:val="8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3"/>
    <w:basedOn w:val="8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4"/>
    <w:basedOn w:val="8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5"/>
    <w:basedOn w:val="8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6"/>
    <w:basedOn w:val="8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3"/>
    <w:basedOn w:val="8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3 - Accent 1"/>
    <w:basedOn w:val="8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3 - Accent 2"/>
    <w:basedOn w:val="8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3"/>
    <w:basedOn w:val="8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4"/>
    <w:basedOn w:val="8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5"/>
    <w:basedOn w:val="8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6"/>
    <w:basedOn w:val="8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4"/>
    <w:basedOn w:val="80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6" w:customStyle="1">
    <w:name w:val="Grid Table 4 - Accent 1"/>
    <w:basedOn w:val="80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67" w:customStyle="1">
    <w:name w:val="Grid Table 4 - Accent 2"/>
    <w:basedOn w:val="80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68" w:customStyle="1">
    <w:name w:val="Grid Table 4 - Accent 3"/>
    <w:basedOn w:val="80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69" w:customStyle="1">
    <w:name w:val="Grid Table 4 - Accent 4"/>
    <w:basedOn w:val="80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0" w:customStyle="1">
    <w:name w:val="Grid Table 4 - Accent 5"/>
    <w:basedOn w:val="80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1" w:customStyle="1">
    <w:name w:val="Grid Table 4 - Accent 6"/>
    <w:basedOn w:val="80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2">
    <w:name w:val="Grid Table 5 Dark"/>
    <w:basedOn w:val="8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3" w:customStyle="1">
    <w:name w:val="Grid Table 5 Dark- Accent 1"/>
    <w:basedOn w:val="8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74" w:customStyle="1">
    <w:name w:val="Grid Table 5 Dark - Accent 2"/>
    <w:basedOn w:val="8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 - Accent 3"/>
    <w:basedOn w:val="8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- Accent 4"/>
    <w:basedOn w:val="8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5"/>
    <w:basedOn w:val="8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6"/>
    <w:basedOn w:val="8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79">
    <w:name w:val="Grid Table 6 Colorful"/>
    <w:basedOn w:val="80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0" w:customStyle="1">
    <w:name w:val="Grid Table 6 Colorful - Accent 1"/>
    <w:basedOn w:val="80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1" w:customStyle="1">
    <w:name w:val="Grid Table 6 Colorful - Accent 2"/>
    <w:basedOn w:val="8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2" w:customStyle="1">
    <w:name w:val="Grid Table 6 Colorful - Accent 3"/>
    <w:basedOn w:val="80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3" w:customStyle="1">
    <w:name w:val="Grid Table 6 Colorful - Accent 4"/>
    <w:basedOn w:val="8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4" w:customStyle="1">
    <w:name w:val="Grid Table 6 Colorful - Accent 5"/>
    <w:basedOn w:val="80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5" w:customStyle="1">
    <w:name w:val="Grid Table 6 Colorful - Accent 6"/>
    <w:basedOn w:val="80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6">
    <w:name w:val="Grid Table 7 Colorful"/>
    <w:basedOn w:val="80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7" w:customStyle="1">
    <w:name w:val="Grid Table 7 Colorful - Accent 1"/>
    <w:basedOn w:val="80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8" w:customStyle="1">
    <w:name w:val="Grid Table 7 Colorful - Accent 2"/>
    <w:basedOn w:val="80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9" w:customStyle="1">
    <w:name w:val="Grid Table 7 Colorful - Accent 3"/>
    <w:basedOn w:val="80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0" w:customStyle="1">
    <w:name w:val="Grid Table 7 Colorful - Accent 4"/>
    <w:basedOn w:val="80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1" w:customStyle="1">
    <w:name w:val="Grid Table 7 Colorful - Accent 5"/>
    <w:basedOn w:val="80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2" w:customStyle="1">
    <w:name w:val="Grid Table 7 Colorful - Accent 6"/>
    <w:basedOn w:val="80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3">
    <w:name w:val="List Table 1 Light"/>
    <w:basedOn w:val="80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1 Light - Accent 1"/>
    <w:basedOn w:val="80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1 Light - Accent 2"/>
    <w:basedOn w:val="80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3"/>
    <w:basedOn w:val="80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4"/>
    <w:basedOn w:val="80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5"/>
    <w:basedOn w:val="80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6"/>
    <w:basedOn w:val="80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2"/>
    <w:basedOn w:val="80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1" w:customStyle="1">
    <w:name w:val="List Table 2 - Accent 1"/>
    <w:basedOn w:val="80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2" w:customStyle="1">
    <w:name w:val="List Table 2 - Accent 2"/>
    <w:basedOn w:val="80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3" w:customStyle="1">
    <w:name w:val="List Table 2 - Accent 3"/>
    <w:basedOn w:val="80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4"/>
    <w:basedOn w:val="80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5"/>
    <w:basedOn w:val="80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6"/>
    <w:basedOn w:val="80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07">
    <w:name w:val="List Table 3"/>
    <w:basedOn w:val="8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3 - Accent 1"/>
    <w:basedOn w:val="80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3 - Accent 2"/>
    <w:basedOn w:val="8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3 - Accent 3"/>
    <w:basedOn w:val="80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4"/>
    <w:basedOn w:val="8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5"/>
    <w:basedOn w:val="80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6"/>
    <w:basedOn w:val="80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4"/>
    <w:basedOn w:val="8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4 - Accent 1"/>
    <w:basedOn w:val="80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4 - Accent 2"/>
    <w:basedOn w:val="80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4 - Accent 3"/>
    <w:basedOn w:val="80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4"/>
    <w:basedOn w:val="80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5"/>
    <w:basedOn w:val="80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6"/>
    <w:basedOn w:val="80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5 Dark"/>
    <w:basedOn w:val="80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2" w:customStyle="1">
    <w:name w:val="List Table 5 Dark - Accent 1"/>
    <w:basedOn w:val="80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3" w:customStyle="1">
    <w:name w:val="List Table 5 Dark - Accent 2"/>
    <w:basedOn w:val="80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4" w:customStyle="1">
    <w:name w:val="List Table 5 Dark - Accent 3"/>
    <w:basedOn w:val="80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4"/>
    <w:basedOn w:val="80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5"/>
    <w:basedOn w:val="80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6"/>
    <w:basedOn w:val="80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>
    <w:name w:val="List Table 6 Colorful"/>
    <w:basedOn w:val="80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9" w:customStyle="1">
    <w:name w:val="List Table 6 Colorful - Accent 1"/>
    <w:basedOn w:val="80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0" w:customStyle="1">
    <w:name w:val="List Table 6 Colorful - Accent 2"/>
    <w:basedOn w:val="80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1" w:customStyle="1">
    <w:name w:val="List Table 6 Colorful - Accent 3"/>
    <w:basedOn w:val="80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2" w:customStyle="1">
    <w:name w:val="List Table 6 Colorful - Accent 4"/>
    <w:basedOn w:val="80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3" w:customStyle="1">
    <w:name w:val="List Table 6 Colorful - Accent 5"/>
    <w:basedOn w:val="80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4" w:customStyle="1">
    <w:name w:val="List Table 6 Colorful - Accent 6"/>
    <w:basedOn w:val="80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5">
    <w:name w:val="List Table 7 Colorful"/>
    <w:basedOn w:val="80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6" w:customStyle="1">
    <w:name w:val="List Table 7 Colorful - Accent 1"/>
    <w:basedOn w:val="80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7" w:customStyle="1">
    <w:name w:val="List Table 7 Colorful - Accent 2"/>
    <w:basedOn w:val="80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8" w:customStyle="1">
    <w:name w:val="List Table 7 Colorful - Accent 3"/>
    <w:basedOn w:val="80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9" w:customStyle="1">
    <w:name w:val="List Table 7 Colorful - Accent 4"/>
    <w:basedOn w:val="80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0" w:customStyle="1">
    <w:name w:val="List Table 7 Colorful - Accent 5"/>
    <w:basedOn w:val="80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1" w:customStyle="1">
    <w:name w:val="List Table 7 Colorful - Accent 6"/>
    <w:basedOn w:val="80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Lined - Accent"/>
    <w:basedOn w:val="8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3" w:customStyle="1">
    <w:name w:val="Lined - Accent 1"/>
    <w:basedOn w:val="8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4" w:customStyle="1">
    <w:name w:val="Lined - Accent 2"/>
    <w:basedOn w:val="8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5" w:customStyle="1">
    <w:name w:val="Lined - Accent 3"/>
    <w:basedOn w:val="8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6" w:customStyle="1">
    <w:name w:val="Lined - Accent 4"/>
    <w:basedOn w:val="8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7" w:customStyle="1">
    <w:name w:val="Lined - Accent 5"/>
    <w:basedOn w:val="8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8" w:customStyle="1">
    <w:name w:val="Lined - Accent 6"/>
    <w:basedOn w:val="8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9" w:customStyle="1">
    <w:name w:val="Bordered &amp; Lined - Accent"/>
    <w:basedOn w:val="80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0" w:customStyle="1">
    <w:name w:val="Bordered &amp; Lined - Accent 1"/>
    <w:basedOn w:val="80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1" w:customStyle="1">
    <w:name w:val="Bordered &amp; Lined - Accent 2"/>
    <w:basedOn w:val="80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2" w:customStyle="1">
    <w:name w:val="Bordered &amp; Lined - Accent 3"/>
    <w:basedOn w:val="80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3" w:customStyle="1">
    <w:name w:val="Bordered &amp; Lined - Accent 4"/>
    <w:basedOn w:val="80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4" w:customStyle="1">
    <w:name w:val="Bordered &amp; Lined - Accent 5"/>
    <w:basedOn w:val="80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5" w:customStyle="1">
    <w:name w:val="Bordered &amp; Lined - Accent 6"/>
    <w:basedOn w:val="80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6" w:customStyle="1">
    <w:name w:val="Bordered"/>
    <w:basedOn w:val="80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7" w:customStyle="1">
    <w:name w:val="Bordered - Accent 1"/>
    <w:basedOn w:val="8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58" w:customStyle="1">
    <w:name w:val="Bordered - Accent 2"/>
    <w:basedOn w:val="8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59" w:customStyle="1">
    <w:name w:val="Bordered - Accent 3"/>
    <w:basedOn w:val="8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0" w:customStyle="1">
    <w:name w:val="Bordered - Accent 4"/>
    <w:basedOn w:val="8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1" w:customStyle="1">
    <w:name w:val="Bordered - Accent 5"/>
    <w:basedOn w:val="8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2" w:customStyle="1">
    <w:name w:val="Bordered - Accent 6"/>
    <w:basedOn w:val="8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63" w:customStyle="1">
    <w:name w:val="Footnote Text Char"/>
    <w:uiPriority w:val="99"/>
    <w:rPr>
      <w:sz w:val="18"/>
    </w:rPr>
  </w:style>
  <w:style w:type="paragraph" w:styleId="964">
    <w:name w:val="endnote text"/>
    <w:basedOn w:val="791"/>
    <w:link w:val="965"/>
    <w:uiPriority w:val="99"/>
    <w:semiHidden/>
    <w:unhideWhenUsed/>
    <w:rPr>
      <w:sz w:val="20"/>
    </w:rPr>
  </w:style>
  <w:style w:type="character" w:styleId="965" w:customStyle="1">
    <w:name w:val="Текст концевой сноски Знак"/>
    <w:link w:val="964"/>
    <w:uiPriority w:val="99"/>
    <w:rPr>
      <w:sz w:val="20"/>
    </w:rPr>
  </w:style>
  <w:style w:type="character" w:styleId="966">
    <w:name w:val="endnote reference"/>
    <w:basedOn w:val="801"/>
    <w:uiPriority w:val="99"/>
    <w:semiHidden/>
    <w:unhideWhenUsed/>
    <w:rPr>
      <w:vertAlign w:val="superscript"/>
    </w:rPr>
  </w:style>
  <w:style w:type="paragraph" w:styleId="967">
    <w:name w:val="toc 4"/>
    <w:basedOn w:val="791"/>
    <w:next w:val="791"/>
    <w:uiPriority w:val="39"/>
    <w:unhideWhenUsed/>
    <w:pPr>
      <w:ind w:left="850"/>
      <w:spacing w:after="57"/>
    </w:pPr>
  </w:style>
  <w:style w:type="paragraph" w:styleId="968">
    <w:name w:val="toc 5"/>
    <w:basedOn w:val="791"/>
    <w:next w:val="791"/>
    <w:uiPriority w:val="39"/>
    <w:unhideWhenUsed/>
    <w:pPr>
      <w:ind w:left="1134"/>
      <w:spacing w:after="57"/>
    </w:pPr>
  </w:style>
  <w:style w:type="paragraph" w:styleId="969">
    <w:name w:val="toc 6"/>
    <w:basedOn w:val="791"/>
    <w:next w:val="791"/>
    <w:uiPriority w:val="39"/>
    <w:unhideWhenUsed/>
    <w:pPr>
      <w:ind w:left="1417"/>
      <w:spacing w:after="57"/>
    </w:pPr>
  </w:style>
  <w:style w:type="paragraph" w:styleId="970">
    <w:name w:val="toc 7"/>
    <w:basedOn w:val="791"/>
    <w:next w:val="791"/>
    <w:uiPriority w:val="39"/>
    <w:unhideWhenUsed/>
    <w:pPr>
      <w:ind w:left="1701"/>
      <w:spacing w:after="57"/>
    </w:pPr>
  </w:style>
  <w:style w:type="paragraph" w:styleId="971">
    <w:name w:val="toc 8"/>
    <w:basedOn w:val="791"/>
    <w:next w:val="791"/>
    <w:uiPriority w:val="39"/>
    <w:unhideWhenUsed/>
    <w:pPr>
      <w:ind w:left="1984"/>
      <w:spacing w:after="57"/>
    </w:pPr>
  </w:style>
  <w:style w:type="paragraph" w:styleId="972">
    <w:name w:val="toc 9"/>
    <w:basedOn w:val="791"/>
    <w:next w:val="791"/>
    <w:uiPriority w:val="39"/>
    <w:unhideWhenUsed/>
    <w:pPr>
      <w:ind w:left="2268"/>
      <w:spacing w:after="57"/>
    </w:pPr>
  </w:style>
  <w:style w:type="paragraph" w:styleId="973">
    <w:name w:val="table of figures"/>
    <w:basedOn w:val="791"/>
    <w:next w:val="791"/>
    <w:uiPriority w:val="99"/>
    <w:unhideWhenUsed/>
  </w:style>
  <w:style w:type="character" w:styleId="974" w:customStyle="1">
    <w:name w:val="Заголовок 2 Знак"/>
    <w:link w:val="793"/>
    <w:rPr>
      <w:rFonts w:ascii="Times New Roman" w:hAnsi="Times New Roman" w:eastAsia="Times New Roman"/>
      <w:sz w:val="28"/>
    </w:rPr>
  </w:style>
  <w:style w:type="paragraph" w:styleId="975">
    <w:name w:val="Balloon Text"/>
    <w:basedOn w:val="791"/>
    <w:link w:val="976"/>
    <w:uiPriority w:val="99"/>
    <w:semiHidden/>
    <w:rPr>
      <w:rFonts w:ascii="Tahoma" w:hAnsi="Tahoma" w:cs="Tahoma"/>
      <w:sz w:val="16"/>
      <w:szCs w:val="16"/>
    </w:rPr>
  </w:style>
  <w:style w:type="character" w:styleId="976" w:customStyle="1">
    <w:name w:val="Текст выноски Знак"/>
    <w:link w:val="975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977" w:customStyle="1">
    <w:name w:val="Абзац списка1"/>
    <w:basedOn w:val="791"/>
    <w:uiPriority w:val="99"/>
    <w:qFormat/>
    <w:pPr>
      <w:ind w:left="720"/>
    </w:pPr>
  </w:style>
  <w:style w:type="character" w:styleId="978">
    <w:name w:val="Hyperlink"/>
    <w:uiPriority w:val="99"/>
    <w:rPr>
      <w:color w:val="0000ff"/>
      <w:u w:val="single"/>
    </w:rPr>
  </w:style>
  <w:style w:type="paragraph" w:styleId="979">
    <w:name w:val="Header"/>
    <w:basedOn w:val="791"/>
    <w:link w:val="980"/>
    <w:uiPriority w:val="99"/>
    <w:pPr>
      <w:tabs>
        <w:tab w:val="center" w:pos="4677" w:leader="none"/>
        <w:tab w:val="right" w:pos="9355" w:leader="none"/>
      </w:tabs>
    </w:pPr>
  </w:style>
  <w:style w:type="character" w:styleId="980" w:customStyle="1">
    <w:name w:val="Верхний колонтитул Знак"/>
    <w:link w:val="979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981">
    <w:name w:val="Footer"/>
    <w:basedOn w:val="791"/>
    <w:link w:val="982"/>
    <w:uiPriority w:val="99"/>
    <w:pPr>
      <w:tabs>
        <w:tab w:val="center" w:pos="4677" w:leader="none"/>
        <w:tab w:val="right" w:pos="9355" w:leader="none"/>
      </w:tabs>
    </w:pPr>
  </w:style>
  <w:style w:type="character" w:styleId="982" w:customStyle="1">
    <w:name w:val="Нижний колонтитул Знак"/>
    <w:link w:val="981"/>
    <w:uiPriority w:val="99"/>
    <w:rPr>
      <w:rFonts w:ascii="Times New Roman" w:hAnsi="Times New Roman" w:cs="Times New Roman"/>
      <w:sz w:val="24"/>
      <w:szCs w:val="24"/>
      <w:lang w:eastAsia="ru-RU"/>
    </w:rPr>
  </w:style>
  <w:style w:type="character" w:styleId="983">
    <w:name w:val="page number"/>
    <w:basedOn w:val="801"/>
  </w:style>
  <w:style w:type="table" w:styleId="984">
    <w:name w:val="Table Grid"/>
    <w:basedOn w:val="80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5" w:customStyle="1">
    <w:name w:val="Заголовок 1 Знак"/>
    <w:basedOn w:val="801"/>
    <w:link w:val="792"/>
    <w:rPr>
      <w:rFonts w:ascii="Times New Roman" w:hAnsi="Times New Roman" w:eastAsia="Times New Roman"/>
      <w:sz w:val="28"/>
      <w:lang w:eastAsia="en-US"/>
    </w:rPr>
  </w:style>
  <w:style w:type="paragraph" w:styleId="986">
    <w:name w:val="toc 1"/>
    <w:basedOn w:val="791"/>
    <w:next w:val="791"/>
    <w:uiPriority w:val="39"/>
    <w:pPr>
      <w:spacing w:after="100"/>
      <w:tabs>
        <w:tab w:val="left" w:pos="480" w:leader="none"/>
        <w:tab w:val="right" w:pos="9345" w:leader="dot"/>
      </w:tabs>
    </w:pPr>
    <w:rPr>
      <w:rFonts w:eastAsiaTheme="minorEastAsia"/>
      <w:sz w:val="28"/>
      <w:szCs w:val="28"/>
    </w:rPr>
  </w:style>
  <w:style w:type="paragraph" w:styleId="987">
    <w:name w:val="toc 2"/>
    <w:basedOn w:val="791"/>
    <w:next w:val="791"/>
    <w:uiPriority w:val="39"/>
    <w:pPr>
      <w:ind w:left="240"/>
      <w:spacing w:after="100"/>
    </w:pPr>
    <w:rPr>
      <w:sz w:val="28"/>
    </w:rPr>
  </w:style>
  <w:style w:type="character" w:styleId="988" w:customStyle="1">
    <w:name w:val="Заголовок 3 Знак"/>
    <w:basedOn w:val="801"/>
    <w:link w:val="794"/>
    <w:rPr>
      <w:rFonts w:ascii="Times New Roman" w:hAnsi="Times New Roman" w:eastAsia="Times New Roman"/>
      <w:sz w:val="28"/>
    </w:rPr>
  </w:style>
  <w:style w:type="paragraph" w:styleId="989">
    <w:name w:val="toc 3"/>
    <w:basedOn w:val="791"/>
    <w:next w:val="791"/>
    <w:uiPriority w:val="39"/>
    <w:pPr>
      <w:ind w:left="480"/>
      <w:spacing w:after="100"/>
    </w:pPr>
    <w:rPr>
      <w:sz w:val="28"/>
    </w:rPr>
  </w:style>
  <w:style w:type="paragraph" w:styleId="990">
    <w:name w:val="TOC Heading"/>
    <w:basedOn w:val="792"/>
    <w:next w:val="791"/>
    <w:uiPriority w:val="39"/>
    <w:unhideWhenUsed/>
    <w:qFormat/>
    <w:pPr>
      <w:numPr>
        <w:ilvl w:val="0"/>
        <w:numId w:val="0"/>
      </w:numPr>
      <w:jc w:val="left"/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b/>
      <w:bCs/>
      <w:color w:val="365f91" w:themeColor="accent1" w:themeShade="BF"/>
      <w:szCs w:val="28"/>
    </w:rPr>
  </w:style>
  <w:style w:type="paragraph" w:styleId="991">
    <w:name w:val="List Paragraph"/>
    <w:basedOn w:val="791"/>
    <w:uiPriority w:val="34"/>
    <w:qFormat/>
    <w:pPr>
      <w:contextualSpacing/>
      <w:ind w:left="720"/>
    </w:pPr>
  </w:style>
  <w:style w:type="paragraph" w:styleId="992" w:customStyle="1">
    <w:name w:val="Пункт"/>
    <w:basedOn w:val="791"/>
    <w:pPr>
      <w:ind w:left="1134" w:hanging="1134"/>
      <w:jc w:val="both"/>
      <w:spacing w:line="360" w:lineRule="auto"/>
      <w:tabs>
        <w:tab w:val="num" w:pos="1134" w:leader="none"/>
      </w:tabs>
    </w:pPr>
    <w:rPr>
      <w:sz w:val="28"/>
      <w:szCs w:val="20"/>
    </w:rPr>
  </w:style>
  <w:style w:type="paragraph" w:styleId="993" w:customStyle="1">
    <w:name w:val="ENDLIST"/>
    <w:basedOn w:val="791"/>
    <w:pPr>
      <w:jc w:val="center"/>
      <w:keepLines/>
      <w:spacing w:before="240" w:after="240" w:line="288" w:lineRule="auto"/>
      <w:widowControl w:val="off"/>
    </w:pPr>
    <w:rPr>
      <w:b/>
      <w:caps/>
      <w:lang w:eastAsia="en-US"/>
    </w:rPr>
  </w:style>
  <w:style w:type="paragraph" w:styleId="994" w:customStyle="1">
    <w:name w:val="АИС_Обычный текст"/>
    <w:link w:val="995"/>
    <w:qFormat/>
    <w:pPr>
      <w:jc w:val="both"/>
      <w:spacing w:line="360" w:lineRule="auto"/>
    </w:pPr>
    <w:rPr>
      <w:rFonts w:ascii="Times New Roman" w:hAnsi="Times New Roman" w:eastAsia="Times New Roman"/>
      <w:sz w:val="24"/>
      <w:szCs w:val="28"/>
    </w:rPr>
  </w:style>
  <w:style w:type="character" w:styleId="995" w:customStyle="1">
    <w:name w:val="АИС_Обычный текст Знак"/>
    <w:link w:val="994"/>
    <w:rPr>
      <w:rFonts w:ascii="Times New Roman" w:hAnsi="Times New Roman" w:eastAsia="Times New Roman"/>
      <w:sz w:val="24"/>
      <w:szCs w:val="28"/>
    </w:rPr>
  </w:style>
  <w:style w:type="character" w:styleId="996">
    <w:name w:val="FollowedHyperlink"/>
    <w:basedOn w:val="801"/>
    <w:uiPriority w:val="99"/>
    <w:semiHidden/>
    <w:unhideWhenUsed/>
    <w:rPr>
      <w:color w:val="800080" w:themeColor="followedHyperlink"/>
      <w:u w:val="single"/>
    </w:rPr>
  </w:style>
  <w:style w:type="paragraph" w:styleId="997">
    <w:name w:val="footnote text"/>
    <w:basedOn w:val="791"/>
    <w:link w:val="998"/>
    <w:uiPriority w:val="99"/>
    <w:semiHidden/>
    <w:unhideWhenUsed/>
    <w:rPr>
      <w:sz w:val="20"/>
      <w:szCs w:val="20"/>
    </w:rPr>
  </w:style>
  <w:style w:type="character" w:styleId="998" w:customStyle="1">
    <w:name w:val="Текст сноски Знак"/>
    <w:basedOn w:val="801"/>
    <w:link w:val="997"/>
    <w:uiPriority w:val="99"/>
    <w:semiHidden/>
    <w:rPr>
      <w:rFonts w:ascii="Times New Roman" w:hAnsi="Times New Roman" w:eastAsia="Times New Roman"/>
    </w:rPr>
  </w:style>
  <w:style w:type="character" w:styleId="999">
    <w:name w:val="footnote reference"/>
    <w:basedOn w:val="801"/>
    <w:uiPriority w:val="99"/>
    <w:semiHidden/>
    <w:unhideWhenUsed/>
    <w:rPr>
      <w:vertAlign w:val="superscript"/>
    </w:rPr>
  </w:style>
  <w:style w:type="paragraph" w:styleId="1000">
    <w:name w:val="Body Text"/>
    <w:basedOn w:val="791"/>
    <w:link w:val="1001"/>
    <w:uiPriority w:val="1"/>
    <w:qFormat/>
    <w:pPr>
      <w:widowControl w:val="off"/>
    </w:pPr>
    <w:rPr>
      <w:lang w:eastAsia="en-US"/>
    </w:rPr>
  </w:style>
  <w:style w:type="character" w:styleId="1001" w:customStyle="1">
    <w:name w:val="Основной текст Знак"/>
    <w:basedOn w:val="801"/>
    <w:link w:val="1000"/>
    <w:uiPriority w:val="1"/>
    <w:rPr>
      <w:rFonts w:ascii="Times New Roman" w:hAnsi="Times New Roman" w:eastAsia="Times New Roman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9B1C8-4BCB-407E-95FE-77B8CF0AA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Лезов Сергей Алексеевич</dc:creator>
  <cp:lastModifiedBy>spb01432</cp:lastModifiedBy>
  <cp:revision>8</cp:revision>
  <dcterms:created xsi:type="dcterms:W3CDTF">2025-05-28T05:38:00Z</dcterms:created>
  <dcterms:modified xsi:type="dcterms:W3CDTF">2026-09-17T10:35:25Z</dcterms:modified>
</cp:coreProperties>
</file>