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commentsExtensible.xml" ContentType="application/vnd.openxmlformats-officedocument.wordprocessingml.commentsExtensibl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8935" w:type="dxa"/>
        <w:tblInd w:w="142" w:type="dxa"/>
        <w:tblLook w:val="04A0" w:firstRow="1" w:lastRow="0" w:firstColumn="1" w:lastColumn="0" w:noHBand="0" w:noVBand="1"/>
      </w:tblPr>
      <w:tblGrid>
        <w:gridCol w:w="4253"/>
        <w:gridCol w:w="708"/>
        <w:gridCol w:w="3974"/>
      </w:tblGrid>
      <w:tr>
        <w:tblPrEx/>
        <w:trPr/>
        <w:tc>
          <w:tcPr>
            <w:tcW w:w="4253" w:type="dxa"/>
            <w:textDirection w:val="lrTb"/>
            <w:noWrap w:val="false"/>
          </w:tcPr>
          <w:p>
            <w:pPr>
              <w:ind w:left="-426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/>
            <w:bookmarkStart w:id="0" w:name="_GoBack"/>
            <w:r/>
            <w:bookmarkEnd w:id="0"/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426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</w:tc>
        <w:tc>
          <w:tcPr>
            <w:tcW w:w="3974" w:type="dxa"/>
            <w:textDirection w:val="lrTb"/>
            <w:noWrap w:val="false"/>
          </w:tcPr>
          <w:p>
            <w:pPr>
              <w:ind w:left="34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34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УТВЕРЖДАЮ</w:t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-426" w:firstLine="720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Директор по цифровизации – начальник департамента цифровой трансформации и информационных технологий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____________/Р.М. Сагдуллин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«___»______________ 2026 г.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ind w:left="-426"/>
        <w:jc w:val="both"/>
        <w:keepLines/>
        <w:keepNext/>
        <w:spacing w:line="256" w:lineRule="auto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-426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/>
        <w:jc w:val="center"/>
        <w:spacing w:line="256" w:lineRule="auto"/>
        <w:widowControl w:val="off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ТЕХНИЧЕСКОЕ ЗАДАНИЕ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b/>
          <w:sz w:val="28"/>
          <w:lang w:eastAsia="en-US"/>
        </w:rPr>
      </w:pPr>
      <w:r>
        <w:rPr>
          <w:rFonts w:eastAsia="Calibri"/>
          <w:b/>
          <w:sz w:val="28"/>
          <w:szCs w:val="28"/>
        </w:rPr>
        <w:t xml:space="preserve">на приобретение </w:t>
      </w:r>
      <w:r>
        <w:rPr>
          <w:b/>
          <w:sz w:val="28"/>
          <w:lang w:eastAsia="en-US"/>
        </w:rPr>
        <w:t xml:space="preserve">права на использование программного обеспечения </w:t>
      </w:r>
      <w:r>
        <w:rPr>
          <w:b/>
          <w:sz w:val="28"/>
          <w:lang w:val="en-US" w:eastAsia="en-US"/>
        </w:rPr>
        <w:t xml:space="preserve">Web</w:t>
      </w:r>
      <w:r>
        <w:rPr>
          <w:b/>
          <w:sz w:val="28"/>
          <w:lang w:eastAsia="en-US"/>
        </w:rPr>
        <w:t xml:space="preserve">-Психотест для нужд ПАО «Россети Северо-Запад»</w:t>
      </w:r>
      <w:r>
        <w:rPr>
          <w:b/>
          <w:sz w:val="28"/>
          <w:lang w:eastAsia="en-US"/>
        </w:rPr>
      </w:r>
      <w:r>
        <w:rPr>
          <w:b/>
          <w:sz w:val="28"/>
          <w:lang w:eastAsia="en-US"/>
        </w:rPr>
      </w:r>
    </w:p>
    <w:p>
      <w:pPr>
        <w:jc w:val="center"/>
        <w:rPr>
          <w:b/>
          <w:sz w:val="28"/>
          <w:lang w:eastAsia="en-US"/>
        </w:rPr>
      </w:pPr>
      <w:r>
        <w:rPr>
          <w:b/>
          <w:sz w:val="28"/>
          <w:lang w:eastAsia="en-US"/>
        </w:rPr>
      </w:r>
      <w:r>
        <w:rPr>
          <w:b/>
          <w:sz w:val="28"/>
          <w:lang w:eastAsia="en-US"/>
        </w:rPr>
      </w:r>
      <w:r>
        <w:rPr>
          <w:b/>
          <w:sz w:val="28"/>
          <w:lang w:eastAsia="en-US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1001"/>
        <w:tblW w:w="0" w:type="auto"/>
        <w:tblInd w:w="-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500"/>
        <w:gridCol w:w="2497"/>
      </w:tblGrid>
      <w:tr>
        <w:tblPrEx/>
        <w:trPr/>
        <w:tc>
          <w:tcPr>
            <w:tcW w:w="765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426"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Санкт-Петербург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numPr>
          <w:ilvl w:val="0"/>
          <w:numId w:val="0"/>
        </w:numPr>
        <w:rPr>
          <w:b/>
          <w:szCs w:val="28"/>
        </w:rPr>
      </w:pPr>
      <w:r/>
      <w:bookmarkStart w:id="1" w:name="_Toc1"/>
      <w:r>
        <w:rPr>
          <w:b/>
          <w:szCs w:val="28"/>
        </w:rPr>
        <w:t xml:space="preserve">Лист согласования</w:t>
      </w:r>
      <w:bookmarkEnd w:id="1"/>
      <w:r>
        <w:rPr>
          <w:b/>
          <w:szCs w:val="28"/>
        </w:rPr>
      </w:r>
      <w:r>
        <w:rPr>
          <w:b/>
          <w:szCs w:val="28"/>
        </w:rPr>
      </w:r>
    </w:p>
    <w:p>
      <w:pPr>
        <w:keepLines/>
        <w:keepNext/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386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285"/>
        <w:gridCol w:w="2094"/>
        <w:gridCol w:w="1306"/>
        <w:gridCol w:w="1701"/>
      </w:tblGrid>
      <w:tr>
        <w:tblPrEx/>
        <w:trPr>
          <w:trHeight w:val="584"/>
        </w:trPr>
        <w:tc>
          <w:tcPr>
            <w:shd w:val="clear" w:color="auto" w:fill="d9d9d9" w:themeFill="background1" w:themeFillShade="D9"/>
            <w:tcW w:w="428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Должность, Организация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209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Фамилия, инициалы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130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Подпись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Дата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285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Заместитель начальника департамента цифровой трансформации и информационных технологий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bCs/>
                <w:color w:val="000000" w:themeColor="text1"/>
              </w:rPr>
            </w:pPr>
            <w:r>
              <w:rPr>
                <w:rFonts w:eastAsia="Calibri"/>
              </w:rPr>
              <w:t xml:space="preserve">Ларионова Н.Н.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i/>
                <w:color w:val="00b0f0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  <w:tr>
        <w:tblPrEx/>
        <w:trPr>
          <w:trHeight w:val="294"/>
        </w:trPr>
        <w:tc>
          <w:tcPr>
            <w:tcW w:w="4285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Заместитель начальника департамента – начальник управления подбора, обучения и развития персонала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Шавдина А.С.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1306" w:type="dxa"/>
            <w:vAlign w:val="center"/>
            <w:vMerge w:val="restart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rPr>
                <w:i/>
                <w:color w:val="00b0f0"/>
                <w:sz w:val="20"/>
                <w:szCs w:val="20"/>
              </w:rPr>
            </w:pP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294"/>
        </w:trPr>
        <w:tc>
          <w:tcPr>
            <w:tcW w:w="4285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Начальник управления корпоративных и технологических автоматизированных систем управления департамента цифровой трансформации и информационных технологий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Лезов С.А.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1306" w:type="dxa"/>
            <w:vAlign w:val="center"/>
            <w:vMerge w:val="restart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rPr>
                <w:i/>
                <w:color w:val="00b0f0"/>
                <w:sz w:val="20"/>
                <w:szCs w:val="20"/>
              </w:rPr>
            </w:pP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</w:p>
        </w:tc>
      </w:tr>
      <w:tr>
        <w:tblPrEx/>
        <w:trPr/>
        <w:tc>
          <w:tcPr>
            <w:tcW w:w="4285" w:type="dxa"/>
            <w:vAlign w:val="center"/>
            <w:textDirection w:val="lrTb"/>
            <w:noWrap w:val="false"/>
          </w:tcPr>
          <w:p>
            <w:pPr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Начальник отдела сопровождения инфраструктуры и программного обеспечения управления корпоративных и технологических автоматизированных систем управления департамента цифровой трансформации и информационных технологий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Гончаров И.В.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</w:tbl>
    <w:p>
      <w:pPr>
        <w:jc w:val="center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center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center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center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Содержание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sdt>
      <w:sdtPr>
        <w15:appearance w15:val="boundingBox"/>
        <w:id w:val="-1631695966"/>
        <w:docPartObj>
          <w:docPartGallery w:val="Table of Contents"/>
          <w:docPartUnique w:val="true"/>
        </w:docPartObj>
        <w:rPr>
          <w:rFonts w:ascii="Times New Roman" w:hAnsi="Times New Roman" w:eastAsia="Times New Roman" w:cs="Times New Roman"/>
          <w:b w:val="0"/>
          <w:bCs w:val="0"/>
          <w:color w:val="auto"/>
          <w:sz w:val="20"/>
          <w:szCs w:val="20"/>
          <w:lang w:eastAsia="ru-RU"/>
        </w:rPr>
      </w:sdtPr>
      <w:sdtContent>
        <w:p>
          <w:pPr>
            <w:pStyle w:val="1007"/>
            <w:jc w:val="both"/>
            <w:rPr>
              <w:sz w:val="32"/>
              <w:szCs w:val="32"/>
            </w:rPr>
          </w:pPr>
          <w:r>
            <w:rPr>
              <w:sz w:val="32"/>
              <w:szCs w:val="32"/>
            </w:rPr>
          </w:r>
          <w:r>
            <w:rPr>
              <w:sz w:val="32"/>
              <w:szCs w:val="32"/>
            </w:rPr>
          </w:r>
          <w:r>
            <w:rPr>
              <w:sz w:val="32"/>
              <w:szCs w:val="32"/>
            </w:rPr>
          </w:r>
        </w:p>
        <w:p>
          <w:pPr>
            <w:pStyle w:val="1004"/>
            <w:tabs>
              <w:tab w:val="right" w:pos="9345" w:leader="dot"/>
            </w:tabs>
            <w:rPr>
              <w:b/>
              <w:highlight w:val="white"/>
            </w:rPr>
          </w:pPr>
          <w:r>
            <w:rPr>
              <w:rFonts w:eastAsia="Calibri"/>
              <w:b/>
              <w:szCs w:val="20"/>
            </w:rPr>
            <w:fldChar w:fldCharType="begin"/>
          </w:r>
          <w:r>
            <w:rPr>
              <w:rFonts w:eastAsia="Calibri"/>
              <w:b/>
              <w:szCs w:val="20"/>
            </w:rPr>
            <w:instrText xml:space="preserve"> TOC \o "1-3" \h \z \u </w:instrText>
          </w:r>
          <w:r>
            <w:rPr>
              <w:rFonts w:eastAsia="Calibri"/>
              <w:b/>
              <w:szCs w:val="20"/>
            </w:rPr>
            <w:fldChar w:fldCharType="separate"/>
          </w:r>
          <w:hyperlink w:tooltip="#_Toc1" w:anchor="_Toc1" w:history="1">
            <w:r>
              <w:rPr>
                <w:rStyle w:val="995"/>
                <w:b/>
                <w:highlight w:val="white"/>
              </w:rPr>
              <w:t xml:space="preserve">Лист согласования</w:t>
            </w:r>
            <w:r>
              <w:rPr>
                <w:highlight w:val="white"/>
              </w:rPr>
              <w:tab/>
            </w:r>
            <w:r>
              <w:rPr>
                <w:highlight w:val="white"/>
              </w:rPr>
              <w:fldChar w:fldCharType="begin"/>
            </w:r>
            <w:r>
              <w:rPr>
                <w:highlight w:val="white"/>
              </w:rPr>
              <w:instrText xml:space="preserve">PAGEREF _Toc1 \h</w:instrTex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separate"/>
            </w:r>
            <w:r>
              <w:rPr>
                <w:rStyle w:val="995"/>
                <w:b/>
                <w:bCs/>
                <w:highlight w:val="white"/>
              </w:rPr>
              <w:t xml:space="preserve">2</w: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end"/>
            </w:r>
          </w:hyperlink>
          <w:r>
            <w:rPr>
              <w:b/>
              <w:highlight w:val="white"/>
            </w:rPr>
          </w:r>
          <w:r>
            <w:rPr>
              <w:b/>
              <w:highlight w:val="white"/>
            </w:rPr>
          </w:r>
        </w:p>
        <w:p>
          <w:pPr>
            <w:pStyle w:val="1003"/>
            <w:tabs>
              <w:tab w:val="left" w:pos="567" w:leader="none"/>
            </w:tabs>
            <w:rPr>
              <w:b/>
              <w:highlight w:val="white"/>
            </w:rPr>
          </w:pPr>
          <w:r/>
          <w:hyperlink w:tooltip="#_Toc2" w:anchor="_Toc2" w:history="1">
            <w:r>
              <w:rPr>
                <w:rFonts w:eastAsia="Times New Roman"/>
                <w:highlight w:val="white"/>
              </w:rPr>
              <w:t xml:space="preserve">1. </w:t>
            </w:r>
            <w:r>
              <w:rPr>
                <w:rStyle w:val="995"/>
                <w:b/>
                <w:highlight w:val="white"/>
              </w:rPr>
              <w:t xml:space="preserve">Общие сведения</w:t>
            </w:r>
            <w:r>
              <w:rPr>
                <w:highlight w:val="white"/>
              </w:rPr>
              <w:tab/>
            </w:r>
            <w:r>
              <w:rPr>
                <w:highlight w:val="white"/>
              </w:rPr>
              <w:fldChar w:fldCharType="begin"/>
            </w:r>
            <w:r>
              <w:rPr>
                <w:highlight w:val="white"/>
              </w:rPr>
              <w:instrText xml:space="preserve">PAGEREF _Toc2 \h</w:instrTex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separate"/>
            </w:r>
            <w:r>
              <w:rPr>
                <w:rFonts w:eastAsia="Times New Roman"/>
                <w:highlight w:val="white"/>
              </w:rPr>
              <w:t xml:space="preserve">3</w: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end"/>
            </w:r>
          </w:hyperlink>
          <w:r>
            <w:rPr>
              <w:b/>
              <w:highlight w:val="white"/>
            </w:rPr>
          </w:r>
          <w:r>
            <w:rPr>
              <w:b/>
              <w:highlight w:val="white"/>
            </w:rPr>
          </w:r>
        </w:p>
        <w:p>
          <w:pPr>
            <w:pStyle w:val="1003"/>
            <w:tabs>
              <w:tab w:val="left" w:pos="567" w:leader="none"/>
            </w:tabs>
            <w:rPr>
              <w:b/>
              <w:highlight w:val="white"/>
            </w:rPr>
          </w:pPr>
          <w:r/>
          <w:hyperlink w:tooltip="#_Toc3" w:anchor="_Toc3" w:history="1">
            <w:r>
              <w:rPr>
                <w:rFonts w:eastAsia="Times New Roman"/>
                <w:highlight w:val="white"/>
              </w:rPr>
              <w:t xml:space="preserve">2. </w:t>
            </w:r>
            <w:r>
              <w:rPr>
                <w:rStyle w:val="995"/>
                <w:b/>
                <w:highlight w:val="white"/>
              </w:rPr>
              <w:t xml:space="preserve">Предмет закупки</w:t>
            </w:r>
            <w:r>
              <w:rPr>
                <w:highlight w:val="white"/>
              </w:rPr>
              <w:tab/>
            </w:r>
            <w:r>
              <w:rPr>
                <w:highlight w:val="white"/>
              </w:rPr>
              <w:fldChar w:fldCharType="begin"/>
            </w:r>
            <w:r>
              <w:rPr>
                <w:highlight w:val="white"/>
              </w:rPr>
              <w:instrText xml:space="preserve">PAGEREF _Toc3 \h</w:instrTex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separate"/>
            </w:r>
            <w:r>
              <w:rPr>
                <w:rFonts w:eastAsia="Times New Roman"/>
                <w:highlight w:val="white"/>
              </w:rPr>
              <w:t xml:space="preserve">3</w: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end"/>
            </w:r>
          </w:hyperlink>
          <w:r>
            <w:rPr>
              <w:b/>
              <w:highlight w:val="white"/>
            </w:rPr>
          </w:r>
          <w:r>
            <w:rPr>
              <w:b/>
              <w:highlight w:val="white"/>
            </w:rPr>
          </w:r>
        </w:p>
        <w:p>
          <w:pPr>
            <w:pStyle w:val="1003"/>
            <w:tabs>
              <w:tab w:val="left" w:pos="567" w:leader="none"/>
            </w:tabs>
            <w:rPr>
              <w:b/>
              <w:highlight w:val="white"/>
            </w:rPr>
          </w:pPr>
          <w:r/>
          <w:hyperlink w:tooltip="#_Toc4" w:anchor="_Toc4" w:history="1">
            <w:r>
              <w:rPr>
                <w:rFonts w:eastAsia="Times New Roman"/>
                <w:highlight w:val="white"/>
              </w:rPr>
              <w:t xml:space="preserve">3. </w:t>
            </w:r>
            <w:r>
              <w:rPr>
                <w:rStyle w:val="995"/>
                <w:b/>
                <w:highlight w:val="white"/>
              </w:rPr>
              <w:t xml:space="preserve">Общие требования к условиям предоставления права на использование</w:t>
            </w:r>
            <w:r>
              <w:rPr>
                <w:highlight w:val="white"/>
              </w:rPr>
              <w:tab/>
            </w:r>
            <w:r>
              <w:rPr>
                <w:highlight w:val="white"/>
              </w:rPr>
              <w:fldChar w:fldCharType="begin"/>
            </w:r>
            <w:r>
              <w:rPr>
                <w:highlight w:val="white"/>
              </w:rPr>
              <w:instrText xml:space="preserve">PAGEREF _Toc4 \h</w:instrTex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separate"/>
            </w:r>
            <w:r>
              <w:rPr>
                <w:rFonts w:eastAsia="Times New Roman"/>
                <w:highlight w:val="white"/>
              </w:rPr>
              <w:t xml:space="preserve">3</w: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end"/>
            </w:r>
          </w:hyperlink>
          <w:r>
            <w:rPr>
              <w:b/>
              <w:highlight w:val="white"/>
            </w:rPr>
          </w:r>
          <w:r>
            <w:rPr>
              <w:b/>
              <w:highlight w:val="white"/>
            </w:rPr>
          </w:r>
        </w:p>
        <w:p>
          <w:pPr>
            <w:pStyle w:val="1003"/>
            <w:tabs>
              <w:tab w:val="left" w:pos="567" w:leader="none"/>
            </w:tabs>
            <w:rPr>
              <w:rFonts w:eastAsia="Times New Roman"/>
              <w:highlight w:val="white"/>
            </w:rPr>
          </w:pPr>
          <w:r/>
          <w:hyperlink w:tooltip="#_Toc5" w:anchor="_Toc5" w:history="1">
            <w:r>
              <w:rPr>
                <w:rFonts w:eastAsia="Times New Roman"/>
                <w:highlight w:val="white"/>
              </w:rPr>
              <w:t xml:space="preserve">4. </w:t>
            </w:r>
            <w:r>
              <w:rPr>
                <w:rStyle w:val="995"/>
                <w:rFonts w:eastAsia="Times New Roman"/>
                <w:b/>
                <w:bCs/>
                <w:highlight w:val="white"/>
              </w:rPr>
              <w:t xml:space="preserve">Основные требования к ПАК для проведения ПФО</w:t>
            </w:r>
            <w:r>
              <w:rPr>
                <w:highlight w:val="white"/>
              </w:rPr>
              <w:tab/>
            </w:r>
            <w:r>
              <w:rPr>
                <w:highlight w:val="white"/>
              </w:rPr>
              <w:fldChar w:fldCharType="begin"/>
            </w:r>
            <w:r>
              <w:rPr>
                <w:highlight w:val="white"/>
              </w:rPr>
              <w:instrText xml:space="preserve">PAGEREF _Toc5 \h</w:instrTex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separate"/>
            </w:r>
            <w:r>
              <w:rPr>
                <w:rFonts w:eastAsia="Times New Roman"/>
                <w:highlight w:val="white"/>
              </w:rPr>
              <w:t xml:space="preserve">4</w: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end"/>
            </w:r>
          </w:hyperlink>
          <w:r>
            <w:rPr>
              <w:rFonts w:eastAsia="Times New Roman"/>
              <w:highlight w:val="white"/>
            </w:rPr>
          </w:r>
          <w:r>
            <w:rPr>
              <w:rFonts w:eastAsia="Times New Roman"/>
              <w:highlight w:val="white"/>
            </w:rPr>
          </w:r>
        </w:p>
        <w:p>
          <w:pPr>
            <w:pStyle w:val="1003"/>
            <w:tabs>
              <w:tab w:val="clear" w:pos="480" w:leader="none"/>
              <w:tab w:val="left" w:pos="567" w:leader="none"/>
              <w:tab w:val="clear" w:pos="9345" w:leader="none"/>
            </w:tabs>
            <w:rPr>
              <w:b/>
              <w:bCs/>
              <w:highlight w:val="white"/>
            </w:rPr>
          </w:pPr>
          <w:r/>
          <w:hyperlink w:tooltip="#_Toc6" w:anchor="_Toc6" w:history="1">
            <w:r>
              <w:rPr>
                <w:rStyle w:val="995"/>
                <w:highlight w:val="white"/>
              </w:rPr>
              <w:t xml:space="preserve">5. </w:t>
            </w:r>
            <w:r>
              <w:rPr>
                <w:rStyle w:val="995"/>
                <w:b/>
                <w:bCs/>
                <w:highlight w:val="white"/>
              </w:rPr>
              <w:t xml:space="preserve">Требования к перечню методик, входящих в ПАК </w:t>
            </w:r>
            <w:r>
              <w:rPr>
                <w:highlight w:val="white"/>
              </w:rPr>
              <w:t xml:space="preserve">...................................4</w:t>
            </w:r>
          </w:hyperlink>
          <w:r>
            <w:rPr>
              <w:b/>
              <w:bCs/>
              <w:highlight w:val="white"/>
            </w:rPr>
          </w:r>
          <w:r>
            <w:rPr>
              <w:b/>
              <w:bCs/>
              <w:highlight w:val="white"/>
            </w:rPr>
          </w:r>
        </w:p>
        <w:p>
          <w:pPr>
            <w:pStyle w:val="1003"/>
          </w:pPr>
          <w:r/>
          <w:hyperlink w:tooltip="#_Toc7" w:anchor="_Toc7" w:history="1">
            <w:r>
              <w:rPr>
                <w:rStyle w:val="995"/>
                <w:highlight w:val="white"/>
              </w:rPr>
              <w:t xml:space="preserve">Приложение 1 к Техническому заданию. Спецификация приобретаемых прав использования программ для ЭВМ.</w:t>
            </w:r>
            <w:r>
              <w:rPr>
                <w:highlight w:val="white"/>
              </w:rPr>
              <w:tab/>
            </w:r>
            <w:r>
              <w:rPr>
                <w:highlight w:val="white"/>
              </w:rPr>
              <w:fldChar w:fldCharType="begin"/>
            </w:r>
            <w:r>
              <w:rPr>
                <w:highlight w:val="white"/>
              </w:rPr>
              <w:instrText xml:space="preserve">PAGEREF _Toc7 \h</w:instrTex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separate"/>
            </w:r>
            <w:r>
              <w:rPr>
                <w:rStyle w:val="995"/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white"/>
              </w:rPr>
              <w:fldChar w:fldCharType="end"/>
            </w:r>
          </w:hyperlink>
          <w:r/>
          <w:r/>
        </w:p>
        <w:p>
          <w:pPr>
            <w:jc w:val="both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fldChar w:fldCharType="end"/>
          </w:r>
          <w:r>
            <w:rPr>
              <w:b/>
              <w:bCs/>
              <w:sz w:val="20"/>
              <w:szCs w:val="20"/>
            </w:rPr>
          </w:r>
          <w:r>
            <w:rPr>
              <w:b/>
              <w:bCs/>
              <w:sz w:val="20"/>
              <w:szCs w:val="20"/>
            </w:rPr>
          </w:r>
        </w:p>
      </w:sdtContent>
    </w:sdt>
    <w:p>
      <w:pPr>
        <w:ind w:firstLine="709"/>
        <w:jc w:val="both"/>
        <w:rPr>
          <w:sz w:val="36"/>
          <w:szCs w:val="28"/>
        </w:rPr>
      </w:pPr>
      <w:r>
        <w:rPr>
          <w:sz w:val="36"/>
          <w:szCs w:val="28"/>
        </w:rPr>
      </w:r>
      <w:r>
        <w:rPr>
          <w:sz w:val="36"/>
          <w:szCs w:val="28"/>
        </w:rPr>
      </w:r>
      <w:r>
        <w:rPr>
          <w:sz w:val="36"/>
          <w:szCs w:val="28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809"/>
        <w:rPr>
          <w:b/>
        </w:rPr>
      </w:pPr>
      <w:r/>
      <w:bookmarkStart w:id="2" w:name="_Toc2"/>
      <w:r>
        <w:rPr>
          <w:b/>
        </w:rPr>
        <w:t xml:space="preserve">Общие сведения</w:t>
      </w:r>
      <w:bookmarkEnd w:id="2"/>
      <w:r>
        <w:rPr>
          <w:b/>
        </w:rPr>
      </w:r>
      <w:r>
        <w:rPr>
          <w:b/>
        </w:rPr>
      </w:r>
    </w:p>
    <w:p>
      <w:pPr>
        <w:pStyle w:val="1008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В настоящем документе представлено Техническое задание на использование программного обеспечения </w:t>
      </w:r>
      <w:r>
        <w:rPr>
          <w:sz w:val="28"/>
          <w:lang w:val="en-US" w:eastAsia="en-US"/>
        </w:rPr>
        <w:t xml:space="preserve">Web</w:t>
      </w:r>
      <w:r>
        <w:rPr>
          <w:sz w:val="28"/>
          <w:lang w:eastAsia="en-US"/>
        </w:rPr>
        <w:t xml:space="preserve">-Психотест для нужд ПАО «Россети Северо-Запад». Программный комплекс </w:t>
      </w:r>
      <w:r>
        <w:rPr>
          <w:sz w:val="28"/>
          <w:lang w:val="en-US" w:eastAsia="en-US"/>
        </w:rPr>
        <w:t xml:space="preserve">Web</w:t>
      </w:r>
      <w:r>
        <w:rPr>
          <w:sz w:val="28"/>
          <w:lang w:eastAsia="en-US"/>
        </w:rPr>
        <w:t xml:space="preserve">-Психотест используется для психофизиологических обследований, а также для управления подбора, обучения и развития персонала.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8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Техническое задание включает 1 бессрочную лицензию на 8 рабочих мест (Исполнительный аппарат и филиалы ПАО «Россети Северо-Запад») и обучающий инструктаж персонала на рабочих местах. 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8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Заказчиком является ПАО «Россети Северо-Запад».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809"/>
        <w:rPr>
          <w:b/>
        </w:rPr>
      </w:pPr>
      <w:r/>
      <w:bookmarkStart w:id="3" w:name="_Toc3"/>
      <w:r>
        <w:rPr>
          <w:b/>
        </w:rPr>
        <w:t xml:space="preserve">Предмет закупки</w:t>
      </w:r>
      <w:bookmarkEnd w:id="3"/>
      <w:r>
        <w:rPr>
          <w:b/>
        </w:rPr>
      </w:r>
      <w:r>
        <w:rPr>
          <w:b/>
        </w:rPr>
      </w:r>
    </w:p>
    <w:p>
      <w:pPr>
        <w:pStyle w:val="1008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Предметом закупки является приобретение права использования программного обеспечения.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8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Наименование, объем (количество), срок поставки приведены в Приложении № 1.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8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Адрес предоставления лицензий: 196247, Россия, Санкт-Петербург, пл. Конституции, д.3, Лит. А, помещение 16Н.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8"/>
        <w:numPr>
          <w:ilvl w:val="1"/>
          <w:numId w:val="15"/>
        </w:numPr>
        <w:jc w:val="both"/>
        <w:spacing w:after="60"/>
        <w:rPr>
          <w:sz w:val="28"/>
          <w:szCs w:val="28"/>
          <w:lang w:eastAsia="en-US"/>
        </w:rPr>
      </w:pPr>
      <w:r>
        <w:rPr>
          <w:sz w:val="28"/>
          <w:lang w:eastAsia="en-US"/>
        </w:rPr>
        <w:t xml:space="preserve">Срок действия договора – 12 месяцев.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809"/>
        <w:rPr>
          <w:b/>
        </w:rPr>
      </w:pPr>
      <w:r/>
      <w:bookmarkStart w:id="4" w:name="_Toc4"/>
      <w:r>
        <w:rPr>
          <w:b/>
        </w:rPr>
        <w:t xml:space="preserve">Общие требования к условиям предоставления права на использование</w:t>
      </w:r>
      <w:bookmarkEnd w:id="4"/>
      <w:r>
        <w:rPr>
          <w:b/>
        </w:rPr>
      </w:r>
      <w:r>
        <w:rPr>
          <w:b/>
        </w:rPr>
      </w:r>
    </w:p>
    <w:p>
      <w:pPr>
        <w:ind w:left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Определяется договором.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pStyle w:val="809"/>
        <w:numPr>
          <w:ilvl w:val="0"/>
          <w:numId w:val="0"/>
        </w:numPr>
        <w:ind w:left="709"/>
        <w:rPr>
          <w:szCs w:val="28"/>
          <w:highlight w:val="white"/>
        </w:rPr>
      </w:pPr>
      <w:r>
        <w:rPr>
          <w:b/>
          <w:bCs/>
          <w:szCs w:val="28"/>
          <w:highlight w:val="white"/>
          <w:lang w:eastAsia="ru-RU"/>
        </w:rPr>
        <w:t xml:space="preserve">4. </w:t>
      </w:r>
      <w:bookmarkStart w:id="5" w:name="_Toc5"/>
      <w:r>
        <w:rPr>
          <w:b/>
          <w:bCs/>
          <w:szCs w:val="28"/>
          <w:highlight w:val="white"/>
          <w:lang w:eastAsia="ru-RU"/>
        </w:rPr>
        <w:t xml:space="preserve">Основные требования к ПАК для проведения ПФО</w:t>
      </w:r>
      <w:bookmarkEnd w:id="5"/>
      <w:r>
        <w:rPr>
          <w:szCs w:val="28"/>
          <w:highlight w:val="white"/>
        </w:rPr>
      </w:r>
      <w:r>
        <w:rPr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1. Формирование сценария обследования (настройка батареи тестов и </w:t>
      </w:r>
      <w:r>
        <w:rPr>
          <w:sz w:val="28"/>
          <w:szCs w:val="28"/>
          <w:highlight w:val="white"/>
        </w:rPr>
        <w:t xml:space="preserve">нормирование</w:t>
      </w:r>
      <w:r>
        <w:rPr>
          <w:sz w:val="28"/>
          <w:szCs w:val="28"/>
          <w:highlight w:val="white"/>
        </w:rPr>
        <w:t xml:space="preserve"> внутри методик</w:t>
      </w:r>
      <w:r>
        <w:rPr>
          <w:sz w:val="28"/>
          <w:szCs w:val="28"/>
          <w:highlight w:val="white"/>
        </w:rPr>
        <w:t xml:space="preserve">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2. Автоматизация протокола обследования.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3. Ввод, просмотр, редактирование служебной информации об обследуемых и ее хранение в специальной защищённой кодом базе данных;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4. Документирование результатов тестирования.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5. Доступ к краткой информации о процессе тестирования.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 6. Экспорт информации о результатах тестирования.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strike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7. Хранение первичных данных по всем тестам с возможностью расчета оценок</w:t>
      </w:r>
      <w:r>
        <w:rPr>
          <w:sz w:val="28"/>
          <w:szCs w:val="28"/>
          <w:highlight w:val="white"/>
        </w:rPr>
        <w:t xml:space="preserve">.</w:t>
      </w:r>
      <w:r>
        <w:rPr>
          <w:strike/>
          <w:sz w:val="28"/>
          <w:szCs w:val="28"/>
          <w:highlight w:val="white"/>
        </w:rPr>
      </w:r>
      <w:r>
        <w:rPr>
          <w:strike/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  <w:t xml:space="preserve">8. Возможность поступления результатов тестирования в защищённую кодом общую базу данных.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ab/>
        <w:t xml:space="preserve">9. Возможность развернуть систему на сетевой конфигурации.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ab/>
        <w:t xml:space="preserve">10. Эфф</w:t>
      </w:r>
      <w:r>
        <w:rPr>
          <w:color w:val="000000" w:themeColor="text1"/>
          <w:sz w:val="28"/>
          <w:szCs w:val="28"/>
          <w:highlight w:val="white"/>
        </w:rPr>
        <w:t xml:space="preserve">ективность, объективность и точность проведения ПФО (соответствие перечня применяемых методик под поставленные перед подразделением службы психофизиологической надёжности персонала задачи), а также возможность добавлять дополнительные методики, в случае по</w:t>
      </w:r>
      <w:r>
        <w:rPr>
          <w:color w:val="000000" w:themeColor="text1"/>
          <w:sz w:val="28"/>
          <w:szCs w:val="28"/>
          <w:highlight w:val="white"/>
        </w:rPr>
        <w:t xml:space="preserve">явления различных производственных задач и составлять необходимые перечни методик (батареи тестов) под различные задачи обследований с возможностью проведения, как скринингового обследования, так и углублённого психофизиологического обследования персонала.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ab/>
        <w:t xml:space="preserve">11. Методики в комплекте ПАК должны быть валидны и надёжны.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ab/>
        <w:t xml:space="preserve">12. Подрядчик, предоставляющий ПАК для проведения психофизиологических обследований должен иметь лицензию на предоставление данного ПО.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ab/>
        <w:t xml:space="preserve">13. ПАК для проведения ПФО должен быть мобилен (с целью минимизации физических затрат специалистов и комфортности проведения ПФО в отдалённых подразделениях).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jc w:val="both"/>
        <w:tabs>
          <w:tab w:val="left" w:pos="425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ab/>
        <w:t xml:space="preserve">14. Контрагентом, поставляющим данный ПАК, должно быть предусмотрено обучения для специалистов-психологов по работе с ПАК и дополнительным оборудованием для проведения ПФО, если таковое имеется в комплекте ПАК.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809"/>
        <w:numPr>
          <w:ilvl w:val="0"/>
          <w:numId w:val="0"/>
        </w:numPr>
        <w:ind w:firstLine="709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5. Требования к перечню методик, входящих в ПАК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rPr>
          <w:strike w:val="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первом этапе </w:t>
      </w:r>
      <w:r>
        <w:rPr>
          <w:strike w:val="0"/>
          <w:sz w:val="28"/>
          <w:szCs w:val="28"/>
          <w:highlight w:val="white"/>
        </w:rPr>
        <w:t xml:space="preserve">в течение 10 дней с даты заключения договора, методики предоставляются в бессрочное пользование (п. 1-19 перечня методик)</w:t>
      </w:r>
      <w:r>
        <w:rPr>
          <w:strike w:val="0"/>
          <w:sz w:val="28"/>
          <w:szCs w:val="28"/>
          <w:highlight w:val="white"/>
        </w:rPr>
        <w:t xml:space="preserve">:</w:t>
      </w:r>
      <w:r>
        <w:rPr>
          <w:strike w:val="0"/>
          <w:sz w:val="28"/>
          <w:szCs w:val="28"/>
          <w:highlight w:val="white"/>
        </w:rPr>
      </w:r>
      <w:r>
        <w:rPr>
          <w:strike w:val="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Тест Ландольта «Корректурная проба» (кольца Э. Ландольта);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Корректурная проба (Бурдона);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Реакция на движущийся объект (РДО);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ПЗМР;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ПСМР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Реакция выбора;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Красно-чёрные таблицы Шульте-Платонова;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Память на числа;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ММИЛ;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Уровень субъективного контроля (УСК);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16 ФЛО Кеттела форма С;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Тест Айзенка на темперамент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форма EPQ (PEN);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Интеллектуальная лабильность;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«Мотивационный профиль» Ричи-Мартина;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Методика диагностики степени готовности к риску (опросник Г.Шуберта);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Счет по Крепелину;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Тест Амтхауэра (осведомленность ума, исключение понятий, логическое мышление, словесно-логическая память);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Краткий ориентировочный тест Вандерлика (КОТ);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Шкала оценки уровня реактивной и личностной тревожности Спилбергера-Ханина.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ind w:left="0" w:firstLine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втором этапе </w:t>
      </w:r>
      <w:r>
        <w:rPr>
          <w:strike w:val="0"/>
          <w:sz w:val="28"/>
          <w:szCs w:val="28"/>
          <w:highlight w:val="white"/>
        </w:rPr>
        <w:t xml:space="preserve">с момента завершения первого этапа и не позднее 6 месяцев с момента заключения договора предоставляется перечень остальных методик в бессрочное пользование (п. 20-77 перечня методик)</w:t>
      </w:r>
      <w:r>
        <w:rPr>
          <w:sz w:val="28"/>
          <w:szCs w:val="28"/>
          <w:highlight w:val="white"/>
        </w:rPr>
        <w:t xml:space="preserve">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Восьмицветовой тест М. Люшера (адаптация Л. Собчик);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Оценка внимания;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Реакция различения;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Помехоустойчивость;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Тип трудовой мотивации (Герчикова);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Числовой квадрат (методика для определения уровня внимания);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Равена;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Калифорнийский психологический опросник (CPI);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юмористических фраз (ТЮФ 44-9);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Hand - тест;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Струп-тест;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СМИЛ </w:t>
      </w:r>
      <w:r>
        <w:rPr>
          <w:color w:val="000000" w:themeColor="text1"/>
          <w:sz w:val="28"/>
          <w:szCs w:val="28"/>
          <w:highlight w:val="white"/>
        </w:rPr>
        <w:t xml:space="preserve">(вариант Л. Собчик и с дополнительными шкалами);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Томаса;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Тест Мюнстерберга</w:t>
      </w:r>
      <w:r>
        <w:rPr>
          <w:color w:val="000000"/>
          <w:sz w:val="28"/>
          <w:szCs w:val="28"/>
          <w:highlight w:val="white"/>
        </w:rPr>
        <w:t xml:space="preserve">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Характеристика темперамента Смирнова;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Элерса мотивация к защите (к избеганию неудач);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Элерса мотивация к успеху;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Сокращённый многофакторный опросник для исследования личности «СМОЛ»;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Изучение социально-психологического климата и рейтинга руководителей: «Социометрия»;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SCL 90-R (Опросник выраженности психопатологической симптоматики (SCL-90-R) (комплексная диагностика эмоционально-психологических нарушений);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Опросник невротических расстройств (ОНР);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Тест Индивидуально-типологический опросник ИТО (вариант Л. Собчик);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Цифровая корректурная проба;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Уравновешенность нервной системы;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Подвижность нервной системы;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Сонди;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МЛО-Адаптивность;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Тест Розенцвейга (взрослый);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Методика «Уровень соотношения «Ценности» и «Доступности» в различных жизненных сферах» (УСЦД). Методика разработана Е.Б. Фанталовой и является центральной методикой предложенного ею комплекса методик «Диагностика внутреннего конфликта»;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Мотивационный опросник Вилсона;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 xml:space="preserve">Тест лидерского потенциала;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Тест эмоционального выгорания;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Тест интеллектуальной лабильности;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Методика "КОС" (Коммуникативные и организаторские способности);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Тест эмоционального интеллекта Холла;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Тест диагностики межличностных отношений Лири;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Индекс групповой сплоченности Сишора;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Методика оценки психологической атмосферы в коллективе Ф. Фидлера;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Диагностика типа акцентуации характера по классификации А.Е.Личко;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Опросник «Определение нервно-психического напряжения»;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Клинический опросник Яхина и Менделевича (Клинический опросник для выявления и оценки невротических состояний (К.К. Яхин, Д.М. Менделевич);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Шкала оценки влияния травматического события (сокр. ШОВТС</w:t>
      </w:r>
      <w:r>
        <w:rPr>
          <w:sz w:val="28"/>
          <w:szCs w:val="28"/>
          <w:highlight w:val="white"/>
          <w:lang w:val="en-US"/>
        </w:rPr>
        <w:t xml:space="preserve">, </w:t>
      </w:r>
      <w:r>
        <w:rPr>
          <w:sz w:val="28"/>
          <w:szCs w:val="28"/>
          <w:highlight w:val="white"/>
        </w:rPr>
        <w:t xml:space="preserve">англ</w:t>
      </w:r>
      <w:r>
        <w:rPr>
          <w:sz w:val="28"/>
          <w:szCs w:val="28"/>
          <w:highlight w:val="white"/>
          <w:lang w:val="en-US"/>
        </w:rPr>
        <w:t xml:space="preserve">. Impact of Event Scale - Revised, </w:t>
      </w:r>
      <w:r>
        <w:rPr>
          <w:sz w:val="28"/>
          <w:szCs w:val="28"/>
          <w:highlight w:val="white"/>
        </w:rPr>
        <w:t xml:space="preserve">сокр</w:t>
      </w:r>
      <w:r>
        <w:rPr>
          <w:sz w:val="28"/>
          <w:szCs w:val="28"/>
          <w:highlight w:val="white"/>
          <w:lang w:val="en-US"/>
        </w:rPr>
        <w:t xml:space="preserve">. </w:t>
      </w:r>
      <w:r>
        <w:rPr>
          <w:sz w:val="28"/>
          <w:szCs w:val="28"/>
          <w:highlight w:val="white"/>
        </w:rPr>
        <w:t xml:space="preserve">IES-R) - клиническая тестовая методика, направленная на выявление симптомов посттравматического стрессового расстройства (ПТСР) и оценку степени их выраженности;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Диагностика состояния агрессии (опросник А. Басса и А. Дарки);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Интегративный тест тревожности;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Определения стрессоустойчивости (Холмса и Раге);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Торонтская алекситимическая шкала (Методика «TAS» (Торонтская алекситимическая шкала);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Физиологическая реакция на стресс (диагностика предрасположенности к психосоматическим заболеваниям);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Тест «Мини-ментал» (Краткая шкала оценки психического статуса);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Шкала депрессий Бека;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Шкала УНА;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Методика «Девиантное поведение» (ДАП);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Опросник здоровья-12;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Опросник функционального состояния;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 Шкала дифференциальных эмоций;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Анкета Прогноз-1;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Методика определения уровня невротизации и психопатизации (УНП);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Шкала SACS;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1008"/>
        <w:numPr>
          <w:ilvl w:val="0"/>
          <w:numId w:val="39"/>
        </w:numPr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 Опросник Плутчика-Келлермана-Конте (Индекс жизненного стиля «ИЖС»).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09"/>
        <w:numPr>
          <w:ilvl w:val="0"/>
          <w:numId w:val="0"/>
        </w:numPr>
        <w:rPr>
          <w:szCs w:val="28"/>
          <w:highlight w:val="white"/>
        </w:rPr>
        <w:sectPr>
          <w:headerReference w:type="default" r:id="rId9"/>
          <w:headerReference w:type="first" r:id="rId10"/>
          <w:footerReference w:type="first" r:id="rId11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szCs w:val="28"/>
          <w:highlight w:val="white"/>
        </w:rPr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>
      <w:pPr>
        <w:pStyle w:val="809"/>
        <w:numPr>
          <w:ilvl w:val="0"/>
          <w:numId w:val="0"/>
        </w:numPr>
      </w:pPr>
      <w:r/>
      <w:r/>
    </w:p>
    <w:p>
      <w:pPr>
        <w:pStyle w:val="809"/>
        <w:numPr>
          <w:ilvl w:val="0"/>
          <w:numId w:val="0"/>
        </w:numPr>
      </w:pPr>
      <w:r/>
      <w:bookmarkStart w:id="7" w:name="_Toc7"/>
      <w:r>
        <w:t xml:space="preserve">Приложение 1 к Техническому заданию. Спецификация приобретаемых прав использования программ для ЭВМ.</w:t>
      </w:r>
      <w:bookmarkEnd w:id="7"/>
      <w:r/>
      <w:r/>
    </w:p>
    <w:p>
      <w:r/>
      <w:r/>
    </w:p>
    <w:tbl>
      <w:tblPr>
        <w:tblStyle w:val="1001"/>
        <w:tblW w:w="1445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1589"/>
        <w:gridCol w:w="1956"/>
        <w:gridCol w:w="1533"/>
        <w:gridCol w:w="1441"/>
        <w:gridCol w:w="1936"/>
        <w:gridCol w:w="1949"/>
        <w:gridCol w:w="2095"/>
        <w:gridCol w:w="1538"/>
      </w:tblGrid>
      <w:tr>
        <w:tblPrEx/>
        <w:trPr>
          <w:cantSplit/>
          <w:trHeight w:val="632"/>
          <w:tblHeader/>
        </w:trPr>
        <w:tc>
          <w:tcPr>
            <w:tcW w:w="4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5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Наименование 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9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Производитель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Количество лицензий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Borders>
              <w:right w:val="single" w:color="000000" w:sz="4" w:space="0"/>
            </w:tcBorders>
            <w:tcW w:w="1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Основной государственный регистрационный номер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Borders>
              <w:left w:val="single" w:color="000000" w:sz="4" w:space="0"/>
            </w:tcBorders>
            <w:tcW w:w="19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Тип доставки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94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Срок поставки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2095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Наименование продукта в ЕРРП</w:t>
            </w:r>
            <w:r>
              <w:rPr>
                <w:rStyle w:val="1016"/>
                <w:sz w:val="18"/>
                <w:szCs w:val="18"/>
                <w:lang w:eastAsia="en-US"/>
              </w:rPr>
              <w:footnoteReference w:id="2"/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538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Номер записи в ЕРРП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</w:tr>
      <w:tr>
        <w:tblPrEx/>
        <w:trPr>
          <w:cantSplit/>
        </w:trPr>
        <w:tc>
          <w:tcPr>
            <w:tcW w:w="417" w:type="dxa"/>
            <w:vAlign w:val="center"/>
            <w:textDirection w:val="lrTb"/>
            <w:noWrap w:val="false"/>
          </w:tcPr>
          <w:p>
            <w:pPr>
              <w:pStyle w:val="1017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1</w:t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W w:w="1589" w:type="dxa"/>
            <w:vAlign w:val="center"/>
            <w:textDirection w:val="lrTb"/>
            <w:noWrap w:val="false"/>
          </w:tcPr>
          <w:p>
            <w:pPr>
              <w:pStyle w:val="1017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Программный комплекс «</w:t>
            </w:r>
            <w:r>
              <w:rPr>
                <w:sz w:val="22"/>
                <w:szCs w:val="22"/>
                <w:lang w:val="en-US"/>
              </w:rPr>
              <w:t xml:space="preserve">Web</w:t>
            </w:r>
            <w:r>
              <w:rPr>
                <w:sz w:val="22"/>
                <w:szCs w:val="22"/>
              </w:rPr>
              <w:t xml:space="preserve">-Психотест/</w:t>
            </w:r>
            <w:r>
              <w:rPr>
                <w:sz w:val="22"/>
                <w:szCs w:val="22"/>
                <w:lang w:val="en-US"/>
              </w:rPr>
              <w:t xml:space="preserve">Web</w:t>
            </w: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  <w:lang w:val="en-US"/>
              </w:rPr>
              <w:t xml:space="preserve">Psychotest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«Нейрософт»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441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1033700080721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</w:tcBorders>
            <w:tcW w:w="1936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49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в течение 10 дней с даты заключения договора, методики предоставляются в бессрочное пользование (п. 1-19 перечня методик для первого этапа)</w:t>
            </w:r>
            <w:r>
              <w:rPr>
                <w:sz w:val="22"/>
                <w:szCs w:val="22"/>
                <w:highlight w:val="white"/>
              </w:rPr>
              <w:t xml:space="preserve">,  далее </w:t>
            </w:r>
            <w:r>
              <w:rPr>
                <w:sz w:val="22"/>
                <w:szCs w:val="22"/>
                <w:highlight w:val="white"/>
              </w:rPr>
              <w:t xml:space="preserve">с момента завершения первого этапа и не позднее 6 месяцев с момента заключения договора предоставляется перечень остальных методик в бессрочное пользование (п. 20-77 перечня методик для второго этапа)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commentRangeStart w:id="0"/>
            <w:r/>
            <w:commentRangeEnd w:id="0"/>
            <w:r>
              <w:commentReference w:id="0"/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2095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Программное  обеспечение </w:t>
            </w:r>
            <w:r>
              <w:rPr>
                <w:sz w:val="22"/>
                <w:szCs w:val="22"/>
                <w:lang w:val="en-US"/>
              </w:rPr>
              <w:t xml:space="preserve">Web</w:t>
            </w:r>
            <w:r>
              <w:rPr>
                <w:sz w:val="22"/>
                <w:szCs w:val="22"/>
              </w:rPr>
              <w:t xml:space="preserve">-Психотест/</w:t>
            </w:r>
            <w:r>
              <w:rPr>
                <w:sz w:val="22"/>
                <w:szCs w:val="22"/>
                <w:lang w:val="en-US"/>
              </w:rPr>
              <w:t xml:space="preserve">Web</w:t>
            </w: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  <w:lang w:val="en-US"/>
              </w:rPr>
              <w:t xml:space="preserve">Psychotest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38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№28802 от 28.07.2025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both"/>
        <w:spacing w:before="120" w:after="60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both"/>
        <w:spacing w:before="120" w:after="60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  <w:r>
        <w:rPr>
          <w:sz w:val="28"/>
          <w:szCs w:val="28"/>
          <w:lang w:val="en-US" w:eastAsia="en-US"/>
        </w:rPr>
      </w:r>
    </w:p>
    <w:p>
      <w:pPr>
        <w:jc w:val="both"/>
        <w:spacing w:before="120" w:after="60"/>
        <w:rPr>
          <w:sz w:val="28"/>
          <w:szCs w:val="28"/>
          <w:lang w:eastAsia="en-US"/>
        </w:rPr>
        <w:sectPr>
          <w:footnotePr/>
          <w:endnotePr/>
          <w:type w:val="nextPage"/>
          <w:pgSz w:w="16838" w:h="11906" w:orient="landscape"/>
          <w:pgMar w:top="1701" w:right="1134" w:bottom="850" w:left="1134" w:header="284" w:footer="12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firstLine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Поставляемая Поставщиком продукция должна быть разработана в соответствии с действующим законодательством по психофизиологическому сопровождению профессиональной деятельности персонала: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19"/>
        <w:jc w:val="both"/>
      </w:pPr>
      <w:r>
        <w:t xml:space="preserve">- </w:t>
      </w:r>
      <w:r>
        <w:rPr>
          <w:bCs/>
        </w:rPr>
        <w:t xml:space="preserve">«Временное положение по психофизиологическому обеспечению надежности профессиональной деятельности и сохранению здоровья персонала энергетических предприятий» (РД 153-34.0-03.503-00), у</w:t>
      </w:r>
      <w:r>
        <w:t xml:space="preserve">твержденное Председателем Правления РАО "ЕЭС России" А.Б. Чубайсом 18.06.2000, Первым заместителем Министра здравоохранения Российской Федерации  Г.Г. Онищенко;</w:t>
      </w:r>
      <w:r/>
    </w:p>
    <w:p>
      <w:pPr>
        <w:pStyle w:val="1019"/>
        <w:jc w:val="both"/>
      </w:pPr>
      <w:r>
        <w:rPr>
          <w:bCs/>
        </w:rPr>
        <w:t xml:space="preserve">- «Методическое руководство по организации и проведению психофизиологических обследований персонала энергетических предприятий (РД 153-34.0-03.504-00)», утвержденное </w:t>
      </w:r>
      <w:r>
        <w:t xml:space="preserve">Первым заместителем Председателя Правления РАО "ЕЭС России" О.В. Бритвиным 12.05 2000, Первым заместителем Министра здравоохранения Российской Федерации Г.Г. Онищенко 19.06.2000.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1701" w:bottom="1134" w:left="850" w:header="284" w:footer="129" w:gutter="0"/>
      <w:cols w:num="1" w:sep="0" w:space="708" w:equalWidth="1"/>
      <w:docGrid w:linePitch="360"/>
      <w:titlePg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Баранова Полина Сергеевна" w:date="2026-07-21T15:12:00Z" w:initials="БПС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Для реализации методик потребуется время: 6 мес. для реализации 1 этапа, 6-для 2-го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8219D96" w16cex:dateUtc="2026-07-21T12:1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8219D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14"/>
      </w:pPr>
      <w:r>
        <w:rPr>
          <w:rStyle w:val="1016"/>
        </w:rPr>
        <w:footnoteRef/>
      </w:r>
      <w:r>
        <w:t xml:space="preserve"> ЕРРП – Единый реестр российских программ для электронных вычислительных машин и баз данных </w:t>
      </w:r>
      <w:hyperlink r:id="rId1" w:tooltip="https://reestr.digital.gov.ru/" w:history="1">
        <w:r>
          <w:rPr>
            <w:rStyle w:val="995"/>
          </w:rPr>
          <w:t xml:space="preserve">https://reestr.digital.gov.ru/</w:t>
        </w:r>
      </w:hyperlink>
      <w:r/>
      <w:r/>
    </w:p>
    <w:p>
      <w:pPr>
        <w:pStyle w:val="1014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9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9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Calibri" w:cs="Times New Roman"/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810"/>
      <w:isLgl w:val="fal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811"/>
      <w:isLgl w:val="false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0" w:firstLine="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8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480"/>
      </w:pPr>
      <w:rPr>
        <w:rFonts w:hint="default" w:ascii="Times New Roman" w:hAnsi="Times New Roman" w:eastAsia="Times New Roman" w:cs="Times New Roman"/>
        <w:color w:val="0000ff"/>
        <w:sz w:val="28"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pStyle w:val="809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num w:numId="1">
    <w:abstractNumId w:val="0"/>
  </w:num>
  <w:num w:numId="2">
    <w:abstractNumId w:val="25"/>
  </w:num>
  <w:num w:numId="3">
    <w:abstractNumId w:val="15"/>
  </w:num>
  <w:num w:numId="4">
    <w:abstractNumId w:val="10"/>
  </w:num>
  <w:num w:numId="5">
    <w:abstractNumId w:val="20"/>
  </w:num>
  <w:num w:numId="6">
    <w:abstractNumId w:val="14"/>
  </w:num>
  <w:num w:numId="7">
    <w:abstractNumId w:val="14"/>
  </w:num>
  <w:num w:numId="8">
    <w:abstractNumId w:val="14"/>
  </w:num>
  <w:num w:numId="9">
    <w:abstractNumId w:val="9"/>
  </w:num>
  <w:num w:numId="10">
    <w:abstractNumId w:val="27"/>
  </w:num>
  <w:num w:numId="11">
    <w:abstractNumId w:val="19"/>
  </w:num>
  <w:num w:numId="12">
    <w:abstractNumId w:val="24"/>
  </w:num>
  <w:num w:numId="13">
    <w:abstractNumId w:val="7"/>
  </w:num>
  <w:num w:numId="14">
    <w:abstractNumId w:val="14"/>
  </w:num>
  <w:num w:numId="15">
    <w:abstractNumId w:val="28"/>
  </w:num>
  <w:num w:numId="16">
    <w:abstractNumId w:val="28"/>
  </w:num>
  <w:num w:numId="17">
    <w:abstractNumId w:val="28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1"/>
  </w:num>
  <w:num w:numId="23">
    <w:abstractNumId w:val="28"/>
  </w:num>
  <w:num w:numId="24">
    <w:abstractNumId w:val="26"/>
  </w:num>
  <w:num w:numId="25">
    <w:abstractNumId w:val="5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7"/>
  </w:num>
  <w:num w:numId="29">
    <w:abstractNumId w:val="18"/>
  </w:num>
  <w:num w:numId="30">
    <w:abstractNumId w:val="12"/>
  </w:num>
  <w:num w:numId="31">
    <w:abstractNumId w:val="4"/>
  </w:num>
  <w:num w:numId="32">
    <w:abstractNumId w:val="2"/>
  </w:num>
  <w:num w:numId="33">
    <w:abstractNumId w:val="23"/>
  </w:num>
  <w:num w:numId="34">
    <w:abstractNumId w:val="16"/>
  </w:num>
  <w:num w:numId="35">
    <w:abstractNumId w:val="8"/>
  </w:num>
  <w:num w:numId="36">
    <w:abstractNumId w:val="21"/>
  </w:num>
  <w:num w:numId="37">
    <w:abstractNumId w:val="13"/>
  </w:num>
  <w:num w:numId="38">
    <w:abstractNumId w:val="6"/>
  </w:num>
  <w:num w:numId="3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аранова Полина Сергеевна">
    <w15:presenceInfo w15:providerId="Teamlab" w15:userId="Баранова Полина Серге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89">
    <w:name w:val="Plain Table 1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2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>
    <w:name w:val="Plain Table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Plain Table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>
    <w:name w:val="Grid Table 1 Light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4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8">
    <w:name w:val="Grid Table 5 Dark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7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7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808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09">
    <w:name w:val="Heading 1"/>
    <w:basedOn w:val="808"/>
    <w:next w:val="808"/>
    <w:link w:val="1002"/>
    <w:qFormat/>
    <w:pPr>
      <w:numPr>
        <w:ilvl w:val="0"/>
        <w:numId w:val="15"/>
      </w:numPr>
      <w:jc w:val="both"/>
      <w:keepNext/>
      <w:spacing w:before="120" w:after="60"/>
      <w:outlineLvl w:val="0"/>
    </w:pPr>
    <w:rPr>
      <w:sz w:val="28"/>
      <w:szCs w:val="20"/>
      <w:lang w:eastAsia="en-US"/>
    </w:rPr>
  </w:style>
  <w:style w:type="paragraph" w:styleId="810">
    <w:name w:val="Heading 2"/>
    <w:basedOn w:val="808"/>
    <w:next w:val="808"/>
    <w:link w:val="991"/>
    <w:qFormat/>
    <w:pPr>
      <w:numPr>
        <w:ilvl w:val="1"/>
        <w:numId w:val="8"/>
      </w:numPr>
      <w:keepNext/>
      <w:spacing w:before="120" w:after="120"/>
      <w:outlineLvl w:val="1"/>
    </w:pPr>
    <w:rPr>
      <w:sz w:val="28"/>
      <w:szCs w:val="20"/>
    </w:rPr>
  </w:style>
  <w:style w:type="paragraph" w:styleId="811">
    <w:name w:val="Heading 3"/>
    <w:basedOn w:val="808"/>
    <w:next w:val="808"/>
    <w:link w:val="1005"/>
    <w:qFormat/>
    <w:pPr>
      <w:numPr>
        <w:ilvl w:val="2"/>
        <w:numId w:val="8"/>
      </w:numPr>
      <w:keepNext/>
      <w:spacing w:before="120" w:after="60"/>
      <w:outlineLvl w:val="2"/>
    </w:pPr>
    <w:rPr>
      <w:sz w:val="28"/>
      <w:szCs w:val="20"/>
    </w:rPr>
  </w:style>
  <w:style w:type="paragraph" w:styleId="812">
    <w:name w:val="Heading 4"/>
    <w:basedOn w:val="808"/>
    <w:next w:val="808"/>
    <w:link w:val="8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3">
    <w:name w:val="Heading 5"/>
    <w:basedOn w:val="808"/>
    <w:next w:val="808"/>
    <w:link w:val="8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814">
    <w:name w:val="Heading 6"/>
    <w:basedOn w:val="808"/>
    <w:next w:val="808"/>
    <w:link w:val="8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15">
    <w:name w:val="Heading 7"/>
    <w:basedOn w:val="808"/>
    <w:next w:val="808"/>
    <w:link w:val="8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6">
    <w:name w:val="Heading 8"/>
    <w:basedOn w:val="808"/>
    <w:next w:val="808"/>
    <w:link w:val="8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7">
    <w:name w:val="Heading 9"/>
    <w:basedOn w:val="808"/>
    <w:next w:val="808"/>
    <w:link w:val="8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8" w:default="1">
    <w:name w:val="Default Paragraph Font"/>
    <w:uiPriority w:val="1"/>
    <w:semiHidden/>
    <w:unhideWhenUsed/>
  </w:style>
  <w:style w:type="table" w:styleId="8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0" w:default="1">
    <w:name w:val="No List"/>
    <w:uiPriority w:val="99"/>
    <w:semiHidden/>
    <w:unhideWhenUsed/>
  </w:style>
  <w:style w:type="character" w:styleId="821" w:customStyle="1">
    <w:name w:val="Heading 4 Char"/>
    <w:basedOn w:val="818"/>
    <w:uiPriority w:val="9"/>
    <w:rPr>
      <w:rFonts w:ascii="Arial" w:hAnsi="Arial" w:eastAsia="Arial" w:cs="Arial"/>
      <w:b/>
      <w:bCs/>
      <w:sz w:val="26"/>
      <w:szCs w:val="26"/>
    </w:rPr>
  </w:style>
  <w:style w:type="character" w:styleId="822" w:customStyle="1">
    <w:name w:val="Heading 5 Char"/>
    <w:basedOn w:val="818"/>
    <w:uiPriority w:val="9"/>
    <w:rPr>
      <w:rFonts w:ascii="Arial" w:hAnsi="Arial" w:eastAsia="Arial" w:cs="Arial"/>
      <w:b/>
      <w:bCs/>
      <w:sz w:val="24"/>
      <w:szCs w:val="24"/>
    </w:rPr>
  </w:style>
  <w:style w:type="character" w:styleId="823" w:customStyle="1">
    <w:name w:val="Heading 6 Char"/>
    <w:basedOn w:val="818"/>
    <w:uiPriority w:val="9"/>
    <w:rPr>
      <w:rFonts w:ascii="Arial" w:hAnsi="Arial" w:eastAsia="Arial" w:cs="Arial"/>
      <w:b/>
      <w:bCs/>
      <w:sz w:val="22"/>
      <w:szCs w:val="22"/>
    </w:rPr>
  </w:style>
  <w:style w:type="character" w:styleId="824" w:customStyle="1">
    <w:name w:val="Heading 7 Char"/>
    <w:basedOn w:val="8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5" w:customStyle="1">
    <w:name w:val="Heading 8 Char"/>
    <w:basedOn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26" w:customStyle="1">
    <w:name w:val="Heading 9 Char"/>
    <w:basedOn w:val="818"/>
    <w:uiPriority w:val="9"/>
    <w:rPr>
      <w:rFonts w:ascii="Arial" w:hAnsi="Arial" w:eastAsia="Arial" w:cs="Arial"/>
      <w:i/>
      <w:iCs/>
      <w:sz w:val="21"/>
      <w:szCs w:val="21"/>
    </w:rPr>
  </w:style>
  <w:style w:type="character" w:styleId="827" w:customStyle="1">
    <w:name w:val="Title Char"/>
    <w:basedOn w:val="818"/>
    <w:uiPriority w:val="10"/>
    <w:rPr>
      <w:sz w:val="48"/>
      <w:szCs w:val="48"/>
    </w:rPr>
  </w:style>
  <w:style w:type="character" w:styleId="828" w:customStyle="1">
    <w:name w:val="Subtitle Char"/>
    <w:basedOn w:val="818"/>
    <w:uiPriority w:val="11"/>
    <w:rPr>
      <w:sz w:val="24"/>
      <w:szCs w:val="24"/>
    </w:rPr>
  </w:style>
  <w:style w:type="character" w:styleId="829" w:customStyle="1">
    <w:name w:val="Quote Char"/>
    <w:uiPriority w:val="29"/>
    <w:rPr>
      <w:i/>
    </w:rPr>
  </w:style>
  <w:style w:type="character" w:styleId="830" w:customStyle="1">
    <w:name w:val="Intense Quote Char"/>
    <w:uiPriority w:val="30"/>
    <w:rPr>
      <w:i/>
    </w:rPr>
  </w:style>
  <w:style w:type="character" w:styleId="831" w:customStyle="1">
    <w:name w:val="Caption Char"/>
    <w:basedOn w:val="818"/>
    <w:uiPriority w:val="35"/>
    <w:rPr>
      <w:b/>
      <w:bCs/>
      <w:color w:val="4f81bd" w:themeColor="accent1"/>
      <w:sz w:val="18"/>
      <w:szCs w:val="18"/>
    </w:rPr>
  </w:style>
  <w:style w:type="character" w:styleId="832" w:customStyle="1">
    <w:name w:val="Endnote Text Char"/>
    <w:uiPriority w:val="99"/>
    <w:rPr>
      <w:sz w:val="20"/>
    </w:rPr>
  </w:style>
  <w:style w:type="character" w:styleId="833" w:customStyle="1">
    <w:name w:val="Heading 1 Char"/>
    <w:basedOn w:val="818"/>
    <w:uiPriority w:val="9"/>
    <w:rPr>
      <w:rFonts w:ascii="Arial" w:hAnsi="Arial" w:eastAsia="Arial" w:cs="Arial"/>
      <w:sz w:val="40"/>
      <w:szCs w:val="40"/>
    </w:rPr>
  </w:style>
  <w:style w:type="character" w:styleId="834" w:customStyle="1">
    <w:name w:val="Heading 2 Char"/>
    <w:basedOn w:val="818"/>
    <w:uiPriority w:val="9"/>
    <w:rPr>
      <w:rFonts w:ascii="Arial" w:hAnsi="Arial" w:eastAsia="Arial" w:cs="Arial"/>
      <w:sz w:val="34"/>
    </w:rPr>
  </w:style>
  <w:style w:type="character" w:styleId="835" w:customStyle="1">
    <w:name w:val="Heading 3 Char"/>
    <w:basedOn w:val="818"/>
    <w:uiPriority w:val="9"/>
    <w:rPr>
      <w:rFonts w:ascii="Arial" w:hAnsi="Arial" w:eastAsia="Arial" w:cs="Arial"/>
      <w:sz w:val="30"/>
      <w:szCs w:val="30"/>
    </w:rPr>
  </w:style>
  <w:style w:type="character" w:styleId="836" w:customStyle="1">
    <w:name w:val="Заголовок 4 Знак"/>
    <w:basedOn w:val="818"/>
    <w:link w:val="812"/>
    <w:uiPriority w:val="9"/>
    <w:rPr>
      <w:rFonts w:ascii="Arial" w:hAnsi="Arial" w:eastAsia="Arial" w:cs="Arial"/>
      <w:b/>
      <w:bCs/>
      <w:sz w:val="26"/>
      <w:szCs w:val="26"/>
    </w:rPr>
  </w:style>
  <w:style w:type="character" w:styleId="837" w:customStyle="1">
    <w:name w:val="Заголовок 5 Знак"/>
    <w:basedOn w:val="818"/>
    <w:link w:val="813"/>
    <w:uiPriority w:val="9"/>
    <w:rPr>
      <w:rFonts w:ascii="Arial" w:hAnsi="Arial" w:eastAsia="Arial" w:cs="Arial"/>
      <w:b/>
      <w:bCs/>
      <w:sz w:val="24"/>
      <w:szCs w:val="24"/>
    </w:rPr>
  </w:style>
  <w:style w:type="character" w:styleId="838" w:customStyle="1">
    <w:name w:val="Заголовок 6 Знак"/>
    <w:basedOn w:val="818"/>
    <w:link w:val="814"/>
    <w:uiPriority w:val="9"/>
    <w:rPr>
      <w:rFonts w:ascii="Arial" w:hAnsi="Arial" w:eastAsia="Arial" w:cs="Arial"/>
      <w:b/>
      <w:bCs/>
      <w:sz w:val="22"/>
      <w:szCs w:val="22"/>
    </w:rPr>
  </w:style>
  <w:style w:type="character" w:styleId="839" w:customStyle="1">
    <w:name w:val="Заголовок 7 Знак"/>
    <w:basedOn w:val="818"/>
    <w:link w:val="8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0" w:customStyle="1">
    <w:name w:val="Заголовок 8 Знак"/>
    <w:basedOn w:val="818"/>
    <w:link w:val="816"/>
    <w:uiPriority w:val="9"/>
    <w:rPr>
      <w:rFonts w:ascii="Arial" w:hAnsi="Arial" w:eastAsia="Arial" w:cs="Arial"/>
      <w:i/>
      <w:iCs/>
      <w:sz w:val="22"/>
      <w:szCs w:val="22"/>
    </w:rPr>
  </w:style>
  <w:style w:type="character" w:styleId="841" w:customStyle="1">
    <w:name w:val="Заголовок 9 Знак"/>
    <w:basedOn w:val="818"/>
    <w:link w:val="817"/>
    <w:uiPriority w:val="9"/>
    <w:rPr>
      <w:rFonts w:ascii="Arial" w:hAnsi="Arial" w:eastAsia="Arial" w:cs="Arial"/>
      <w:i/>
      <w:iCs/>
      <w:sz w:val="21"/>
      <w:szCs w:val="21"/>
    </w:rPr>
  </w:style>
  <w:style w:type="paragraph" w:styleId="842">
    <w:name w:val="No Spacing"/>
    <w:uiPriority w:val="1"/>
    <w:qFormat/>
  </w:style>
  <w:style w:type="paragraph" w:styleId="843">
    <w:name w:val="Title"/>
    <w:basedOn w:val="808"/>
    <w:next w:val="808"/>
    <w:link w:val="8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4" w:customStyle="1">
    <w:name w:val="Название Знак"/>
    <w:basedOn w:val="818"/>
    <w:link w:val="843"/>
    <w:uiPriority w:val="10"/>
    <w:rPr>
      <w:sz w:val="48"/>
      <w:szCs w:val="48"/>
    </w:rPr>
  </w:style>
  <w:style w:type="paragraph" w:styleId="845">
    <w:name w:val="Subtitle"/>
    <w:basedOn w:val="808"/>
    <w:next w:val="808"/>
    <w:link w:val="846"/>
    <w:uiPriority w:val="11"/>
    <w:qFormat/>
    <w:pPr>
      <w:spacing w:before="200" w:after="200"/>
    </w:pPr>
  </w:style>
  <w:style w:type="character" w:styleId="846" w:customStyle="1">
    <w:name w:val="Подзаголовок Знак"/>
    <w:basedOn w:val="818"/>
    <w:link w:val="845"/>
    <w:uiPriority w:val="11"/>
    <w:rPr>
      <w:sz w:val="24"/>
      <w:szCs w:val="24"/>
    </w:rPr>
  </w:style>
  <w:style w:type="paragraph" w:styleId="847">
    <w:name w:val="Quote"/>
    <w:basedOn w:val="808"/>
    <w:next w:val="808"/>
    <w:link w:val="848"/>
    <w:uiPriority w:val="29"/>
    <w:qFormat/>
    <w:pPr>
      <w:ind w:left="720" w:right="720"/>
    </w:pPr>
    <w:rPr>
      <w:i/>
    </w:rPr>
  </w:style>
  <w:style w:type="character" w:styleId="848" w:customStyle="1">
    <w:name w:val="Цитата 2 Знак"/>
    <w:link w:val="847"/>
    <w:uiPriority w:val="29"/>
    <w:rPr>
      <w:i/>
    </w:rPr>
  </w:style>
  <w:style w:type="paragraph" w:styleId="849">
    <w:name w:val="Intense Quote"/>
    <w:basedOn w:val="808"/>
    <w:next w:val="808"/>
    <w:link w:val="8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0" w:customStyle="1">
    <w:name w:val="Выделенная цитата Знак"/>
    <w:link w:val="849"/>
    <w:uiPriority w:val="30"/>
    <w:rPr>
      <w:i/>
    </w:rPr>
  </w:style>
  <w:style w:type="character" w:styleId="851" w:customStyle="1">
    <w:name w:val="Header Char"/>
    <w:basedOn w:val="818"/>
    <w:uiPriority w:val="99"/>
  </w:style>
  <w:style w:type="character" w:styleId="852" w:customStyle="1">
    <w:name w:val="Footer Char"/>
    <w:basedOn w:val="818"/>
    <w:uiPriority w:val="99"/>
  </w:style>
  <w:style w:type="paragraph" w:styleId="853">
    <w:name w:val="Caption"/>
    <w:basedOn w:val="808"/>
    <w:next w:val="808"/>
    <w:link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4" w:customStyle="1">
    <w:name w:val="Название объекта Знак"/>
    <w:basedOn w:val="818"/>
    <w:link w:val="853"/>
    <w:uiPriority w:val="35"/>
    <w:rPr>
      <w:b/>
      <w:bCs/>
      <w:color w:val="4f81bd" w:themeColor="accent1"/>
      <w:sz w:val="18"/>
      <w:szCs w:val="18"/>
    </w:rPr>
  </w:style>
  <w:style w:type="table" w:styleId="855" w:customStyle="1">
    <w:name w:val="Table Grid Light"/>
    <w:basedOn w:val="8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6" w:customStyle="1">
    <w:name w:val="Таблица простая 11"/>
    <w:basedOn w:val="8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7" w:customStyle="1">
    <w:name w:val="Таблица простая 21"/>
    <w:basedOn w:val="81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8" w:customStyle="1">
    <w:name w:val="Таблица простая 31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9" w:customStyle="1">
    <w:name w:val="Таблица простая 41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Таблица простая 51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1" w:customStyle="1">
    <w:name w:val="Таблица-сетка 1 светлая1"/>
    <w:basedOn w:val="81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1"/>
    <w:basedOn w:val="81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2"/>
    <w:basedOn w:val="81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Grid Table 1 Light - Accent 3"/>
    <w:basedOn w:val="81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Grid Table 1 Light - Accent 4"/>
    <w:basedOn w:val="81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Grid Table 1 Light - Accent 5"/>
    <w:basedOn w:val="81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Grid Table 1 Light - Accent 6"/>
    <w:basedOn w:val="81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Таблица-сетка 21"/>
    <w:basedOn w:val="8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1"/>
    <w:basedOn w:val="81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2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5"/>
    <w:basedOn w:val="81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6"/>
    <w:basedOn w:val="81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Таблица-сетка 31"/>
    <w:basedOn w:val="8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1"/>
    <w:basedOn w:val="81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5"/>
    <w:basedOn w:val="81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6"/>
    <w:basedOn w:val="81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Таблица-сетка 41"/>
    <w:basedOn w:val="81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3" w:customStyle="1">
    <w:name w:val="Grid Table 4 - Accent 1"/>
    <w:basedOn w:val="81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84" w:customStyle="1">
    <w:name w:val="Grid Table 4 - Accent 2"/>
    <w:basedOn w:val="81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85" w:customStyle="1">
    <w:name w:val="Grid Table 4 - Accent 3"/>
    <w:basedOn w:val="81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86" w:customStyle="1">
    <w:name w:val="Grid Table 4 - Accent 4"/>
    <w:basedOn w:val="81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7" w:customStyle="1">
    <w:name w:val="Grid Table 4 - Accent 5"/>
    <w:basedOn w:val="81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8" w:customStyle="1">
    <w:name w:val="Grid Table 4 - Accent 6"/>
    <w:basedOn w:val="81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9" w:customStyle="1">
    <w:name w:val="Таблица-сетка 5 темная1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- Accent 1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2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5 Dark - Accent 3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- Accent 4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5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 - Accent 6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96" w:customStyle="1">
    <w:name w:val="Таблица-сетка 6 цветная1"/>
    <w:basedOn w:val="81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7" w:customStyle="1">
    <w:name w:val="Grid Table 6 Colorful - Accent 1"/>
    <w:basedOn w:val="81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8" w:customStyle="1">
    <w:name w:val="Grid Table 6 Colorful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9" w:customStyle="1">
    <w:name w:val="Grid Table 6 Colorful - Accent 3"/>
    <w:basedOn w:val="81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00" w:customStyle="1">
    <w:name w:val="Grid Table 6 Colorful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01" w:customStyle="1">
    <w:name w:val="Grid Table 6 Colorful - Accent 5"/>
    <w:basedOn w:val="81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02" w:customStyle="1">
    <w:name w:val="Grid Table 6 Colorful - Accent 6"/>
    <w:basedOn w:val="81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03" w:customStyle="1">
    <w:name w:val="Таблица-сетка 7 цветная1"/>
    <w:basedOn w:val="81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1"/>
    <w:basedOn w:val="81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7 Colorful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7 Colorful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5"/>
    <w:basedOn w:val="81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7 Colorful - Accent 6"/>
    <w:basedOn w:val="81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Список-таблица 1 светлая1"/>
    <w:basedOn w:val="81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1"/>
    <w:basedOn w:val="81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2"/>
    <w:basedOn w:val="81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 - Accent 3"/>
    <w:basedOn w:val="81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4"/>
    <w:basedOn w:val="81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5"/>
    <w:basedOn w:val="81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6"/>
    <w:basedOn w:val="81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Список-таблица 21"/>
    <w:basedOn w:val="81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1"/>
    <w:basedOn w:val="81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2"/>
    <w:basedOn w:val="81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20" w:customStyle="1">
    <w:name w:val="List Table 2 - Accent 3"/>
    <w:basedOn w:val="81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21" w:customStyle="1">
    <w:name w:val="List Table 2 - Accent 4"/>
    <w:basedOn w:val="81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22" w:customStyle="1">
    <w:name w:val="List Table 2 - Accent 5"/>
    <w:basedOn w:val="81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23" w:customStyle="1">
    <w:name w:val="List Table 2 - Accent 6"/>
    <w:basedOn w:val="81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24" w:customStyle="1">
    <w:name w:val="Список-таблица 31"/>
    <w:basedOn w:val="8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1"/>
    <w:basedOn w:val="81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3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3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3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3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Список-таблица 41"/>
    <w:basedOn w:val="8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1"/>
    <w:basedOn w:val="81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2"/>
    <w:basedOn w:val="81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4 - Accent 3"/>
    <w:basedOn w:val="81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4 - Accent 4"/>
    <w:basedOn w:val="81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4 - Accent 5"/>
    <w:basedOn w:val="81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4 - Accent 6"/>
    <w:basedOn w:val="81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Список-таблица 5 темная1"/>
    <w:basedOn w:val="81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1"/>
    <w:basedOn w:val="81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 w:customStyle="1">
    <w:name w:val="List Table 5 Dark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2" w:customStyle="1">
    <w:name w:val="List Table 5 Dark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3" w:customStyle="1">
    <w:name w:val="List Table 5 Dark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4" w:customStyle="1">
    <w:name w:val="List Table 5 Dark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5" w:customStyle="1">
    <w:name w:val="Список-таблица 6 цветная1"/>
    <w:basedOn w:val="81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6" w:customStyle="1">
    <w:name w:val="List Table 6 Colorful - Accent 1"/>
    <w:basedOn w:val="81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7" w:customStyle="1">
    <w:name w:val="List Table 6 Colorful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8" w:customStyle="1">
    <w:name w:val="List Table 6 Colorful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9" w:customStyle="1">
    <w:name w:val="List Table 6 Colorful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50" w:customStyle="1">
    <w:name w:val="List Table 6 Colorful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51" w:customStyle="1">
    <w:name w:val="List Table 6 Colorful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52" w:customStyle="1">
    <w:name w:val="Список-таблица 7 цветная1"/>
    <w:basedOn w:val="81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1"/>
    <w:basedOn w:val="81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2"/>
    <w:basedOn w:val="81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7 Colorful - Accent 3"/>
    <w:basedOn w:val="81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7 Colorful - Accent 4"/>
    <w:basedOn w:val="81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5"/>
    <w:basedOn w:val="81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7 Colorful - Accent 6"/>
    <w:basedOn w:val="81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ned - Accent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Lined - Accent 1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Lined - Accent 2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Lined - Accent 3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Lined - Accent 4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Lined - Accent 5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Lined - Accent 6"/>
    <w:basedOn w:val="81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 &amp; Lined - Accent"/>
    <w:basedOn w:val="81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7" w:customStyle="1">
    <w:name w:val="Bordered &amp; Lined - Accent 1"/>
    <w:basedOn w:val="819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8" w:customStyle="1">
    <w:name w:val="Bordered &amp; Lined - Accent 2"/>
    <w:basedOn w:val="819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9" w:customStyle="1">
    <w:name w:val="Bordered &amp; Lined - Accent 3"/>
    <w:basedOn w:val="819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70" w:customStyle="1">
    <w:name w:val="Bordered &amp; Lined - Accent 4"/>
    <w:basedOn w:val="819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71" w:customStyle="1">
    <w:name w:val="Bordered &amp; Lined - Accent 5"/>
    <w:basedOn w:val="819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72" w:customStyle="1">
    <w:name w:val="Bordered &amp; Lined - Accent 6"/>
    <w:basedOn w:val="819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73" w:customStyle="1">
    <w:name w:val="Bordered"/>
    <w:basedOn w:val="81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4" w:customStyle="1">
    <w:name w:val="Bordered - Accent 1"/>
    <w:basedOn w:val="81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75" w:customStyle="1">
    <w:name w:val="Bordered - Accent 2"/>
    <w:basedOn w:val="81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76" w:customStyle="1">
    <w:name w:val="Bordered - Accent 3"/>
    <w:basedOn w:val="81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7" w:customStyle="1">
    <w:name w:val="Bordered - Accent 4"/>
    <w:basedOn w:val="81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8" w:customStyle="1">
    <w:name w:val="Bordered - Accent 5"/>
    <w:basedOn w:val="81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9" w:customStyle="1">
    <w:name w:val="Bordered - Accent 6"/>
    <w:basedOn w:val="81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80" w:customStyle="1">
    <w:name w:val="Footnote Text Char"/>
    <w:uiPriority w:val="99"/>
    <w:rPr>
      <w:sz w:val="18"/>
    </w:rPr>
  </w:style>
  <w:style w:type="paragraph" w:styleId="981">
    <w:name w:val="endnote text"/>
    <w:basedOn w:val="808"/>
    <w:link w:val="982"/>
    <w:uiPriority w:val="99"/>
    <w:semiHidden/>
    <w:unhideWhenUsed/>
    <w:rPr>
      <w:sz w:val="20"/>
    </w:rPr>
  </w:style>
  <w:style w:type="character" w:styleId="982" w:customStyle="1">
    <w:name w:val="Текст концевой сноски Знак"/>
    <w:link w:val="981"/>
    <w:uiPriority w:val="99"/>
    <w:rPr>
      <w:sz w:val="20"/>
    </w:rPr>
  </w:style>
  <w:style w:type="character" w:styleId="983">
    <w:name w:val="endnote reference"/>
    <w:basedOn w:val="818"/>
    <w:uiPriority w:val="99"/>
    <w:semiHidden/>
    <w:unhideWhenUsed/>
    <w:rPr>
      <w:vertAlign w:val="superscript"/>
    </w:rPr>
  </w:style>
  <w:style w:type="paragraph" w:styleId="984">
    <w:name w:val="toc 4"/>
    <w:basedOn w:val="808"/>
    <w:next w:val="808"/>
    <w:uiPriority w:val="39"/>
    <w:unhideWhenUsed/>
    <w:pPr>
      <w:ind w:left="850"/>
      <w:spacing w:after="57"/>
    </w:pPr>
  </w:style>
  <w:style w:type="paragraph" w:styleId="985">
    <w:name w:val="toc 5"/>
    <w:basedOn w:val="808"/>
    <w:next w:val="808"/>
    <w:uiPriority w:val="39"/>
    <w:unhideWhenUsed/>
    <w:pPr>
      <w:ind w:left="1134"/>
      <w:spacing w:after="57"/>
    </w:pPr>
  </w:style>
  <w:style w:type="paragraph" w:styleId="986">
    <w:name w:val="toc 6"/>
    <w:basedOn w:val="808"/>
    <w:next w:val="808"/>
    <w:uiPriority w:val="39"/>
    <w:unhideWhenUsed/>
    <w:pPr>
      <w:ind w:left="1417"/>
      <w:spacing w:after="57"/>
    </w:pPr>
  </w:style>
  <w:style w:type="paragraph" w:styleId="987">
    <w:name w:val="toc 7"/>
    <w:basedOn w:val="808"/>
    <w:next w:val="808"/>
    <w:uiPriority w:val="39"/>
    <w:unhideWhenUsed/>
    <w:pPr>
      <w:ind w:left="1701"/>
      <w:spacing w:after="57"/>
    </w:pPr>
  </w:style>
  <w:style w:type="paragraph" w:styleId="988">
    <w:name w:val="toc 8"/>
    <w:basedOn w:val="808"/>
    <w:next w:val="808"/>
    <w:uiPriority w:val="39"/>
    <w:unhideWhenUsed/>
    <w:pPr>
      <w:ind w:left="1984"/>
      <w:spacing w:after="57"/>
    </w:pPr>
  </w:style>
  <w:style w:type="paragraph" w:styleId="989">
    <w:name w:val="toc 9"/>
    <w:basedOn w:val="808"/>
    <w:next w:val="808"/>
    <w:uiPriority w:val="39"/>
    <w:unhideWhenUsed/>
    <w:pPr>
      <w:ind w:left="2268"/>
      <w:spacing w:after="57"/>
    </w:pPr>
  </w:style>
  <w:style w:type="paragraph" w:styleId="990">
    <w:name w:val="table of figures"/>
    <w:basedOn w:val="808"/>
    <w:next w:val="808"/>
    <w:uiPriority w:val="99"/>
    <w:unhideWhenUsed/>
  </w:style>
  <w:style w:type="character" w:styleId="991" w:customStyle="1">
    <w:name w:val="Заголовок 2 Знак"/>
    <w:link w:val="810"/>
    <w:rPr>
      <w:rFonts w:ascii="Times New Roman" w:hAnsi="Times New Roman" w:eastAsia="Times New Roman"/>
      <w:sz w:val="28"/>
    </w:rPr>
  </w:style>
  <w:style w:type="paragraph" w:styleId="992">
    <w:name w:val="Balloon Text"/>
    <w:basedOn w:val="808"/>
    <w:link w:val="993"/>
    <w:uiPriority w:val="99"/>
    <w:semiHidden/>
    <w:rPr>
      <w:rFonts w:ascii="Tahoma" w:hAnsi="Tahoma" w:cs="Tahoma"/>
      <w:sz w:val="16"/>
      <w:szCs w:val="16"/>
    </w:rPr>
  </w:style>
  <w:style w:type="character" w:styleId="993" w:customStyle="1">
    <w:name w:val="Текст выноски Знак"/>
    <w:link w:val="992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994" w:customStyle="1">
    <w:name w:val="Абзац списка1"/>
    <w:basedOn w:val="808"/>
    <w:uiPriority w:val="99"/>
    <w:qFormat/>
    <w:pPr>
      <w:ind w:left="720"/>
    </w:pPr>
  </w:style>
  <w:style w:type="character" w:styleId="995">
    <w:name w:val="Hyperlink"/>
    <w:uiPriority w:val="99"/>
    <w:rPr>
      <w:color w:val="0000ff"/>
      <w:u w:val="single"/>
    </w:rPr>
  </w:style>
  <w:style w:type="paragraph" w:styleId="996">
    <w:name w:val="Header"/>
    <w:basedOn w:val="808"/>
    <w:link w:val="997"/>
    <w:uiPriority w:val="99"/>
    <w:pPr>
      <w:tabs>
        <w:tab w:val="center" w:pos="4677" w:leader="none"/>
        <w:tab w:val="right" w:pos="9355" w:leader="none"/>
      </w:tabs>
    </w:pPr>
  </w:style>
  <w:style w:type="character" w:styleId="997" w:customStyle="1">
    <w:name w:val="Верхний колонтитул Знак"/>
    <w:link w:val="996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998">
    <w:name w:val="Footer"/>
    <w:basedOn w:val="808"/>
    <w:link w:val="999"/>
    <w:uiPriority w:val="99"/>
    <w:pPr>
      <w:tabs>
        <w:tab w:val="center" w:pos="4677" w:leader="none"/>
        <w:tab w:val="right" w:pos="9355" w:leader="none"/>
      </w:tabs>
    </w:pPr>
  </w:style>
  <w:style w:type="character" w:styleId="999" w:customStyle="1">
    <w:name w:val="Нижний колонтитул Знак"/>
    <w:link w:val="998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1000">
    <w:name w:val="page number"/>
    <w:basedOn w:val="818"/>
  </w:style>
  <w:style w:type="table" w:styleId="1001">
    <w:name w:val="Table Grid"/>
    <w:basedOn w:val="8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02" w:customStyle="1">
    <w:name w:val="Заголовок 1 Знак"/>
    <w:basedOn w:val="818"/>
    <w:link w:val="809"/>
    <w:rPr>
      <w:rFonts w:ascii="Times New Roman" w:hAnsi="Times New Roman" w:eastAsia="Times New Roman"/>
      <w:sz w:val="28"/>
      <w:lang w:eastAsia="en-US"/>
    </w:rPr>
  </w:style>
  <w:style w:type="paragraph" w:styleId="1003">
    <w:name w:val="toc 1"/>
    <w:basedOn w:val="808"/>
    <w:next w:val="808"/>
    <w:uiPriority w:val="39"/>
    <w:pPr>
      <w:spacing w:after="100"/>
      <w:tabs>
        <w:tab w:val="left" w:pos="480" w:leader="none"/>
        <w:tab w:val="right" w:pos="9345" w:leader="dot"/>
      </w:tabs>
    </w:pPr>
    <w:rPr>
      <w:rFonts w:eastAsiaTheme="minorEastAsia"/>
      <w:sz w:val="28"/>
      <w:szCs w:val="28"/>
    </w:rPr>
  </w:style>
  <w:style w:type="paragraph" w:styleId="1004">
    <w:name w:val="toc 2"/>
    <w:basedOn w:val="808"/>
    <w:next w:val="808"/>
    <w:uiPriority w:val="39"/>
    <w:pPr>
      <w:ind w:left="240"/>
      <w:spacing w:after="100"/>
    </w:pPr>
    <w:rPr>
      <w:sz w:val="28"/>
    </w:rPr>
  </w:style>
  <w:style w:type="character" w:styleId="1005" w:customStyle="1">
    <w:name w:val="Заголовок 3 Знак"/>
    <w:basedOn w:val="818"/>
    <w:link w:val="811"/>
    <w:rPr>
      <w:rFonts w:ascii="Times New Roman" w:hAnsi="Times New Roman" w:eastAsia="Times New Roman"/>
      <w:sz w:val="28"/>
    </w:rPr>
  </w:style>
  <w:style w:type="paragraph" w:styleId="1006">
    <w:name w:val="toc 3"/>
    <w:basedOn w:val="808"/>
    <w:next w:val="808"/>
    <w:uiPriority w:val="39"/>
    <w:pPr>
      <w:ind w:left="480"/>
      <w:spacing w:after="100"/>
    </w:pPr>
    <w:rPr>
      <w:sz w:val="28"/>
    </w:rPr>
  </w:style>
  <w:style w:type="paragraph" w:styleId="1007">
    <w:name w:val="TOC Heading"/>
    <w:basedOn w:val="809"/>
    <w:next w:val="808"/>
    <w:uiPriority w:val="39"/>
    <w:unhideWhenUsed/>
    <w:qFormat/>
    <w:pPr>
      <w:numPr>
        <w:ilvl w:val="0"/>
        <w:numId w:val="0"/>
      </w:numPr>
      <w:jc w:val="left"/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1008">
    <w:name w:val="List Paragraph"/>
    <w:basedOn w:val="808"/>
    <w:uiPriority w:val="34"/>
    <w:qFormat/>
    <w:pPr>
      <w:contextualSpacing/>
      <w:ind w:left="720"/>
    </w:pPr>
  </w:style>
  <w:style w:type="paragraph" w:styleId="1009" w:customStyle="1">
    <w:name w:val="Пункт"/>
    <w:basedOn w:val="808"/>
    <w:pPr>
      <w:ind w:left="1134" w:hanging="1134"/>
      <w:jc w:val="both"/>
      <w:spacing w:line="360" w:lineRule="auto"/>
      <w:tabs>
        <w:tab w:val="num" w:pos="1134" w:leader="none"/>
      </w:tabs>
    </w:pPr>
    <w:rPr>
      <w:sz w:val="28"/>
      <w:szCs w:val="20"/>
    </w:rPr>
  </w:style>
  <w:style w:type="paragraph" w:styleId="1010" w:customStyle="1">
    <w:name w:val="ENDLIST"/>
    <w:basedOn w:val="808"/>
    <w:pPr>
      <w:jc w:val="center"/>
      <w:keepLines/>
      <w:spacing w:before="240" w:after="240" w:line="288" w:lineRule="auto"/>
      <w:widowControl w:val="off"/>
    </w:pPr>
    <w:rPr>
      <w:b/>
      <w:caps/>
      <w:lang w:eastAsia="en-US"/>
    </w:rPr>
  </w:style>
  <w:style w:type="paragraph" w:styleId="1011" w:customStyle="1">
    <w:name w:val="АИС_Обычный текст"/>
    <w:link w:val="1012"/>
    <w:qFormat/>
    <w:pPr>
      <w:jc w:val="both"/>
      <w:spacing w:line="360" w:lineRule="auto"/>
    </w:pPr>
    <w:rPr>
      <w:rFonts w:ascii="Times New Roman" w:hAnsi="Times New Roman" w:eastAsia="Times New Roman"/>
      <w:sz w:val="24"/>
      <w:szCs w:val="28"/>
    </w:rPr>
  </w:style>
  <w:style w:type="character" w:styleId="1012" w:customStyle="1">
    <w:name w:val="АИС_Обычный текст Знак"/>
    <w:link w:val="1011"/>
    <w:rPr>
      <w:rFonts w:ascii="Times New Roman" w:hAnsi="Times New Roman" w:eastAsia="Times New Roman"/>
      <w:sz w:val="24"/>
      <w:szCs w:val="28"/>
    </w:rPr>
  </w:style>
  <w:style w:type="character" w:styleId="1013">
    <w:name w:val="FollowedHyperlink"/>
    <w:basedOn w:val="818"/>
    <w:uiPriority w:val="99"/>
    <w:semiHidden/>
    <w:unhideWhenUsed/>
    <w:rPr>
      <w:color w:val="800080" w:themeColor="followedHyperlink"/>
      <w:u w:val="single"/>
    </w:rPr>
  </w:style>
  <w:style w:type="paragraph" w:styleId="1014">
    <w:name w:val="footnote text"/>
    <w:basedOn w:val="808"/>
    <w:link w:val="1015"/>
    <w:uiPriority w:val="99"/>
    <w:semiHidden/>
    <w:unhideWhenUsed/>
    <w:rPr>
      <w:sz w:val="20"/>
      <w:szCs w:val="20"/>
    </w:rPr>
  </w:style>
  <w:style w:type="character" w:styleId="1015" w:customStyle="1">
    <w:name w:val="Текст сноски Знак"/>
    <w:basedOn w:val="818"/>
    <w:link w:val="1014"/>
    <w:uiPriority w:val="99"/>
    <w:semiHidden/>
    <w:rPr>
      <w:rFonts w:ascii="Times New Roman" w:hAnsi="Times New Roman" w:eastAsia="Times New Roman"/>
    </w:rPr>
  </w:style>
  <w:style w:type="character" w:styleId="1016">
    <w:name w:val="footnote reference"/>
    <w:basedOn w:val="818"/>
    <w:uiPriority w:val="99"/>
    <w:semiHidden/>
    <w:unhideWhenUsed/>
    <w:rPr>
      <w:vertAlign w:val="superscript"/>
    </w:rPr>
  </w:style>
  <w:style w:type="paragraph" w:styleId="1017">
    <w:name w:val="Body Text"/>
    <w:basedOn w:val="808"/>
    <w:link w:val="1018"/>
    <w:uiPriority w:val="1"/>
    <w:qFormat/>
    <w:pPr>
      <w:widowControl w:val="off"/>
    </w:pPr>
    <w:rPr>
      <w:lang w:eastAsia="en-US"/>
    </w:rPr>
  </w:style>
  <w:style w:type="character" w:styleId="1018" w:customStyle="1">
    <w:name w:val="Основной текст Знак"/>
    <w:basedOn w:val="818"/>
    <w:link w:val="1017"/>
    <w:uiPriority w:val="1"/>
    <w:rPr>
      <w:rFonts w:ascii="Times New Roman" w:hAnsi="Times New Roman" w:eastAsia="Times New Roman"/>
      <w:sz w:val="24"/>
      <w:szCs w:val="24"/>
      <w:lang w:eastAsia="en-US"/>
    </w:rPr>
  </w:style>
  <w:style w:type="paragraph" w:styleId="1019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Theme="minorHAnsi"/>
      <w:sz w:val="28"/>
      <w:szCs w:val="28"/>
      <w:lang w:eastAsia="en-US"/>
    </w:rPr>
  </w:style>
  <w:style w:type="character" w:styleId="1020">
    <w:name w:val="annotation reference"/>
    <w:basedOn w:val="818"/>
    <w:uiPriority w:val="99"/>
    <w:semiHidden/>
    <w:unhideWhenUsed/>
    <w:rPr>
      <w:sz w:val="16"/>
      <w:szCs w:val="16"/>
    </w:rPr>
  </w:style>
  <w:style w:type="paragraph" w:styleId="1021">
    <w:name w:val="annotation text"/>
    <w:basedOn w:val="808"/>
    <w:link w:val="1022"/>
    <w:uiPriority w:val="99"/>
    <w:semiHidden/>
    <w:unhideWhenUsed/>
    <w:rPr>
      <w:sz w:val="20"/>
      <w:szCs w:val="20"/>
    </w:rPr>
  </w:style>
  <w:style w:type="character" w:styleId="1022" w:customStyle="1">
    <w:name w:val="Текст примечания Знак"/>
    <w:basedOn w:val="818"/>
    <w:link w:val="1021"/>
    <w:uiPriority w:val="99"/>
    <w:semiHidden/>
    <w:rPr>
      <w:rFonts w:ascii="Times New Roman" w:hAnsi="Times New Roman" w:eastAsia="Times New Roman"/>
    </w:rPr>
  </w:style>
  <w:style w:type="paragraph" w:styleId="1023">
    <w:name w:val="annotation subject"/>
    <w:basedOn w:val="1021"/>
    <w:next w:val="1021"/>
    <w:link w:val="1024"/>
    <w:uiPriority w:val="99"/>
    <w:semiHidden/>
    <w:unhideWhenUsed/>
    <w:rPr>
      <w:b/>
      <w:bCs/>
    </w:rPr>
  </w:style>
  <w:style w:type="character" w:styleId="1024" w:customStyle="1">
    <w:name w:val="Тема примечания Знак"/>
    <w:basedOn w:val="1022"/>
    <w:link w:val="1023"/>
    <w:uiPriority w:val="99"/>
    <w:semiHidden/>
    <w:rPr>
      <w:rFonts w:ascii="Times New Roman" w:hAnsi="Times New Roman" w:eastAsia="Times New Roman"/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omments" Target="comments.xml" /><Relationship Id="rId14" Type="http://schemas.microsoft.com/office/2011/relationships/commentsExtended" Target="commentsExtended.xml" /><Relationship Id="rId15" Type="http://schemas.microsoft.com/office/2018/08/relationships/commentsExtensible" Target="commentsExtensible.xml" /><Relationship Id="rId16" Type="http://schemas.microsoft.com/office/2016/09/relationships/commentsIds" Target="commentsIds.xml" /><Relationship Id="rId17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reestr.digital.gov.ru/" TargetMode="External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6E029-DCEB-4D13-AD5E-8C4B19A2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Lazarev</dc:creator>
  <cp:lastModifiedBy>psk01367</cp:lastModifiedBy>
  <cp:revision>8</cp:revision>
  <dcterms:created xsi:type="dcterms:W3CDTF">2026-08-06T07:53:00Z</dcterms:created>
  <dcterms:modified xsi:type="dcterms:W3CDTF">2026-08-07T08:24:02Z</dcterms:modified>
</cp:coreProperties>
</file>