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oter6.xml" ContentType="application/vnd.openxmlformats-officedocument.wordprocessingml.foot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styles.xml" ContentType="application/vnd.openxmlformats-officedocument.wordprocessingml.style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outlineLvl w:val="0"/>
        <w:rPr>
          <w:sz w:val="24"/>
        </w:rPr>
      </w:pPr>
      <w:r>
        <w:rPr>
          <w:sz w:val="24"/>
        </w:rPr>
        <w:t xml:space="preserve"> </w:t>
      </w:r>
      <w:r>
        <w:rPr>
          <w:sz w:val="24"/>
        </w:rPr>
        <w:t>Договор поставки №____-Вот/пос</w:t>
      </w:r>
    </w:p>
    <w:p>
      <w:pPr>
        <w:pStyle w:val="Normal"/>
        <w:shd w:val="clear" w:color="auto" w:fill="FFFFFF"/>
        <w:spacing w:before="0" w:after="120"/>
        <w:jc w:val="both"/>
        <w:rPr>
          <w:sz w:val="24"/>
          <w:szCs w:val="24"/>
          <w:highlight w:val="yellow"/>
        </w:rPr>
      </w:pPr>
      <w:r>
        <w:rPr>
          <w:sz w:val="24"/>
          <w:szCs w:val="24"/>
        </w:rPr>
        <w:t>г. Пермь</w:t>
        <w:tab/>
        <w:tab/>
        <w:tab/>
        <w:tab/>
        <w:t xml:space="preserve">     </w:t>
        <w:tab/>
        <w:t xml:space="preserve"> </w:t>
        <w:tab/>
        <w:t xml:space="preserve">                                 « ___»                 202</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pPr>
        <w:pStyle w:val="Normal"/>
        <w:spacing w:before="0" w:after="120"/>
        <w:ind w:firstLine="567"/>
        <w:jc w:val="both"/>
        <w:rPr>
          <w:b/>
          <w:sz w:val="24"/>
          <w:szCs w:val="24"/>
        </w:rPr>
      </w:pPr>
      <w:r>
        <w:rPr>
          <w:sz w:val="24"/>
          <w:szCs w:val="24"/>
          <w:u w:val="single"/>
        </w:rPr>
        <w:t xml:space="preserve">                              </w:t>
      </w:r>
      <w:r>
        <w:rPr>
          <w:b/>
          <w:sz w:val="24"/>
          <w:szCs w:val="24"/>
        </w:rPr>
        <w:t xml:space="preserve">  </w:t>
      </w:r>
      <w:r>
        <w:rPr>
          <w:b/>
          <w:sz w:val="24"/>
          <w:szCs w:val="24"/>
        </w:rPr>
        <w:t>«»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pPr>
        <w:pStyle w:val="Normal"/>
        <w:spacing w:before="0" w:after="120"/>
        <w:ind w:firstLine="567"/>
        <w:jc w:val="both"/>
        <w:rPr>
          <w:sz w:val="24"/>
          <w:szCs w:val="24"/>
        </w:rPr>
      </w:pPr>
      <w:r>
        <w:rPr>
          <w:sz w:val="24"/>
          <w:szCs w:val="24"/>
        </w:rPr>
        <w:t xml:space="preserve">по результатам проведенной нерегламентированной закупки, что подтверждается Аналитической запиской о результатах анализа предложений от _____ года,        </w:t>
      </w:r>
    </w:p>
    <w:p>
      <w:pPr>
        <w:pStyle w:val="Normal"/>
        <w:spacing w:before="0" w:after="120"/>
        <w:ind w:firstLine="567"/>
        <w:jc w:val="both"/>
        <w:rPr>
          <w:sz w:val="24"/>
          <w:szCs w:val="24"/>
        </w:rPr>
      </w:pPr>
      <w:r>
        <w:rPr>
          <w:sz w:val="24"/>
          <w:szCs w:val="24"/>
        </w:rPr>
        <w:t xml:space="preserve"> </w:t>
      </w: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shd w:val="clear" w:color="auto" w:fill="FFFFFF"/>
        <w:tabs>
          <w:tab w:val="clear" w:pos="720"/>
          <w:tab w:val="left" w:pos="142" w:leader="none"/>
          <w:tab w:val="left" w:pos="540" w:leader="none"/>
        </w:tabs>
        <w:spacing w:before="120" w:after="120"/>
        <w:jc w:val="both"/>
        <w:rPr>
          <w:b w:val="false"/>
          <w:sz w:val="24"/>
        </w:rPr>
      </w:pPr>
      <w:r>
        <w:rPr>
          <w:b w:val="false"/>
          <w:sz w:val="24"/>
        </w:rPr>
        <w:t xml:space="preserve">Поставщик обязуется передать Покупателю </w:t>
      </w:r>
      <w:r>
        <w:rPr>
          <w:rStyle w:val="11"/>
          <w:b/>
          <w:color w:val="000000"/>
          <w:sz w:val="24"/>
          <w:szCs w:val="24"/>
          <w:shd w:fill="FFFFFF" w:val="clear"/>
        </w:rPr>
        <w:t>железобетонны</w:t>
      </w:r>
      <w:r>
        <w:rPr>
          <w:rStyle w:val="11"/>
          <w:b/>
          <w:color w:val="000000"/>
          <w:sz w:val="24"/>
          <w:szCs w:val="24"/>
          <w:shd w:fill="FFFFFF" w:val="clear"/>
        </w:rPr>
        <w:t>е</w:t>
      </w:r>
      <w:r>
        <w:rPr>
          <w:rStyle w:val="11"/>
          <w:b/>
          <w:color w:val="000000"/>
          <w:sz w:val="24"/>
          <w:szCs w:val="24"/>
          <w:shd w:fill="FFFFFF" w:val="clear"/>
        </w:rPr>
        <w:t xml:space="preserve"> дорожны</w:t>
      </w:r>
      <w:r>
        <w:rPr>
          <w:rStyle w:val="11"/>
          <w:b/>
          <w:color w:val="000000"/>
          <w:sz w:val="24"/>
          <w:szCs w:val="24"/>
          <w:shd w:fill="FFFFFF" w:val="clear"/>
        </w:rPr>
        <w:t>е</w:t>
      </w:r>
      <w:r>
        <w:rPr>
          <w:rStyle w:val="11"/>
          <w:b/>
          <w:color w:val="000000"/>
          <w:sz w:val="24"/>
          <w:szCs w:val="24"/>
          <w:shd w:fill="FFFFFF" w:val="clear"/>
        </w:rPr>
        <w:t xml:space="preserve"> пли</w:t>
      </w:r>
      <w:r>
        <w:rPr>
          <w:rStyle w:val="11"/>
          <w:b/>
          <w:color w:val="000000"/>
          <w:sz w:val="24"/>
          <w:szCs w:val="24"/>
          <w:shd w:fill="FFFFFF" w:val="clear"/>
        </w:rPr>
        <w:t>ты</w:t>
      </w:r>
      <w:r>
        <w:rPr>
          <w:b w:val="false"/>
          <w:sz w:val="24"/>
          <w:shd w:fill="FFFFFF" w:val="clear"/>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 w:val="left" w:pos="574" w:leader="none"/>
        </w:tabs>
        <w:spacing w:before="0" w:after="120"/>
        <w:ind w:left="0" w:firstLine="567"/>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574" w:leader="none"/>
        </w:tabs>
        <w:spacing w:before="0" w:after="120"/>
        <w:ind w:left="0" w:firstLine="567"/>
        <w:contextualSpacing w:val="false"/>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pPr>
        <w:pStyle w:val="ListParagraph"/>
        <w:numPr>
          <w:ilvl w:val="1"/>
          <w:numId w:val="6"/>
        </w:numPr>
        <w:shd w:val="clear" w:color="auto" w:fill="FFFFFF"/>
        <w:tabs>
          <w:tab w:val="clear" w:pos="720"/>
          <w:tab w:val="left" w:pos="-142" w:leader="none"/>
          <w:tab w:val="left" w:pos="0" w:leader="none"/>
        </w:tabs>
        <w:spacing w:lineRule="auto" w:line="288" w:before="0" w:after="0"/>
        <w:ind w:left="0" w:firstLine="567"/>
        <w:contextualSpacing w:val="false"/>
        <w:jc w:val="both"/>
        <w:rPr>
          <w:sz w:val="24"/>
          <w:szCs w:val="24"/>
        </w:rPr>
      </w:pPr>
      <w:r>
        <w:rPr>
          <w:sz w:val="24"/>
          <w:szCs w:val="24"/>
        </w:rPr>
        <w:t>Место поставки: РФ, г. Пермь, территория Камской ГЭС (далее – «Место поставки»).</w:t>
      </w:r>
    </w:p>
    <w:p>
      <w:pPr>
        <w:pStyle w:val="ListParagraph"/>
        <w:shd w:val="clear" w:color="auto" w:fill="FFFFFF"/>
        <w:tabs>
          <w:tab w:val="clear" w:pos="720"/>
          <w:tab w:val="left" w:pos="-142" w:leader="none"/>
        </w:tabs>
        <w:spacing w:lineRule="auto" w:line="288" w:before="0" w:after="0"/>
        <w:ind w:left="0" w:firstLine="574"/>
        <w:contextualSpacing w:val="false"/>
        <w:jc w:val="both"/>
        <w:rPr>
          <w:sz w:val="24"/>
          <w:szCs w:val="24"/>
        </w:rPr>
      </w:pPr>
      <w:r>
        <w:rPr>
          <w:sz w:val="24"/>
          <w:szCs w:val="24"/>
        </w:rPr>
        <w:t>1.5.</w:t>
        <w:tab/>
        <w:t xml:space="preserve">Срок поставки Продукции по договору: </w:t>
      </w:r>
      <w:r>
        <w:rPr>
          <w:sz w:val="24"/>
          <w:szCs w:val="24"/>
        </w:rPr>
        <w:t>н</w:t>
      </w:r>
      <w:r>
        <w:rPr>
          <w:iCs/>
          <w:sz w:val="24"/>
          <w:szCs w:val="24"/>
        </w:rPr>
        <w:t>е позднее 30 календарных дней с даты подписания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pPr>
        <w:pStyle w:val="ListParagraph"/>
        <w:numPr>
          <w:ilvl w:val="1"/>
          <w:numId w:val="6"/>
        </w:numPr>
        <w:shd w:val="clear" w:color="auto" w:fill="FFFFFF"/>
        <w:tabs>
          <w:tab w:val="clear" w:pos="720"/>
          <w:tab w:val="left" w:pos="142" w:leader="none"/>
          <w:tab w:val="left" w:pos="540" w:leader="none"/>
        </w:tabs>
        <w:spacing w:lineRule="auto" w:line="288" w:before="0" w:after="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shd w:val="clear" w:color="auto" w:fill="FFFFFF"/>
        <w:tabs>
          <w:tab w:val="clear" w:pos="720"/>
          <w:tab w:val="left" w:pos="540" w:leader="none"/>
        </w:tabs>
        <w:spacing w:lineRule="auto" w:line="288" w:before="0" w:after="0"/>
        <w:contextualSpacing w:val="false"/>
        <w:jc w:val="both"/>
        <w:rPr>
          <w:sz w:val="24"/>
          <w:szCs w:val="24"/>
        </w:rPr>
      </w:pPr>
      <w:r>
        <w:rPr>
          <w:sz w:val="24"/>
          <w:szCs w:val="24"/>
        </w:rPr>
        <w:t>Стоимость Продукции;</w:t>
      </w:r>
    </w:p>
    <w:p>
      <w:pPr>
        <w:pStyle w:val="ListParagraph"/>
        <w:numPr>
          <w:ilvl w:val="2"/>
          <w:numId w:val="6"/>
        </w:numPr>
        <w:shd w:val="clear" w:color="auto" w:fill="FFFFFF"/>
        <w:tabs>
          <w:tab w:val="clear" w:pos="720"/>
          <w:tab w:val="left" w:pos="540" w:leader="none"/>
        </w:tabs>
        <w:spacing w:lineRule="auto" w:line="288" w:before="0" w:after="0"/>
        <w:contextualSpacing w:val="false"/>
        <w:jc w:val="both"/>
        <w:rPr>
          <w:sz w:val="24"/>
          <w:szCs w:val="24"/>
        </w:rPr>
      </w:pPr>
      <w:r>
        <w:rPr>
          <w:sz w:val="24"/>
          <w:szCs w:val="24"/>
        </w:rPr>
        <w:t>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2.6.</w:t>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2.7.</w:t>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2.8.</w:t>
        <w:tab/>
        <w:t>По соглашению сторон возможны иные формы расчетов, не противоречащие законодательству Российской Федерации.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2.9.</w:t>
        <w:tab/>
        <w:t>Поставщик обязан представить Покупателю счет-фактуру (УПД), выставленный в сроки и оформленный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2.10.</w:t>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2.11.</w:t>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w:t>
        <w:tab/>
        <w:t>срок задержки составляет единовременно 31 (Тридцать один) день или в совокупности 91 (Девяносто один) день и более;</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w:t>
        <w:tab/>
        <w:t>такие задержки происходят по вине Покупателя;</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w:t>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w:t>
        <w:tab/>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w:t>
        <w:tab/>
        <w:t>обязательство Покупателя, по которому произошла задержка, не является денежным.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2.12.</w:t>
        <w:tab/>
        <w:t>Индексация Цены Договора не допускается.</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2.13.</w:t>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hd w:val="clear" w:color="auto" w:fill="FFFFFF"/>
        <w:tabs>
          <w:tab w:val="clear" w:pos="720"/>
          <w:tab w:val="left" w:pos="1134" w:leader="none"/>
          <w:tab w:val="left" w:pos="1276" w:leader="none"/>
        </w:tabs>
        <w:spacing w:before="0" w:after="120"/>
        <w:ind w:left="567" w:hanging="0"/>
        <w:jc w:val="both"/>
        <w:rPr>
          <w:sz w:val="24"/>
          <w:szCs w:val="24"/>
        </w:rPr>
      </w:pPr>
      <w:r>
        <w:rPr>
          <w:b/>
          <w:sz w:val="32"/>
          <w:szCs w:val="24"/>
        </w:rPr>
        <w:t>•</w:t>
      </w:r>
      <w:r>
        <w:rPr>
          <w:sz w:val="24"/>
          <w:szCs w:val="24"/>
        </w:rPr>
        <w:t xml:space="preserve">    </w:t>
      </w:r>
      <w:r>
        <w:rPr>
          <w:sz w:val="24"/>
          <w:szCs w:val="24"/>
        </w:rPr>
        <w:t>Сертификаты качества в 1 экз.;</w:t>
      </w:r>
    </w:p>
    <w:p>
      <w:pPr>
        <w:pStyle w:val="Normal"/>
        <w:widowControl w:val="false"/>
        <w:shd w:val="clear" w:color="auto" w:fill="FFFFFF"/>
        <w:tabs>
          <w:tab w:val="clear" w:pos="720"/>
          <w:tab w:val="left" w:pos="1134" w:leader="none"/>
          <w:tab w:val="left" w:pos="1276" w:leader="none"/>
        </w:tabs>
        <w:spacing w:before="0" w:after="120"/>
        <w:ind w:left="567" w:hanging="0"/>
        <w:jc w:val="both"/>
        <w:rPr>
          <w:sz w:val="24"/>
          <w:szCs w:val="24"/>
        </w:rPr>
      </w:pPr>
      <w:r>
        <w:rPr>
          <w:b/>
          <w:sz w:val="32"/>
          <w:szCs w:val="24"/>
        </w:rPr>
        <w:t>•</w:t>
      </w:r>
      <w:r>
        <w:rPr>
          <w:sz w:val="24"/>
          <w:szCs w:val="24"/>
        </w:rPr>
        <w:t xml:space="preserve">    </w:t>
      </w:r>
      <w:r>
        <w:rPr>
          <w:sz w:val="24"/>
          <w:szCs w:val="24"/>
        </w:rPr>
        <w:t>Паспорта качества на русском языке в 1 экз.;</w:t>
      </w:r>
    </w:p>
    <w:p>
      <w:pPr>
        <w:pStyle w:val="Normal"/>
        <w:widowControl w:val="false"/>
        <w:shd w:val="clear" w:color="auto" w:fill="FFFFFF"/>
        <w:tabs>
          <w:tab w:val="clear" w:pos="720"/>
          <w:tab w:val="left" w:pos="993" w:leader="none"/>
        </w:tabs>
        <w:spacing w:before="0" w:after="120"/>
        <w:ind w:left="567" w:hanging="0"/>
        <w:jc w:val="both"/>
        <w:rPr>
          <w:sz w:val="24"/>
          <w:szCs w:val="24"/>
        </w:rPr>
      </w:pPr>
      <w:r>
        <w:rPr>
          <w:b/>
          <w:sz w:val="32"/>
          <w:szCs w:val="24"/>
        </w:rPr>
        <w:t>•</w:t>
      </w:r>
      <w:r>
        <w:rPr>
          <w:sz w:val="24"/>
          <w:szCs w:val="24"/>
        </w:rPr>
        <w:t xml:space="preserve">    </w:t>
      </w:r>
      <w:r>
        <w:rPr>
          <w:sz w:val="24"/>
          <w:szCs w:val="24"/>
        </w:rPr>
        <w:t>Документы о качестве на русском языке в 1 экз.;</w:t>
      </w:r>
    </w:p>
    <w:p>
      <w:pPr>
        <w:pStyle w:val="Normal"/>
        <w:widowControl w:val="false"/>
        <w:shd w:val="clear" w:color="auto" w:fill="FFFFFF"/>
        <w:tabs>
          <w:tab w:val="clear" w:pos="720"/>
          <w:tab w:val="left" w:pos="851" w:leader="none"/>
        </w:tabs>
        <w:spacing w:before="0" w:after="120"/>
        <w:ind w:left="567" w:hanging="0"/>
        <w:jc w:val="both"/>
        <w:rPr>
          <w:sz w:val="24"/>
          <w:szCs w:val="24"/>
        </w:rPr>
      </w:pPr>
      <w:r>
        <w:rPr>
          <w:b/>
          <w:sz w:val="32"/>
          <w:szCs w:val="24"/>
        </w:rPr>
        <w:t>•</w:t>
      </w:r>
      <w:r>
        <w:rPr>
          <w:sz w:val="24"/>
          <w:szCs w:val="24"/>
        </w:rPr>
        <w:tab/>
        <w:t>Упаковочные листы, упаковочные ярлыки на русском языке в 1 экз.;</w:t>
      </w:r>
    </w:p>
    <w:p>
      <w:pPr>
        <w:pStyle w:val="Normal"/>
        <w:widowControl w:val="false"/>
        <w:shd w:val="clear" w:color="auto" w:fill="FFFFFF"/>
        <w:tabs>
          <w:tab w:val="clear" w:pos="720"/>
          <w:tab w:val="left" w:pos="1134" w:leader="none"/>
          <w:tab w:val="left" w:pos="1276" w:leader="none"/>
        </w:tabs>
        <w:spacing w:before="0" w:after="120"/>
        <w:ind w:left="567" w:hanging="0"/>
        <w:jc w:val="both"/>
        <w:rPr>
          <w:sz w:val="24"/>
          <w:szCs w:val="24"/>
        </w:rPr>
      </w:pPr>
      <w:r>
        <w:rPr>
          <w:b/>
          <w:sz w:val="32"/>
          <w:szCs w:val="24"/>
        </w:rPr>
        <w:t>•</w:t>
      </w:r>
      <w:r>
        <w:rPr>
          <w:sz w:val="24"/>
          <w:szCs w:val="24"/>
        </w:rPr>
        <w:t xml:space="preserve">   </w:t>
      </w:r>
      <w:r>
        <w:rPr>
          <w:sz w:val="24"/>
          <w:szCs w:val="24"/>
        </w:rPr>
        <w:t>Протоколы заводских испытаний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993" w:leader="none"/>
          <w:tab w:val="left" w:pos="1134" w:leader="none"/>
          <w:tab w:val="left" w:pos="1276" w:leader="none"/>
        </w:tabs>
        <w:spacing w:before="0" w:after="120"/>
        <w:ind w:left="0" w:firstLine="567"/>
        <w:jc w:val="both"/>
        <w:rPr>
          <w:sz w:val="24"/>
          <w:szCs w:val="24"/>
        </w:rPr>
      </w:pPr>
      <w:r>
        <w:rPr>
          <w:sz w:val="24"/>
          <w:szCs w:val="24"/>
        </w:rPr>
        <w:t xml:space="preserve">На Продукцию устанавливается гарантийный срок, не менее гарантийных сроков завода-изготовителя продукции. При этом в любом случае гарантийный срок должен быть не меньше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14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bookmarkStart w:id="2" w:name="_GoBack"/>
      <w:bookmarkEnd w:id="2"/>
      <w:r>
        <w:rPr>
          <w:sz w:val="24"/>
          <w:szCs w:val="24"/>
        </w:rPr>
        <w:t>.</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8"/>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8"/>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8"/>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8"/>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8"/>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8"/>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jc w:val="both"/>
        <w:rPr>
          <w:bCs/>
          <w:color w:val="000000"/>
          <w:sz w:val="24"/>
          <w:szCs w:val="24"/>
        </w:rPr>
      </w:pPr>
      <w:r>
        <w:rPr>
          <w:sz w:val="24"/>
          <w:szCs w:val="24"/>
        </w:rPr>
        <w:t xml:space="preserve">           </w:t>
      </w: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7"/>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7"/>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5321"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4" w:name="sub_1"/>
      <w:r>
        <w:rPr>
          <w:sz w:val="24"/>
          <w:szCs w:val="24"/>
        </w:rPr>
        <w:tab/>
        <w:t>- Приложение № 2 – Технические требования на поставку продукции.</w:t>
      </w:r>
      <w:bookmarkEnd w:id="4"/>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rPr>
                <w:b/>
                <w:sz w:val="24"/>
                <w:szCs w:val="24"/>
                <w:u w:val="single"/>
              </w:rPr>
            </w:pPr>
            <w:r>
              <w:rPr>
                <w:b/>
                <w:sz w:val="24"/>
                <w:szCs w:val="24"/>
                <w:u w:val="single"/>
              </w:rPr>
              <w:t>Покупатель:</w:t>
            </w:r>
          </w:p>
        </w:tc>
        <w:tc>
          <w:tcPr>
            <w:tcW w:w="4678" w:type="dxa"/>
            <w:tcBorders/>
          </w:tcPr>
          <w:p>
            <w:pPr>
              <w:pStyle w:val="Normal"/>
              <w:widowControl w:val="false"/>
              <w:rPr>
                <w:b/>
                <w:sz w:val="24"/>
                <w:szCs w:val="24"/>
                <w:u w:val="single"/>
              </w:rPr>
            </w:pPr>
            <w:r>
              <w:rPr>
                <w:b/>
                <w:sz w:val="24"/>
                <w:szCs w:val="24"/>
                <w:u w:val="single"/>
              </w:rPr>
              <w:t>Поставщик:</w:t>
            </w:r>
          </w:p>
        </w:tc>
      </w:tr>
      <w:tr>
        <w:trPr/>
        <w:tc>
          <w:tcPr>
            <w:tcW w:w="4785" w:type="dxa"/>
            <w:tcBorders/>
          </w:tcPr>
          <w:p>
            <w:pPr>
              <w:pStyle w:val="Normal"/>
              <w:widowControl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pacing w:lineRule="auto" w:line="288"/>
              <w:rPr>
                <w:sz w:val="24"/>
                <w:szCs w:val="24"/>
              </w:rPr>
            </w:pPr>
            <w:r>
              <w:rPr>
                <w:sz w:val="24"/>
                <w:szCs w:val="24"/>
              </w:rPr>
              <w:t>Юридический адрес: 603140, Нижегородская обл., г.о. город Нижний Новгород, пер. Мотальный, д.8 помещ. ВП31, офис С1А, Воткинский филиал АО</w:t>
            </w:r>
          </w:p>
          <w:p>
            <w:pPr>
              <w:pStyle w:val="Normal"/>
              <w:widowControl w:val="false"/>
              <w:pBdr>
                <w:bottom w:val="single" w:sz="12" w:space="1" w:color="000000"/>
              </w:pBdr>
              <w:spacing w:lineRule="auto" w:line="288"/>
              <w:rPr>
                <w:sz w:val="24"/>
                <w:szCs w:val="24"/>
              </w:rPr>
            </w:pPr>
            <w:r>
              <w:rPr>
                <w:sz w:val="24"/>
                <w:szCs w:val="24"/>
              </w:rPr>
              <w:t>«Гидроремонт-ВКК» в г. Чайковский</w:t>
            </w:r>
          </w:p>
          <w:p>
            <w:pPr>
              <w:pStyle w:val="Normal"/>
              <w:widowControl w:val="false"/>
              <w:pBdr>
                <w:bottom w:val="single" w:sz="12" w:space="1" w:color="000000"/>
              </w:pBdr>
              <w:spacing w:lineRule="auto" w:line="288"/>
              <w:rPr>
                <w:sz w:val="24"/>
                <w:szCs w:val="24"/>
              </w:rPr>
            </w:pPr>
            <w:r>
              <w:rPr>
                <w:sz w:val="24"/>
                <w:szCs w:val="24"/>
              </w:rPr>
              <w:t>Грузополучатель: Производственный участок АО «Гидроремонт-ВКК» в г. Пермь</w:t>
            </w:r>
          </w:p>
          <w:p>
            <w:pPr>
              <w:pStyle w:val="Normal"/>
              <w:widowControl w:val="false"/>
              <w:pBdr>
                <w:bottom w:val="single" w:sz="12" w:space="1" w:color="000000"/>
              </w:pBdr>
              <w:spacing w:lineRule="auto" w:line="288"/>
              <w:rPr>
                <w:sz w:val="24"/>
                <w:szCs w:val="24"/>
              </w:rPr>
            </w:pPr>
            <w:r>
              <w:rPr>
                <w:sz w:val="24"/>
                <w:szCs w:val="24"/>
              </w:rPr>
              <w:t>Почтовый адрес: Производственный участок АО «Гидроремонт-ВКК» в г. Пермь: 614030, г. Пермь, а/я 61</w:t>
            </w:r>
          </w:p>
          <w:p>
            <w:pPr>
              <w:pStyle w:val="Normal"/>
              <w:widowControl w:val="false"/>
              <w:pBdr>
                <w:bottom w:val="single" w:sz="12" w:space="1" w:color="000000"/>
              </w:pBdr>
              <w:spacing w:lineRule="auto" w:line="288"/>
              <w:rPr>
                <w:sz w:val="24"/>
                <w:szCs w:val="24"/>
              </w:rPr>
            </w:pPr>
            <w:r>
              <w:rPr>
                <w:sz w:val="24"/>
                <w:szCs w:val="24"/>
              </w:rPr>
              <w:t>ИНН/КПП: 6345012488/590745002</w:t>
            </w:r>
          </w:p>
          <w:p>
            <w:pPr>
              <w:pStyle w:val="Normal"/>
              <w:widowControl w:val="false"/>
              <w:pBdr>
                <w:bottom w:val="single" w:sz="12" w:space="1" w:color="000000"/>
              </w:pBdr>
              <w:spacing w:lineRule="auto" w:line="288"/>
              <w:rPr>
                <w:sz w:val="24"/>
                <w:szCs w:val="24"/>
              </w:rPr>
            </w:pPr>
            <w:r>
              <w:rPr>
                <w:sz w:val="24"/>
                <w:szCs w:val="24"/>
              </w:rPr>
              <w:t>ОГРН: 1036301733005</w:t>
            </w:r>
          </w:p>
          <w:p>
            <w:pPr>
              <w:pStyle w:val="Normal"/>
              <w:widowControl w:val="false"/>
              <w:pBdr>
                <w:bottom w:val="single" w:sz="12" w:space="1" w:color="000000"/>
              </w:pBdr>
              <w:spacing w:lineRule="auto" w:line="288"/>
              <w:rPr>
                <w:sz w:val="24"/>
                <w:szCs w:val="24"/>
              </w:rPr>
            </w:pPr>
            <w:r>
              <w:rPr>
                <w:sz w:val="24"/>
                <w:szCs w:val="24"/>
              </w:rPr>
              <w:t>Расчетный счет: 40702810800000060241</w:t>
            </w:r>
          </w:p>
          <w:p>
            <w:pPr>
              <w:pStyle w:val="Normal"/>
              <w:widowControl w:val="false"/>
              <w:pBdr>
                <w:bottom w:val="single" w:sz="12" w:space="1" w:color="000000"/>
              </w:pBdr>
              <w:spacing w:lineRule="auto" w:line="288"/>
              <w:rPr>
                <w:sz w:val="24"/>
                <w:szCs w:val="24"/>
              </w:rPr>
            </w:pPr>
            <w:r>
              <w:rPr>
                <w:sz w:val="24"/>
                <w:szCs w:val="24"/>
              </w:rPr>
              <w:t>Наименование банка: Банк ГПБ (АО),</w:t>
            </w:r>
          </w:p>
          <w:p>
            <w:pPr>
              <w:pStyle w:val="Normal"/>
              <w:widowControl w:val="false"/>
              <w:pBdr>
                <w:bottom w:val="single" w:sz="12" w:space="1" w:color="000000"/>
              </w:pBdr>
              <w:spacing w:lineRule="auto" w:line="288"/>
              <w:rPr>
                <w:sz w:val="24"/>
                <w:szCs w:val="24"/>
              </w:rPr>
            </w:pPr>
            <w:r>
              <w:rPr>
                <w:sz w:val="24"/>
                <w:szCs w:val="24"/>
              </w:rPr>
              <w:t>г. Москва</w:t>
            </w:r>
          </w:p>
          <w:p>
            <w:pPr>
              <w:pStyle w:val="Normal"/>
              <w:widowControl w:val="false"/>
              <w:pBdr>
                <w:bottom w:val="single" w:sz="12" w:space="1" w:color="000000"/>
              </w:pBdr>
              <w:spacing w:lineRule="auto" w:line="288"/>
              <w:rPr>
                <w:sz w:val="24"/>
                <w:szCs w:val="24"/>
              </w:rPr>
            </w:pPr>
            <w:r>
              <w:rPr>
                <w:sz w:val="24"/>
                <w:szCs w:val="24"/>
              </w:rPr>
              <w:t>Кор. Счет: 30101810200000000823 в ГУ</w:t>
            </w:r>
          </w:p>
          <w:p>
            <w:pPr>
              <w:pStyle w:val="Normal"/>
              <w:widowControl w:val="false"/>
              <w:pBdr>
                <w:bottom w:val="single" w:sz="12" w:space="1" w:color="000000"/>
              </w:pBdr>
              <w:spacing w:lineRule="auto" w:line="288"/>
              <w:rPr>
                <w:sz w:val="24"/>
                <w:szCs w:val="24"/>
              </w:rPr>
            </w:pPr>
            <w:r>
              <w:rPr>
                <w:sz w:val="24"/>
                <w:szCs w:val="24"/>
              </w:rPr>
              <w:t>Банка России по ЦФО</w:t>
            </w:r>
          </w:p>
          <w:p>
            <w:pPr>
              <w:pStyle w:val="Normal"/>
              <w:widowControl w:val="false"/>
              <w:pBdr>
                <w:bottom w:val="single" w:sz="12" w:space="1" w:color="000000"/>
              </w:pBdr>
              <w:spacing w:lineRule="auto" w:line="288"/>
              <w:rPr>
                <w:sz w:val="24"/>
                <w:szCs w:val="24"/>
              </w:rPr>
            </w:pPr>
            <w:r>
              <w:rPr>
                <w:sz w:val="24"/>
                <w:szCs w:val="24"/>
              </w:rPr>
              <w:t>БИК: 044525823</w:t>
            </w:r>
          </w:p>
          <w:p>
            <w:pPr>
              <w:pStyle w:val="Normal"/>
              <w:widowControl w:val="false"/>
              <w:spacing w:lineRule="auto" w:line="276"/>
              <w:rPr>
                <w:sz w:val="24"/>
                <w:szCs w:val="24"/>
              </w:rPr>
            </w:pPr>
            <w:r>
              <w:rPr>
                <w:sz w:val="24"/>
                <w:szCs w:val="24"/>
              </w:rPr>
              <w:t>SlivnitsinaTM@rushydro.ru</w:t>
            </w:r>
          </w:p>
        </w:tc>
        <w:tc>
          <w:tcPr>
            <w:tcW w:w="4678" w:type="dxa"/>
            <w:tcBorders/>
          </w:tcPr>
          <w:p>
            <w:pPr>
              <w:pStyle w:val="Normal"/>
              <w:widowControl w:val="false"/>
              <w:pBdr>
                <w:bottom w:val="single" w:sz="12" w:space="1" w:color="000000"/>
              </w:pBdr>
              <w:spacing w:lineRule="auto" w:line="276"/>
              <w:rPr>
                <w:b/>
                <w:sz w:val="24"/>
                <w:szCs w:val="24"/>
              </w:rPr>
            </w:pPr>
            <w:r>
              <w:rPr>
                <w:b/>
                <w:sz w:val="24"/>
                <w:szCs w:val="24"/>
              </w:rPr>
              <w:t xml:space="preserve"> </w:t>
            </w:r>
            <w:r>
              <w:rPr>
                <w:sz w:val="24"/>
                <w:szCs w:val="24"/>
                <w:u w:val="single"/>
              </w:rPr>
              <w:t xml:space="preserve">                                                  </w:t>
            </w:r>
            <w:r>
              <w:rPr>
                <w:b/>
                <w:sz w:val="24"/>
                <w:szCs w:val="24"/>
              </w:rPr>
              <w:t xml:space="preserve"> </w:t>
            </w:r>
            <w:r>
              <w:rPr>
                <w:b/>
                <w:sz w:val="24"/>
                <w:szCs w:val="24"/>
              </w:rPr>
              <w:t>«» («»)</w:t>
            </w:r>
          </w:p>
          <w:p>
            <w:pPr>
              <w:pStyle w:val="Normal"/>
              <w:widowControl w:val="false"/>
              <w:pBdr>
                <w:bottom w:val="single" w:sz="12" w:space="1" w:color="000000"/>
              </w:pBdr>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pacing w:lineRule="auto" w:line="276"/>
              <w:rPr>
                <w:sz w:val="24"/>
                <w:szCs w:val="24"/>
              </w:rPr>
            </w:pPr>
            <w:r>
              <w:rPr>
                <w:sz w:val="24"/>
                <w:szCs w:val="24"/>
              </w:rPr>
              <w:t xml:space="preserve">Почтовый адрес: </w:t>
            </w:r>
          </w:p>
          <w:p>
            <w:pPr>
              <w:pStyle w:val="Normal"/>
              <w:widowControl w:val="false"/>
              <w:pBdr>
                <w:bottom w:val="single" w:sz="12" w:space="1" w:color="000000"/>
              </w:pBdr>
              <w:spacing w:lineRule="auto" w:line="276"/>
              <w:rPr>
                <w:sz w:val="24"/>
                <w:szCs w:val="24"/>
              </w:rPr>
            </w:pPr>
            <w:r>
              <w:rPr>
                <w:sz w:val="24"/>
                <w:szCs w:val="24"/>
              </w:rPr>
            </w:r>
          </w:p>
          <w:p>
            <w:pPr>
              <w:pStyle w:val="Normal"/>
              <w:widowControl w:val="false"/>
              <w:pBdr>
                <w:bottom w:val="single" w:sz="12" w:space="1" w:color="000000"/>
              </w:pBdr>
              <w:spacing w:lineRule="auto" w:line="276"/>
              <w:rPr>
                <w:sz w:val="24"/>
                <w:szCs w:val="24"/>
              </w:rPr>
            </w:pPr>
            <w:r>
              <w:rPr>
                <w:sz w:val="24"/>
                <w:szCs w:val="24"/>
              </w:rPr>
              <w:t xml:space="preserve">ИНН/КПП: </w:t>
            </w:r>
          </w:p>
          <w:p>
            <w:pPr>
              <w:pStyle w:val="Normal"/>
              <w:widowControl w:val="false"/>
              <w:pBdr>
                <w:bottom w:val="single" w:sz="12" w:space="1" w:color="000000"/>
              </w:pBdr>
              <w:spacing w:lineRule="auto" w:line="276"/>
              <w:rPr>
                <w:sz w:val="24"/>
                <w:szCs w:val="24"/>
              </w:rPr>
            </w:pPr>
            <w:r>
              <w:rPr>
                <w:sz w:val="24"/>
                <w:szCs w:val="24"/>
              </w:rPr>
              <w:t xml:space="preserve">ОГРН: </w:t>
            </w:r>
          </w:p>
          <w:p>
            <w:pPr>
              <w:pStyle w:val="Normal"/>
              <w:widowControl w:val="false"/>
              <w:pBdr>
                <w:bottom w:val="single" w:sz="12" w:space="1" w:color="000000"/>
              </w:pBdr>
              <w:spacing w:lineRule="auto" w:line="276"/>
              <w:rPr>
                <w:sz w:val="24"/>
                <w:szCs w:val="24"/>
              </w:rPr>
            </w:pPr>
            <w:r>
              <w:rPr>
                <w:sz w:val="24"/>
                <w:szCs w:val="24"/>
              </w:rPr>
              <w:t xml:space="preserve">Расчетный счет: </w:t>
            </w:r>
          </w:p>
          <w:p>
            <w:pPr>
              <w:pStyle w:val="Normal"/>
              <w:widowControl w:val="false"/>
              <w:pBdr>
                <w:bottom w:val="single" w:sz="12" w:space="1" w:color="000000"/>
              </w:pBdr>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pacing w:lineRule="auto" w:line="276"/>
              <w:rPr>
                <w:sz w:val="24"/>
                <w:szCs w:val="24"/>
              </w:rPr>
            </w:pPr>
            <w:r>
              <w:rPr>
                <w:sz w:val="24"/>
                <w:szCs w:val="24"/>
              </w:rPr>
              <w:t xml:space="preserve">Кор. Счет: </w:t>
            </w:r>
          </w:p>
          <w:p>
            <w:pPr>
              <w:pStyle w:val="Normal"/>
              <w:widowControl w:val="false"/>
              <w:pBdr>
                <w:bottom w:val="single" w:sz="12" w:space="1" w:color="000000"/>
              </w:pBdr>
              <w:spacing w:lineRule="auto" w:line="276"/>
              <w:rPr>
                <w:sz w:val="24"/>
                <w:szCs w:val="24"/>
              </w:rPr>
            </w:pPr>
            <w:r>
              <w:rPr>
                <w:sz w:val="24"/>
                <w:szCs w:val="24"/>
              </w:rPr>
              <w:t xml:space="preserve">БИК: </w:t>
            </w:r>
          </w:p>
          <w:p>
            <w:pPr>
              <w:pStyle w:val="Normal"/>
              <w:widowControl w:val="false"/>
              <w:pBdr>
                <w:bottom w:val="single" w:sz="12" w:space="1" w:color="000000"/>
              </w:pBdr>
              <w:spacing w:lineRule="auto" w:line="276"/>
              <w:rPr>
                <w:sz w:val="24"/>
                <w:szCs w:val="24"/>
              </w:rPr>
            </w:pPr>
            <w:r>
              <w:rPr>
                <w:sz w:val="24"/>
                <w:szCs w:val="24"/>
              </w:rPr>
            </w:r>
          </w:p>
          <w:p>
            <w:pPr>
              <w:pStyle w:val="Normal"/>
              <w:widowControl w:val="false"/>
              <w:rPr>
                <w:sz w:val="24"/>
                <w:szCs w:val="24"/>
              </w:rPr>
            </w:pPr>
            <w:r>
              <w:rPr>
                <w:sz w:val="24"/>
                <w:szCs w:val="24"/>
              </w:rPr>
            </w:r>
          </w:p>
        </w:tc>
      </w:tr>
      <w:tr>
        <w:trPr>
          <w:trHeight w:val="80" w:hRule="atLeast"/>
        </w:trPr>
        <w:tc>
          <w:tcPr>
            <w:tcW w:w="4785" w:type="dxa"/>
            <w:tcBorders/>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_______________ /Н.В. Глазырин /</w:t>
            </w:r>
          </w:p>
          <w:p>
            <w:pPr>
              <w:pStyle w:val="Normal"/>
              <w:widowControl w:val="false"/>
              <w:spacing w:lineRule="auto" w:line="276"/>
              <w:rPr>
                <w:sz w:val="24"/>
                <w:szCs w:val="24"/>
              </w:rPr>
            </w:pPr>
            <w:r>
              <w:rPr>
                <w:sz w:val="24"/>
                <w:szCs w:val="24"/>
              </w:rPr>
              <w:t>м.п.</w:t>
            </w:r>
          </w:p>
        </w:tc>
        <w:tc>
          <w:tcPr>
            <w:tcW w:w="4678" w:type="dxa"/>
            <w:tcBorders/>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pacing w:lineRule="auto" w:line="276"/>
              <w:rPr>
                <w:sz w:val="24"/>
                <w:szCs w:val="24"/>
              </w:rPr>
            </w:pPr>
            <w:r>
              <w:rPr>
                <w:sz w:val="24"/>
                <w:szCs w:val="24"/>
              </w:rPr>
              <w:t>м. п.</w:t>
            </w:r>
          </w:p>
        </w:tc>
      </w:tr>
    </w:tbl>
    <w:p>
      <w:pPr>
        <w:sectPr>
          <w:footerReference w:type="even" r:id="rId5"/>
          <w:footerReference w:type="default" r:id="rId6"/>
          <w:footerReference w:type="first" r:id="rId7"/>
          <w:type w:val="nextPage"/>
          <w:pgSz w:w="11906" w:h="16838"/>
          <w:pgMar w:left="1701" w:right="851" w:gutter="0" w:header="0" w:top="993" w:footer="720" w:bottom="993"/>
          <w:pgNumType w:fmt="decimal"/>
          <w:formProt w:val="false"/>
          <w:textDirection w:val="lrTb"/>
          <w:docGrid w:type="default" w:linePitch="272" w:charSpace="32768"/>
        </w:sectPr>
      </w:pPr>
    </w:p>
    <w:p>
      <w:pPr>
        <w:pStyle w:val="BodyText"/>
        <w:numPr>
          <w:ilvl w:val="0"/>
          <w:numId w:val="0"/>
        </w:numPr>
        <w:jc w:val="right"/>
        <w:outlineLvl w:val="0"/>
        <w:rPr>
          <w:b/>
          <w:bCs/>
          <w:sz w:val="24"/>
          <w:szCs w:val="24"/>
        </w:rPr>
      </w:pPr>
      <w:r>
        <w:rPr>
          <w:b/>
          <w:bCs/>
          <w:sz w:val="24"/>
          <w:szCs w:val="24"/>
        </w:rPr>
        <w:t>Приложение № 1</w:t>
      </w:r>
    </w:p>
    <w:p>
      <w:pPr>
        <w:pStyle w:val="BodyText"/>
        <w:ind w:firstLine="567"/>
        <w:jc w:val="right"/>
        <w:rPr>
          <w:bCs/>
          <w:sz w:val="24"/>
          <w:szCs w:val="24"/>
        </w:rPr>
      </w:pPr>
      <w:r>
        <w:rPr>
          <w:bCs/>
          <w:sz w:val="24"/>
          <w:szCs w:val="24"/>
        </w:rPr>
        <w:t>к договору поставки №__-Вот/пос-</w:t>
      </w:r>
    </w:p>
    <w:p>
      <w:pPr>
        <w:pStyle w:val="BodyText"/>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pPr>
        <w:pStyle w:val="BodyText"/>
        <w:ind w:firstLine="567"/>
        <w:jc w:val="right"/>
        <w:rPr>
          <w:bCs/>
          <w:sz w:val="24"/>
          <w:szCs w:val="24"/>
        </w:rPr>
      </w:pPr>
      <w:r>
        <w:rPr>
          <w:bCs/>
          <w:sz w:val="24"/>
          <w:szCs w:val="24"/>
        </w:rPr>
      </w:r>
    </w:p>
    <w:p>
      <w:pPr>
        <w:pStyle w:val="Normal"/>
        <w:numPr>
          <w:ilvl w:val="0"/>
          <w:numId w:val="0"/>
        </w:numPr>
        <w:ind w:firstLine="567"/>
        <w:jc w:val="center"/>
        <w:outlineLvl w:val="0"/>
        <w:rPr>
          <w:b/>
          <w:sz w:val="24"/>
          <w:szCs w:val="24"/>
        </w:rPr>
      </w:pPr>
      <w:r>
        <w:rPr>
          <w:b/>
          <w:sz w:val="24"/>
          <w:szCs w:val="24"/>
        </w:rPr>
        <w:t>Спецификация №1</w:t>
      </w:r>
    </w:p>
    <w:p>
      <w:pPr>
        <w:pStyle w:val="Normal"/>
        <w:numPr>
          <w:ilvl w:val="0"/>
          <w:numId w:val="0"/>
        </w:numPr>
        <w:ind w:firstLine="567"/>
        <w:jc w:val="center"/>
        <w:outlineLvl w:val="0"/>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665"/>
        <w:gridCol w:w="3972"/>
        <w:gridCol w:w="1821"/>
        <w:gridCol w:w="655"/>
        <w:gridCol w:w="1419"/>
        <w:gridCol w:w="1139"/>
        <w:gridCol w:w="1383"/>
      </w:tblGrid>
      <w:tr>
        <w:trPr>
          <w:trHeight w:val="939" w:hRule="atLeast"/>
          <w:cantSplit w:val="true"/>
        </w:trPr>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 xml:space="preserve">Сумма (руб., </w:t>
            </w:r>
            <w:r>
              <w:rPr>
                <w:bCs/>
                <w:sz w:val="24"/>
                <w:szCs w:val="24"/>
                <w:lang w:val="en-US"/>
              </w:rPr>
              <w:t>без</w:t>
            </w:r>
            <w:r>
              <w:rPr>
                <w:bCs/>
                <w:sz w:val="24"/>
                <w:szCs w:val="24"/>
              </w:rPr>
              <w:t xml:space="preserve"> НДС)</w:t>
            </w:r>
          </w:p>
        </w:tc>
      </w:tr>
      <w:tr>
        <w:trPr>
          <w:trHeight w:val="391" w:hRule="atLeast"/>
          <w:cantSplit w:val="true"/>
        </w:trPr>
        <w:tc>
          <w:tcPr>
            <w:tcW w:w="66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rPr>
                <w:sz w:val="24"/>
                <w:szCs w:val="24"/>
              </w:rPr>
            </w:pPr>
            <w:r>
              <w:rPr>
                <w:sz w:val="24"/>
                <w:szCs w:val="24"/>
              </w:rPr>
            </w:r>
          </w:p>
        </w:tc>
        <w:tc>
          <w:tcPr>
            <w:tcW w:w="18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65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1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383" w:type="dxa"/>
            <w:tcBorders>
              <w:top w:val="single" w:sz="8" w:space="0" w:color="000000"/>
              <w:bottom w:val="single" w:sz="8" w:space="0" w:color="000000"/>
              <w:right w:val="single" w:sz="8" w:space="0" w:color="000000"/>
            </w:tcBorders>
            <w:shd w:color="000000" w:fill="FFFFFF" w:val="clear"/>
            <w:vAlign w:val="center"/>
          </w:tcPr>
          <w:p>
            <w:pPr>
              <w:pStyle w:val="Normal"/>
              <w:widowControl w:val="false"/>
              <w:jc w:val="center"/>
              <w:rPr>
                <w:sz w:val="24"/>
                <w:szCs w:val="24"/>
              </w:rPr>
            </w:pPr>
            <w:r>
              <w:rPr>
                <w:sz w:val="24"/>
                <w:szCs w:val="24"/>
              </w:rPr>
            </w:r>
          </w:p>
        </w:tc>
      </w:tr>
      <w:tr>
        <w:trPr>
          <w:trHeight w:val="391" w:hRule="atLeast"/>
          <w:cantSplit w:val="true"/>
        </w:trPr>
        <w:tc>
          <w:tcPr>
            <w:tcW w:w="66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rPr>
                <w:sz w:val="24"/>
                <w:szCs w:val="24"/>
              </w:rPr>
            </w:pPr>
            <w:r>
              <w:rPr>
                <w:sz w:val="24"/>
                <w:szCs w:val="24"/>
              </w:rPr>
            </w:r>
          </w:p>
        </w:tc>
        <w:tc>
          <w:tcPr>
            <w:tcW w:w="18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65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1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383" w:type="dxa"/>
            <w:tcBorders>
              <w:top w:val="single" w:sz="8" w:space="0" w:color="000000"/>
              <w:bottom w:val="single" w:sz="8" w:space="0" w:color="000000"/>
              <w:right w:val="single" w:sz="8" w:space="0" w:color="000000"/>
            </w:tcBorders>
            <w:shd w:color="000000" w:fill="FFFFFF" w:val="clear"/>
            <w:vAlign w:val="center"/>
          </w:tcPr>
          <w:p>
            <w:pPr>
              <w:pStyle w:val="Normal"/>
              <w:widowControl w:val="false"/>
              <w:jc w:val="center"/>
              <w:rPr>
                <w:sz w:val="24"/>
                <w:szCs w:val="24"/>
              </w:rPr>
            </w:pPr>
            <w:r>
              <w:rPr>
                <w:sz w:val="24"/>
                <w:szCs w:val="24"/>
              </w:rPr>
            </w:r>
          </w:p>
        </w:tc>
      </w:tr>
      <w:tr>
        <w:trPr>
          <w:trHeight w:val="357" w:hRule="atLeast"/>
          <w:cantSplit w:val="true"/>
        </w:trPr>
        <w:tc>
          <w:tcPr>
            <w:tcW w:w="66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rPr>
                <w:sz w:val="24"/>
                <w:szCs w:val="24"/>
              </w:rPr>
            </w:pPr>
            <w:r>
              <w:rPr>
                <w:sz w:val="24"/>
                <w:szCs w:val="24"/>
              </w:rPr>
            </w:r>
          </w:p>
        </w:tc>
        <w:tc>
          <w:tcPr>
            <w:tcW w:w="9006" w:type="dxa"/>
            <w:gridSpan w:val="5"/>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color="000000" w:fill="FFFFFF" w:val="clear"/>
            <w:vAlign w:val="center"/>
          </w:tcPr>
          <w:p>
            <w:pPr>
              <w:pStyle w:val="Normal"/>
              <w:widowControl w:val="false"/>
              <w:jc w:val="right"/>
              <w:rPr>
                <w:b/>
                <w:sz w:val="24"/>
                <w:szCs w:val="24"/>
              </w:rPr>
            </w:pPr>
            <w:r>
              <w:rPr>
                <w:b/>
                <w:sz w:val="24"/>
                <w:szCs w:val="24"/>
              </w:rPr>
            </w:r>
          </w:p>
        </w:tc>
      </w:tr>
    </w:tbl>
    <w:p>
      <w:pPr>
        <w:pStyle w:val="BodyText"/>
        <w:ind w:firstLine="284"/>
        <w:rPr>
          <w:b/>
          <w:bCs/>
          <w:sz w:val="24"/>
          <w:szCs w:val="24"/>
        </w:rPr>
      </w:pPr>
      <w:r>
        <w:rPr>
          <w:b/>
          <w:bCs/>
          <w:sz w:val="24"/>
          <w:szCs w:val="24"/>
        </w:rPr>
      </w:r>
    </w:p>
    <w:p>
      <w:pPr>
        <w:pStyle w:val="BodyText"/>
        <w:ind w:firstLine="284"/>
        <w:rPr>
          <w:b/>
          <w:bCs/>
          <w:sz w:val="24"/>
          <w:szCs w:val="24"/>
        </w:rPr>
      </w:pPr>
      <w:r>
        <w:rPr>
          <w:b/>
          <w:bCs/>
          <w:sz w:val="24"/>
          <w:szCs w:val="24"/>
        </w:rPr>
        <w:t>Условия поставки:</w:t>
      </w:r>
    </w:p>
    <w:p>
      <w:pPr>
        <w:pStyle w:val="BodyText"/>
        <w:ind w:firstLine="284"/>
        <w:rPr>
          <w:b/>
          <w:bCs/>
          <w:sz w:val="24"/>
          <w:szCs w:val="24"/>
        </w:rPr>
      </w:pPr>
      <w:r>
        <w:rPr>
          <w:b/>
          <w:bCs/>
          <w:sz w:val="24"/>
          <w:szCs w:val="24"/>
        </w:rPr>
      </w:r>
    </w:p>
    <w:p>
      <w:pPr>
        <w:pStyle w:val="Normal"/>
        <w:widowControl w:val="false"/>
        <w:numPr>
          <w:ilvl w:val="0"/>
          <w:numId w:val="19"/>
        </w:numPr>
        <w:tabs>
          <w:tab w:val="left" w:pos="720" w:leader="none"/>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pPr>
        <w:pStyle w:val="Normal"/>
        <w:widowControl w:val="false"/>
        <w:numPr>
          <w:ilvl w:val="0"/>
          <w:numId w:val="20"/>
        </w:numPr>
        <w:tabs>
          <w:tab w:val="left" w:pos="720" w:leader="none"/>
        </w:tabs>
        <w:ind w:left="0" w:firstLine="284"/>
        <w:jc w:val="both"/>
        <w:rPr>
          <w:sz w:val="24"/>
          <w:szCs w:val="24"/>
        </w:rPr>
      </w:pPr>
      <w:r>
        <w:rPr>
          <w:sz w:val="24"/>
          <w:szCs w:val="24"/>
        </w:rPr>
        <w:t xml:space="preserve">Срок поставки Продукции: </w:t>
      </w:r>
      <w:r>
        <w:rPr>
          <w:sz w:val="24"/>
          <w:szCs w:val="24"/>
        </w:rPr>
        <w:t>н</w:t>
      </w:r>
      <w:r>
        <w:rPr>
          <w:iCs/>
          <w:sz w:val="24"/>
          <w:szCs w:val="24"/>
        </w:rPr>
        <w:t>е позднее 30 календарных дней с даты подписания договора</w:t>
      </w:r>
      <w:r>
        <w:rPr>
          <w:sz w:val="24"/>
          <w:szCs w:val="24"/>
        </w:rPr>
        <w:t>.</w:t>
      </w:r>
    </w:p>
    <w:p>
      <w:pPr>
        <w:pStyle w:val="Normal"/>
        <w:widowControl w:val="false"/>
        <w:numPr>
          <w:ilvl w:val="0"/>
          <w:numId w:val="21"/>
        </w:numPr>
        <w:tabs>
          <w:tab w:val="left" w:pos="720" w:leader="none"/>
        </w:tabs>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widowControl w:val="false"/>
        <w:ind w:firstLine="284"/>
        <w:jc w:val="both"/>
        <w:rPr>
          <w:b/>
          <w:sz w:val="24"/>
          <w:szCs w:val="24"/>
        </w:rPr>
      </w:pPr>
      <w:r>
        <w:rPr>
          <w:b/>
          <w:sz w:val="24"/>
          <w:szCs w:val="24"/>
        </w:rPr>
        <w:t>Покупатель:</w:t>
      </w:r>
    </w:p>
    <w:p>
      <w:pPr>
        <w:pStyle w:val="Normal"/>
        <w:widowControl w:val="false"/>
        <w:ind w:firstLine="284"/>
        <w:jc w:val="both"/>
        <w:rPr>
          <w:sz w:val="24"/>
          <w:szCs w:val="24"/>
        </w:rPr>
      </w:pPr>
      <w:r>
        <w:rPr>
          <w:sz w:val="24"/>
          <w:szCs w:val="24"/>
        </w:rPr>
        <w:t>АО «Гидроремонт-ВКК», адрес покупателя: 603140, Нижегородская обл., г.о. город Нижний</w:t>
      </w:r>
    </w:p>
    <w:p>
      <w:pPr>
        <w:pStyle w:val="Normal"/>
        <w:widowControl w:val="false"/>
        <w:ind w:firstLine="284"/>
        <w:jc w:val="both"/>
        <w:rPr>
          <w:sz w:val="24"/>
          <w:szCs w:val="24"/>
        </w:rPr>
      </w:pPr>
      <w:r>
        <w:rPr>
          <w:sz w:val="24"/>
          <w:szCs w:val="24"/>
        </w:rPr>
        <w:t>Новгород, г. Нижний Новгород, пер. Мотальный, д.8 помещ. ВП31, офис С1А., ИНН 6345012488,</w:t>
      </w:r>
    </w:p>
    <w:p>
      <w:pPr>
        <w:pStyle w:val="Normal"/>
        <w:widowControl w:val="false"/>
        <w:ind w:firstLine="284"/>
        <w:jc w:val="both"/>
        <w:rPr>
          <w:sz w:val="24"/>
          <w:szCs w:val="24"/>
        </w:rPr>
      </w:pPr>
      <w:r>
        <w:rPr>
          <w:sz w:val="24"/>
          <w:szCs w:val="24"/>
        </w:rPr>
        <w:t>КПП 590745002., ИНН 6345012488.</w:t>
      </w:r>
    </w:p>
    <w:p>
      <w:pPr>
        <w:pStyle w:val="Normal"/>
        <w:widowControl w:val="false"/>
        <w:ind w:firstLine="284"/>
        <w:jc w:val="both"/>
        <w:rPr>
          <w:b/>
          <w:sz w:val="24"/>
          <w:szCs w:val="24"/>
        </w:rPr>
      </w:pPr>
      <w:r>
        <w:rPr>
          <w:b/>
          <w:sz w:val="24"/>
          <w:szCs w:val="24"/>
        </w:rPr>
        <w:t>Грузополучатель:</w:t>
      </w:r>
    </w:p>
    <w:p>
      <w:pPr>
        <w:pStyle w:val="Normal"/>
        <w:widowControl w:val="false"/>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pPr>
        <w:pStyle w:val="Normal"/>
        <w:widowControl w:val="false"/>
        <w:numPr>
          <w:ilvl w:val="0"/>
          <w:numId w:val="23"/>
        </w:numPr>
        <w:tabs>
          <w:tab w:val="left" w:pos="720" w:leader="none"/>
        </w:tabs>
        <w:ind w:left="0" w:firstLine="284"/>
        <w:jc w:val="both"/>
        <w:rPr>
          <w:sz w:val="24"/>
          <w:szCs w:val="24"/>
        </w:rPr>
      </w:pPr>
      <w:r>
        <w:rPr>
          <w:sz w:val="24"/>
          <w:szCs w:val="24"/>
        </w:rPr>
        <w:t>При оформлении товарной накладной Поставщик указывает следующие реквизиты:</w:t>
      </w:r>
    </w:p>
    <w:p>
      <w:pPr>
        <w:pStyle w:val="Normal"/>
        <w:widowControl w:val="false"/>
        <w:ind w:firstLine="284"/>
        <w:jc w:val="both"/>
        <w:rPr>
          <w:b/>
          <w:sz w:val="24"/>
          <w:szCs w:val="24"/>
        </w:rPr>
      </w:pPr>
      <w:r>
        <w:rPr>
          <w:b/>
          <w:sz w:val="24"/>
          <w:szCs w:val="24"/>
        </w:rPr>
        <w:t>Плательщик:</w:t>
      </w:r>
    </w:p>
    <w:p>
      <w:pPr>
        <w:pStyle w:val="Normal"/>
        <w:widowControl w:val="false"/>
        <w:ind w:left="284" w:hanging="0"/>
        <w:jc w:val="both"/>
        <w:rPr>
          <w:sz w:val="24"/>
          <w:szCs w:val="24"/>
        </w:rPr>
      </w:pPr>
      <w:r>
        <w:rPr>
          <w:sz w:val="24"/>
          <w:szCs w:val="24"/>
        </w:rPr>
        <w:t>АО "Гидроремонт-ВКК", ИНН 6345012488, Россия, 603140, Нижегородская обл., г.о. город</w:t>
      </w:r>
    </w:p>
    <w:p>
      <w:pPr>
        <w:pStyle w:val="Normal"/>
        <w:widowControl w:val="false"/>
        <w:ind w:left="284" w:hanging="0"/>
        <w:jc w:val="both"/>
        <w:rPr>
          <w:sz w:val="24"/>
          <w:szCs w:val="24"/>
        </w:rPr>
      </w:pPr>
      <w:r>
        <w:rPr>
          <w:sz w:val="24"/>
          <w:szCs w:val="24"/>
        </w:rPr>
        <w:t>Нижний Новгород, г. Нижний Новгород, пер. Мотальный, д.8 помещ. ВП31, офис С1А,</w:t>
      </w:r>
    </w:p>
    <w:p>
      <w:pPr>
        <w:pStyle w:val="Normal"/>
        <w:widowControl w:val="false"/>
        <w:ind w:left="284" w:hanging="0"/>
        <w:jc w:val="both"/>
        <w:rPr>
          <w:sz w:val="24"/>
          <w:szCs w:val="24"/>
        </w:rPr>
      </w:pPr>
      <w:r>
        <w:rPr>
          <w:sz w:val="24"/>
          <w:szCs w:val="24"/>
        </w:rPr>
        <w:t>тел./факс: +7(34241)46341, р/с 40702810800000060241, в банке Банк ГПБ (АО), г. Москва, БИК</w:t>
      </w:r>
    </w:p>
    <w:p>
      <w:pPr>
        <w:pStyle w:val="Normal"/>
        <w:widowControl w:val="false"/>
        <w:ind w:left="284" w:hanging="0"/>
        <w:jc w:val="both"/>
        <w:rPr>
          <w:sz w:val="24"/>
          <w:szCs w:val="24"/>
        </w:rPr>
      </w:pPr>
      <w:r>
        <w:rPr>
          <w:sz w:val="24"/>
          <w:szCs w:val="24"/>
        </w:rPr>
        <w:t>044525823, к/с 30101810200000000823.</w:t>
      </w:r>
    </w:p>
    <w:p>
      <w:pPr>
        <w:pStyle w:val="Normal"/>
        <w:widowControl w:val="false"/>
        <w:ind w:left="284" w:hanging="0"/>
        <w:jc w:val="both"/>
        <w:rPr>
          <w:b/>
          <w:sz w:val="24"/>
          <w:szCs w:val="24"/>
        </w:rPr>
      </w:pPr>
      <w:r>
        <w:rPr>
          <w:b/>
          <w:sz w:val="24"/>
          <w:szCs w:val="24"/>
        </w:rPr>
        <w:t>Грузополучатель:</w:t>
      </w:r>
    </w:p>
    <w:p>
      <w:pPr>
        <w:pStyle w:val="Normal"/>
        <w:widowControl w:val="false"/>
        <w:ind w:left="284" w:hanging="0"/>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vertAnchor="text" w:horzAnchor="margin" w:tblpXSpec="center" w:leftFromText="180" w:rightFromText="180" w:tblpY="225"/>
        <w:tblW w:w="10153" w:type="dxa"/>
        <w:jc w:val="center"/>
        <w:tblInd w:w="0" w:type="dxa"/>
        <w:tblLayout w:type="fixed"/>
        <w:tblCellMar>
          <w:top w:w="0" w:type="dxa"/>
          <w:left w:w="108" w:type="dxa"/>
          <w:bottom w:w="0" w:type="dxa"/>
          <w:right w:w="108" w:type="dxa"/>
        </w:tblCellMar>
        <w:tblLook w:noVBand="0" w:val="01e0" w:noHBand="0" w:lastColumn="1" w:firstColumn="1" w:lastRow="1" w:firstRow="1"/>
      </w:tblPr>
      <w:tblGrid>
        <w:gridCol w:w="5381"/>
        <w:gridCol w:w="4771"/>
      </w:tblGrid>
      <w:tr>
        <w:trPr>
          <w:trHeight w:val="1574" w:hRule="atLeast"/>
        </w:trPr>
        <w:tc>
          <w:tcPr>
            <w:tcW w:w="5381" w:type="dxa"/>
            <w:tcBorders/>
            <w:shd w:color="auto" w:fill="FFFFFF" w:themeFill="background1" w:val="clear"/>
          </w:tcPr>
          <w:p>
            <w:pPr>
              <w:pStyle w:val="Style17"/>
              <w:pageBreakBefore/>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pPr>
              <w:pStyle w:val="Style17"/>
              <w:widowControl w:val="false"/>
              <w:spacing w:lineRule="auto" w:line="240" w:before="0" w:after="120"/>
              <w:ind w:left="567" w:hanging="0"/>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1" w:type="dxa"/>
            <w:tcBorders/>
            <w:shd w:color="auto" w:fill="FFFFFF" w:themeFill="background1" w:val="clear"/>
          </w:tcPr>
          <w:p>
            <w:pPr>
              <w:pStyle w:val="Style17"/>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pPr>
              <w:pStyle w:val="Style17"/>
              <w:widowControl w:val="false"/>
              <w:spacing w:lineRule="auto" w:line="240" w:before="0" w:after="120"/>
              <w:ind w:left="567" w:hanging="0"/>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trPr>
          <w:trHeight w:val="640" w:hRule="atLeast"/>
        </w:trPr>
        <w:tc>
          <w:tcPr>
            <w:tcW w:w="5381" w:type="dxa"/>
            <w:tcBorders/>
            <w:shd w:color="auto" w:fill="FFFFFF" w:themeFill="background1" w:val="clear"/>
          </w:tcPr>
          <w:p>
            <w:pPr>
              <w:pStyle w:val="Style17"/>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pPr>
              <w:pStyle w:val="Style17"/>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c>
          <w:tcPr>
            <w:tcW w:w="4771" w:type="dxa"/>
            <w:tcBorders/>
            <w:shd w:color="auto" w:fill="FFFFFF" w:themeFill="background1" w:val="clear"/>
          </w:tcPr>
          <w:p>
            <w:pPr>
              <w:pStyle w:val="Style17"/>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______________ / /</w:t>
            </w:r>
          </w:p>
          <w:p>
            <w:pPr>
              <w:pStyle w:val="Style17"/>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r>
    </w:p>
    <w:p>
      <w:pPr>
        <w:pStyle w:val="Normal"/>
        <w:spacing w:before="0" w:after="120"/>
        <w:jc w:val="right"/>
        <w:rPr>
          <w:b/>
          <w:bCs/>
          <w:sz w:val="24"/>
          <w:szCs w:val="24"/>
        </w:rPr>
      </w:pPr>
      <w:r>
        <w:rPr>
          <w:b/>
          <w:bCs/>
          <w:sz w:val="24"/>
          <w:szCs w:val="24"/>
        </w:rPr>
        <w:t>Приложение № 2</w:t>
      </w:r>
    </w:p>
    <w:p>
      <w:pPr>
        <w:pStyle w:val="BodyText"/>
        <w:ind w:firstLine="567"/>
        <w:jc w:val="right"/>
        <w:rPr>
          <w:bCs/>
          <w:sz w:val="24"/>
          <w:szCs w:val="24"/>
        </w:rPr>
      </w:pPr>
      <w:r>
        <w:rPr>
          <w:bCs/>
          <w:sz w:val="24"/>
          <w:szCs w:val="24"/>
        </w:rPr>
        <w:t xml:space="preserve">к договору поставки №___-Вот/пос- </w:t>
      </w:r>
    </w:p>
    <w:p>
      <w:pPr>
        <w:pStyle w:val="BodyText"/>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pPr>
        <w:pStyle w:val="Normal"/>
        <w:jc w:val="center"/>
        <w:rPr>
          <w:b/>
        </w:rPr>
      </w:pPr>
      <w:r>
        <w:rPr>
          <w:b/>
        </w:rPr>
      </w:r>
    </w:p>
    <w:p>
      <w:pPr>
        <w:pStyle w:val="Normal"/>
        <w:spacing w:before="0" w:after="120"/>
        <w:jc w:val="center"/>
        <w:rPr>
          <w:sz w:val="24"/>
          <w:szCs w:val="24"/>
        </w:rPr>
      </w:pPr>
      <w:r>
        <w:rPr>
          <w:sz w:val="24"/>
          <w:szCs w:val="24"/>
        </w:rPr>
        <w:t xml:space="preserve">           </w:t>
      </w:r>
      <w:r>
        <w:rPr>
          <w:sz w:val="24"/>
          <w:szCs w:val="24"/>
        </w:rPr>
        <w:t>ТЕХНИЧЕСКИЕ ТРЕБОВАНИЯ</w:t>
      </w:r>
    </w:p>
    <w:p>
      <w:pPr>
        <w:pStyle w:val="Normal"/>
        <w:tabs>
          <w:tab w:val="clear" w:pos="720"/>
          <w:tab w:val="left" w:pos="1134" w:leader="none"/>
        </w:tabs>
        <w:ind w:firstLine="709"/>
        <w:jc w:val="center"/>
        <w:rPr>
          <w:b/>
          <w:sz w:val="24"/>
          <w:szCs w:val="24"/>
        </w:rPr>
      </w:pPr>
      <w:r>
        <w:rPr>
          <w:b/>
          <w:sz w:val="24"/>
          <w:szCs w:val="24"/>
        </w:rPr>
        <w:t xml:space="preserve">ОКПД 2: </w:t>
      </w:r>
    </w:p>
    <w:p>
      <w:pPr>
        <w:pStyle w:val="Normal"/>
        <w:tabs>
          <w:tab w:val="clear" w:pos="720"/>
          <w:tab w:val="left" w:pos="1134" w:leader="none"/>
        </w:tabs>
        <w:ind w:firstLine="709"/>
        <w:jc w:val="center"/>
        <w:rPr>
          <w:b/>
          <w:sz w:val="24"/>
          <w:szCs w:val="24"/>
        </w:rPr>
      </w:pPr>
      <w:r>
        <w:rPr>
          <w:b/>
          <w:sz w:val="24"/>
          <w:szCs w:val="24"/>
        </w:rPr>
        <w:t>ЛОТ ГР-ВКК-</w:t>
      </w:r>
    </w:p>
    <w:p>
      <w:pPr>
        <w:pStyle w:val="Normal"/>
        <w:tabs>
          <w:tab w:val="clear" w:pos="720"/>
          <w:tab w:val="left" w:pos="1134" w:leader="none"/>
        </w:tabs>
        <w:ind w:firstLine="709"/>
        <w:jc w:val="center"/>
        <w:rPr>
          <w:b/>
          <w:sz w:val="24"/>
          <w:szCs w:val="24"/>
        </w:rPr>
      </w:pPr>
      <w:r>
        <w:rPr>
          <w:b/>
          <w:sz w:val="24"/>
          <w:szCs w:val="24"/>
        </w:rPr>
      </w:r>
    </w:p>
    <w:p>
      <w:pPr>
        <w:pStyle w:val="Normal"/>
        <w:tabs>
          <w:tab w:val="clear" w:pos="720"/>
          <w:tab w:val="left" w:pos="1340" w:leader="none"/>
        </w:tabs>
        <w:jc w:val="center"/>
        <w:rPr>
          <w:rFonts w:eastAsia="Calibri"/>
          <w:b/>
          <w:sz w:val="24"/>
          <w:szCs w:val="24"/>
        </w:rPr>
      </w:pPr>
      <w:r>
        <w:rPr>
          <w:rFonts w:eastAsia="Calibri"/>
          <w:b/>
          <w:sz w:val="24"/>
          <w:szCs w:val="24"/>
        </w:rPr>
      </w:r>
    </w:p>
    <w:p>
      <w:pPr>
        <w:pStyle w:val="Normal"/>
        <w:tabs>
          <w:tab w:val="clear" w:pos="720"/>
          <w:tab w:val="left" w:pos="1340" w:leader="none"/>
        </w:tabs>
        <w:jc w:val="center"/>
        <w:rPr>
          <w:rFonts w:eastAsia="Calibri"/>
          <w:b/>
          <w:sz w:val="24"/>
          <w:szCs w:val="24"/>
        </w:rPr>
      </w:pPr>
      <w:r>
        <w:rPr>
          <w:rFonts w:eastAsia="Calibri"/>
          <w:b/>
          <w:sz w:val="24"/>
          <w:szCs w:val="24"/>
        </w:rPr>
        <w:t>Подписи сторон:</w:t>
      </w:r>
    </w:p>
    <w:tbl>
      <w:tblPr>
        <w:tblpPr w:bottomFromText="0" w:horzAnchor="margin" w:leftFromText="180" w:rightFromText="180" w:tblpX="0" w:tblpXSpec="center" w:tblpY="186" w:topFromText="0" w:vertAnchor="text"/>
        <w:tblW w:w="10456" w:type="dxa"/>
        <w:jc w:val="center"/>
        <w:tblInd w:w="0" w:type="dxa"/>
        <w:tblLayout w:type="fixed"/>
        <w:tblCellMar>
          <w:top w:w="0" w:type="dxa"/>
          <w:left w:w="108" w:type="dxa"/>
          <w:bottom w:w="0" w:type="dxa"/>
          <w:right w:w="108" w:type="dxa"/>
        </w:tblCellMar>
        <w:tblLook w:noVBand="0" w:val="01e0" w:noHBand="0" w:lastColumn="1" w:firstColumn="1" w:lastRow="1" w:firstRow="1"/>
      </w:tblPr>
      <w:tblGrid>
        <w:gridCol w:w="5494"/>
        <w:gridCol w:w="4961"/>
      </w:tblGrid>
      <w:tr>
        <w:trPr/>
        <w:tc>
          <w:tcPr>
            <w:tcW w:w="5494" w:type="dxa"/>
            <w:tcBorders/>
            <w:shd w:color="auto" w:fill="FFFFFF" w:themeFill="background1" w:val="clear"/>
          </w:tcPr>
          <w:p>
            <w:pPr>
              <w:pStyle w:val="Style17"/>
              <w:widowControl w:val="false"/>
              <w:spacing w:lineRule="auto" w:line="240" w:before="120" w:after="120"/>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pPr>
              <w:pStyle w:val="Style17"/>
              <w:widowControl w:val="false"/>
              <w:spacing w:lineRule="auto" w:line="240" w:before="120" w:after="120"/>
              <w:ind w:left="567" w:hanging="0"/>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pPr>
              <w:pStyle w:val="Style17"/>
              <w:widowControl w:val="false"/>
              <w:spacing w:lineRule="auto" w:line="240" w:before="120" w:after="120"/>
              <w:ind w:left="567" w:hanging="0"/>
              <w:jc w:val="left"/>
              <w:rPr>
                <w:rFonts w:ascii="Times New Roman" w:hAnsi="Times New Roman"/>
                <w:sz w:val="24"/>
                <w:lang w:val="ru-RU"/>
              </w:rPr>
            </w:pPr>
            <w:r>
              <w:rPr>
                <w:rFonts w:ascii="Times New Roman" w:hAnsi="Times New Roman"/>
                <w:sz w:val="24"/>
                <w:lang w:val="ru-RU"/>
              </w:rPr>
            </w:r>
          </w:p>
        </w:tc>
        <w:tc>
          <w:tcPr>
            <w:tcW w:w="4961" w:type="dxa"/>
            <w:tcBorders/>
            <w:shd w:color="auto" w:fill="FFFFFF" w:themeFill="background1" w:val="clear"/>
          </w:tcPr>
          <w:p>
            <w:pPr>
              <w:pStyle w:val="Style17"/>
              <w:widowControl w:val="false"/>
              <w:spacing w:lineRule="auto" w:line="240" w:before="120" w:after="120"/>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pPr>
              <w:pStyle w:val="Style17"/>
              <w:widowControl w:val="false"/>
              <w:spacing w:lineRule="auto" w:line="240" w:before="120" w:after="120"/>
              <w:ind w:left="567" w:hanging="0"/>
              <w:jc w:val="left"/>
              <w:rPr>
                <w:rFonts w:ascii="Times New Roman" w:hAnsi="Times New Roman"/>
                <w:sz w:val="24"/>
                <w:lang w:val="ru-RU"/>
              </w:rPr>
            </w:pPr>
            <w:r>
              <w:rPr>
                <w:rFonts w:ascii="Times New Roman" w:hAnsi="Times New Roman"/>
                <w:sz w:val="24"/>
                <w:lang w:val="ru-RU"/>
              </w:rPr>
            </w:r>
          </w:p>
        </w:tc>
      </w:tr>
      <w:tr>
        <w:trPr/>
        <w:tc>
          <w:tcPr>
            <w:tcW w:w="5494" w:type="dxa"/>
            <w:tcBorders/>
            <w:shd w:color="auto" w:fill="FFFFFF" w:themeFill="background1" w:val="clear"/>
          </w:tcPr>
          <w:p>
            <w:pPr>
              <w:pStyle w:val="Style17"/>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pPr>
              <w:pStyle w:val="Style17"/>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c>
          <w:tcPr>
            <w:tcW w:w="4961" w:type="dxa"/>
            <w:tcBorders/>
            <w:shd w:color="auto" w:fill="FFFFFF" w:themeFill="background1" w:val="clear"/>
          </w:tcPr>
          <w:p>
            <w:pPr>
              <w:pStyle w:val="Style17"/>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pPr>
              <w:pStyle w:val="Style17"/>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Normal"/>
        <w:tabs>
          <w:tab w:val="clear" w:pos="720"/>
          <w:tab w:val="left" w:pos="1340" w:leader="none"/>
        </w:tabs>
        <w:rPr>
          <w:rFonts w:eastAsia="Calibri"/>
          <w:sz w:val="24"/>
          <w:szCs w:val="24"/>
        </w:rPr>
      </w:pPr>
      <w:r>
        <w:rPr>
          <w:rFonts w:eastAsia="Calibri"/>
          <w:sz w:val="24"/>
          <w:szCs w:val="24"/>
        </w:rPr>
      </w:r>
    </w:p>
    <w:p>
      <w:pPr>
        <w:pStyle w:val="Normal"/>
        <w:tabs>
          <w:tab w:val="clear" w:pos="720"/>
          <w:tab w:val="left" w:pos="1340" w:leader="none"/>
        </w:tabs>
        <w:rPr>
          <w:rFonts w:eastAsia="Calibri"/>
          <w:sz w:val="24"/>
          <w:szCs w:val="24"/>
        </w:rPr>
      </w:pPr>
      <w:r>
        <w:rPr/>
      </w:r>
    </w:p>
    <w:sectPr>
      <w:headerReference w:type="default" r:id="rId8"/>
      <w:footerReference w:type="even" r:id="rId9"/>
      <w:footerReference w:type="default" r:id="rId10"/>
      <w:footerReference w:type="first" r:id="rId11"/>
      <w:type w:val="nextPage"/>
      <w:pgSz w:w="11906" w:h="16838"/>
      <w:pgMar w:left="284" w:right="567" w:gutter="0" w:header="284" w:top="1134" w:footer="454" w:bottom="1134"/>
      <w:pgNumType w:fmt="decimal"/>
      <w:formProt w:val="false"/>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Courier New">
    <w:charset w:val="01"/>
    <w:family w:val="roman"/>
    <w:pitch w:val="variable"/>
  </w:font>
  <w:font w:name="Verdana">
    <w:charset w:val="01"/>
    <w:family w:val="roman"/>
    <w:pitch w:val="variable"/>
  </w:font>
  <w:font w:name="Arial">
    <w:charset w:val="01"/>
    <w:family w:val="roman"/>
    <w:pitch w:val="variable"/>
  </w:font>
  <w:font w:name="Calibri">
    <w:charset w:val="01"/>
    <w:family w:val="roman"/>
    <w:pitch w:val="variable"/>
  </w:font>
  <w:font w:name="Microsoft Sans Serif">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5">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75.75pt;margin-top:13.6pt;width:10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75.75pt;margin-top:13.6pt;width:10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3"/>
    <w:lvlOverride w:ilvl="0">
      <w:startOverride w:val="1"/>
    </w:lvlOverride>
  </w:num>
  <w:num w:numId="20">
    <w:abstractNumId w:val="13"/>
  </w:num>
  <w:num w:numId="21">
    <w:abstractNumId w:val="13"/>
  </w:num>
  <w:num w:numId="22">
    <w:abstractNumId w:val="13"/>
  </w:num>
  <w:num w:numId="23">
    <w:abstractNumId w:val="13"/>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24ed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99"/>
    <w:qFormat/>
    <w:locked/>
    <w:rsid w:val="00b11d27"/>
    <w:rPr/>
  </w:style>
  <w:style w:type="character" w:styleId="1" w:customStyle="1">
    <w:name w:val="1. Статья Знак"/>
    <w:link w:val="13"/>
    <w:qFormat/>
    <w:rsid w:val="00b11d27"/>
    <w:rPr>
      <w:sz w:val="24"/>
      <w:szCs w:val="24"/>
      <w:lang w:val="x-none" w:eastAsia="x-none"/>
    </w:rPr>
  </w:style>
  <w:style w:type="character" w:styleId="Strong">
    <w:name w:val="Strong"/>
    <w:uiPriority w:val="22"/>
    <w:qFormat/>
    <w:rsid w:val="001f3939"/>
    <w:rPr>
      <w:b/>
      <w:bCs/>
    </w:rPr>
  </w:style>
  <w:style w:type="character" w:styleId="11">
    <w:name w:val="Знак примечания1"/>
    <w:qFormat/>
    <w:rPr>
      <w:b/>
      <w:bCs w:val="false"/>
      <w:sz w:val="16"/>
      <w:szCs w:val="16"/>
    </w:rPr>
  </w:style>
  <w:style w:type="paragraph" w:styleId="Style13">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4">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9"/>
      </w:numPr>
      <w:tabs>
        <w:tab w:val="left" w:pos="0" w:leader="none"/>
        <w:tab w:val="left" w:pos="2340" w:leader="none"/>
      </w:tabs>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9"/>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9"/>
      </w:numPr>
      <w:tabs>
        <w:tab w:val="left" w:pos="0" w:leader="none"/>
        <w:tab w:val="left" w:pos="1620" w:leader="none"/>
      </w:tabs>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cs="Tahoma" w:eastAsia="Times New Roman"/>
      <w:color w:val="000000"/>
      <w:kern w:val="0"/>
      <w:sz w:val="24"/>
      <w:szCs w:val="24"/>
      <w:lang w:val="ru-RU" w:eastAsia="ru-RU" w:bidi="ar-SA"/>
    </w:rPr>
  </w:style>
  <w:style w:type="paragraph" w:styleId="14" w:customStyle="1">
    <w:name w:val="Абзац списка1"/>
    <w:basedOn w:val="Normal"/>
    <w:qFormat/>
    <w:rsid w:val="00394cca"/>
    <w:pPr>
      <w:spacing w:lineRule="auto" w:line="276" w:before="0" w:after="200"/>
      <w:ind w:left="720" w:hanging="0"/>
      <w:contextualSpacing/>
    </w:pPr>
    <w:rPr>
      <w:rFonts w:ascii="Calibri" w:hAnsi="Calibri"/>
      <w:sz w:val="22"/>
      <w:szCs w:val="22"/>
      <w:lang w:eastAsia="en-US"/>
    </w:rPr>
  </w:style>
  <w:style w:type="paragraph" w:styleId="TableParagraph" w:customStyle="1">
    <w:name w:val="Table Paragraph"/>
    <w:basedOn w:val="Normal"/>
    <w:uiPriority w:val="1"/>
    <w:qFormat/>
    <w:rsid w:val="00d22f47"/>
    <w:pPr>
      <w:widowControl w:val="false"/>
    </w:pPr>
    <w:rPr>
      <w:rFonts w:ascii="Microsoft Sans Serif" w:hAnsi="Microsoft Sans Serif" w:eastAsia="Microsoft Sans Serif" w:cs="Microsoft Sans Serif"/>
      <w:sz w:val="22"/>
      <w:szCs w:val="22"/>
      <w:lang w:eastAsia="en-US"/>
    </w:rPr>
  </w:style>
  <w:style w:type="paragraph" w:styleId="Style20"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a1"/>
    <w:uiPriority w:val="39"/>
    <w:rsid w:val="00b37e7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1.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C20F9-EC96-4DD6-ACB3-195193FD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Application>AlterOffice/3.4.0.9$Linux_X86_64 LibreOffice_project/b8daf9e823b1a5463a2f48435ddc2e8696e7d4fc</Application>
  <AppVersion>15.0000</AppVersion>
  <Pages>20</Pages>
  <Words>6734</Words>
  <Characters>47384</Characters>
  <CharactersWithSpaces>53998</CharactersWithSpaces>
  <Paragraphs>336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2026-06-09T10:20:00Z</dcterms:created>
  <dc:creator>Света &amp; Алла (Twix)</dc:creator>
  <dc:description/>
  <dc:language>ru-RU</dc:language>
  <cp:lastModifiedBy>mastrikovaes@corp.gidroogk.com</cp:lastModifiedBy>
  <cp:lastPrinted>2022-01-20T08:04:00Z</cp:lastPrinted>
  <dcterms:modified xsi:type="dcterms:W3CDTF">2026-09-18T10:56:13Z</dcterms:modified>
  <cp:revision>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