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header3.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pPr>
      <w:r>
        <w:rPr>
          <w:rFonts w:eastAsia="Calibri"/>
          <w:b/>
          <w:sz w:val="24"/>
          <w:szCs w:val="24"/>
        </w:rPr>
        <w:t>Технические требования на постав</w:t>
      </w:r>
      <w:r>
        <w:rPr>
          <w:rFonts w:eastAsia="Calibri"/>
          <w:b/>
          <w:sz w:val="24"/>
          <w:szCs w:val="24"/>
          <w:shd w:fill="auto" w:val="clear"/>
        </w:rPr>
        <w:t>ку МТР</w:t>
      </w:r>
    </w:p>
    <w:p>
      <w:pPr>
        <w:pStyle w:val="Normal"/>
        <w:keepNext w:val="true"/>
        <w:keepLines/>
        <w:suppressAutoHyphens w:val="true"/>
        <w:jc w:val="center"/>
        <w:rPr>
          <w:rFonts w:ascii="Times New Roman" w:hAnsi="Times New Roman" w:eastAsia="Calibri"/>
          <w:b/>
          <w:sz w:val="24"/>
          <w:szCs w:val="24"/>
          <w:highlight w:val="none"/>
          <w:shd w:fill="auto" w:val="clear"/>
        </w:rPr>
      </w:pPr>
      <w:r>
        <w:rPr>
          <w:rFonts w:eastAsia="Calibri"/>
          <w:b/>
          <w:sz w:val="24"/>
          <w:szCs w:val="24"/>
          <w:shd w:fill="auto" w:val="clear"/>
        </w:rPr>
      </w:r>
    </w:p>
    <w:p>
      <w:pPr>
        <w:pStyle w:val="Normal"/>
        <w:suppressAutoHyphens w:val="true"/>
        <w:bidi w:val="0"/>
        <w:jc w:val="center"/>
        <w:rPr/>
      </w:pPr>
      <w:r>
        <w:rPr>
          <w:b/>
          <w:bCs/>
          <w:i/>
          <w:iCs/>
          <w:strike w:val="false"/>
          <w:dstrike w:val="false"/>
          <w:outline w:val="false"/>
          <w:shadow w:val="false"/>
          <w:sz w:val="24"/>
          <w:szCs w:val="24"/>
          <w:u w:val="none"/>
          <w:shd w:fill="auto" w:val="clear"/>
          <w:em w:val="none"/>
        </w:rPr>
        <w:t>ОКПД2 27.12.10.190 Поставка ограничителей перенапряжения в рамках ремонтной и инвестиционной  программ для нужд филиалов АО "ДРСК": "Амурские электрические сети", "Приморские электрические сети", "Хабаровские электрические сети", "Южно-Якутские электрические сети" и "Электрические сети Еврейской автономной области"</w:t>
      </w:r>
    </w:p>
    <w:p>
      <w:pPr>
        <w:pStyle w:val="Normal"/>
        <w:keepNext w:val="true"/>
        <w:keepLines/>
        <w:suppressAutoHyphens w:val="true"/>
        <w:jc w:val="center"/>
        <w:rPr>
          <w:highlight w:val="none"/>
          <w:shd w:fill="auto" w:val="clear"/>
        </w:rPr>
      </w:pPr>
      <w:r>
        <w:rPr>
          <w:shd w:fill="auto" w:val="clear"/>
        </w:rPr>
      </w:r>
    </w:p>
    <w:p>
      <w:pPr>
        <w:pStyle w:val="Normal"/>
        <w:suppressAutoHyphens w:val="true"/>
        <w:jc w:val="center"/>
        <w:rPr/>
      </w:pPr>
      <w:r>
        <w:rPr>
          <w:rFonts w:eastAsia="Calibri"/>
          <w:b/>
          <w:i/>
          <w:sz w:val="24"/>
          <w:szCs w:val="24"/>
          <w:shd w:fill="auto" w:val="clear"/>
        </w:rPr>
        <w:t xml:space="preserve">Лот </w:t>
      </w:r>
      <w:r>
        <w:rPr>
          <w:rFonts w:eastAsia="Times New Roman" w:cs="Times New Roman"/>
          <w:b/>
          <w:bCs/>
          <w:i/>
          <w:iCs/>
          <w:strike w:val="false"/>
          <w:dstrike w:val="false"/>
          <w:outline w:val="false"/>
          <w:shadow w:val="false"/>
          <w:color w:val="000000"/>
          <w:kern w:val="0"/>
          <w:sz w:val="24"/>
          <w:szCs w:val="24"/>
          <w:u w:val="none"/>
          <w:shd w:fill="auto" w:val="clear"/>
          <w:em w:val="none"/>
          <w:lang w:val="ru-RU" w:eastAsia="ru-RU" w:bidi="ar-SA"/>
        </w:rPr>
        <w:t>№ 12101-РЕМ ПРОД-2027-ДРСК</w:t>
      </w:r>
    </w:p>
    <w:p>
      <w:pPr>
        <w:pStyle w:val="Normal"/>
        <w:keepNext w:val="true"/>
        <w:keepLines/>
        <w:suppressAutoHyphens w:val="true"/>
        <w:jc w:val="center"/>
        <w:rPr>
          <w:rFonts w:ascii="Times New Roman" w:hAnsi="Times New Roman" w:eastAsia="Calibri"/>
          <w:b/>
          <w:i/>
          <w:i/>
          <w:sz w:val="24"/>
          <w:szCs w:val="24"/>
        </w:rPr>
      </w:pPr>
      <w:r>
        <w:rPr>
          <w:rFonts w:eastAsia="Calibri"/>
          <w:b/>
          <w:i/>
          <w:sz w:val="24"/>
          <w:szCs w:val="24"/>
        </w:rPr>
      </w:r>
    </w:p>
    <w:p>
      <w:pPr>
        <w:pStyle w:val="Normal"/>
        <w:keepNext w:val="true"/>
        <w:keepLines/>
        <w:suppressAutoHyphens w:val="true"/>
        <w:jc w:val="both"/>
        <w:rPr>
          <w:rFonts w:ascii="Times New Roman" w:hAnsi="Times New Roman"/>
          <w:sz w:val="24"/>
          <w:szCs w:val="24"/>
        </w:rPr>
      </w:pPr>
      <w:r>
        <w:rPr>
          <w:sz w:val="24"/>
          <w:szCs w:val="24"/>
        </w:rPr>
      </w:r>
    </w:p>
    <w:p>
      <w:pPr>
        <w:pStyle w:val="Normal"/>
        <w:suppressAutoHyphens w:val="true"/>
        <w:rPr>
          <w:rFonts w:ascii="Times New Roman" w:hAnsi="Times New Roman"/>
          <w:sz w:val="22"/>
          <w:szCs w:val="22"/>
        </w:rPr>
      </w:pPr>
      <w:r>
        <w:rPr>
          <w:sz w:val="22"/>
          <w:szCs w:val="22"/>
        </w:rPr>
      </w:r>
      <w:r>
        <w:br w:type="page"/>
      </w:r>
    </w:p>
    <w:p>
      <w:pPr>
        <w:pStyle w:val="Normal"/>
        <w:suppressAutoHyphens w:val="true"/>
        <w:jc w:val="center"/>
        <w:rPr/>
      </w:pPr>
      <w:r>
        <w:rPr>
          <w:b/>
          <w:bCs/>
          <w:sz w:val="24"/>
          <w:szCs w:val="24"/>
        </w:rPr>
        <w:t>СОДЕРЖАНИЕ</w:t>
      </w:r>
    </w:p>
    <w:sdt>
      <w:sdtPr>
        <w:docPartObj>
          <w:docPartGallery w:val="Table of Contents"/>
          <w:docPartUnique w:val="true"/>
        </w:docPartObj>
      </w:sdtPr>
      <w:sdtContent>
        <w:p>
          <w:pPr>
            <w:pStyle w:val="TOC1"/>
            <w:tabs>
              <w:tab w:val="clear" w:pos="708"/>
              <w:tab w:val="right" w:pos="14317" w:leader="dot"/>
            </w:tabs>
            <w:rPr/>
          </w:pPr>
          <w:r>
            <w:fldChar w:fldCharType="begin"/>
          </w:r>
          <w:r>
            <w:rPr>
              <w:rStyle w:val="Style15"/>
            </w:rPr>
            <w:instrText xml:space="preserve"> TOC \o "1-5" \h</w:instrText>
          </w:r>
          <w:r>
            <w:rPr>
              <w:rStyle w:val="Style15"/>
            </w:rPr>
            <w:fldChar w:fldCharType="separate"/>
          </w:r>
          <w:hyperlink w:anchor="__RefHeading___Toc89641_1475472420">
            <w:r>
              <w:rPr>
                <w:rStyle w:val="Style15"/>
              </w:rPr>
              <w:t>1. Общие сведения</w:t>
              <w:tab/>
              <w:t>3</w:t>
            </w:r>
          </w:hyperlink>
        </w:p>
        <w:p>
          <w:pPr>
            <w:pStyle w:val="TOC4"/>
            <w:tabs>
              <w:tab w:val="clear" w:pos="708"/>
              <w:tab w:val="right" w:pos="14317" w:leader="dot"/>
            </w:tabs>
            <w:rPr/>
          </w:pPr>
          <w:hyperlink w:anchor="__RefHeading___Toc89643_1475472420">
            <w:r>
              <w:rPr>
                <w:rStyle w:val="Style15"/>
              </w:rPr>
              <w:t>1.1. Обозначения и сокращения</w:t>
              <w:tab/>
              <w:t>3</w:t>
            </w:r>
          </w:hyperlink>
        </w:p>
        <w:p>
          <w:pPr>
            <w:pStyle w:val="TOC4"/>
            <w:tabs>
              <w:tab w:val="clear" w:pos="708"/>
              <w:tab w:val="right" w:pos="14317" w:leader="dot"/>
            </w:tabs>
            <w:rPr/>
          </w:pPr>
          <w:hyperlink w:anchor="__RefHeading___Toc89645_1475472420">
            <w:r>
              <w:rPr>
                <w:rStyle w:val="Style15"/>
              </w:rPr>
              <w:t>1.2. Наименование закупаемой продукции</w:t>
              <w:tab/>
              <w:t>3</w:t>
            </w:r>
          </w:hyperlink>
        </w:p>
        <w:p>
          <w:pPr>
            <w:pStyle w:val="TOC1"/>
            <w:tabs>
              <w:tab w:val="clear" w:pos="708"/>
              <w:tab w:val="right" w:pos="14317" w:leader="dot"/>
            </w:tabs>
            <w:rPr/>
          </w:pPr>
          <w:hyperlink w:anchor="__RefHeading___Toc89647_1475472420">
            <w:r>
              <w:rPr>
                <w:rStyle w:val="Style15"/>
              </w:rPr>
              <w:t xml:space="preserve">2. </w:t>
            </w:r>
            <w:r>
              <w:rPr>
                <w:rStyle w:val="Style15"/>
                <w:iCs/>
              </w:rPr>
              <w:t>Требования к продукции</w:t>
            </w:r>
            <w:r>
              <w:rPr>
                <w:rStyle w:val="Style15"/>
              </w:rPr>
              <w:tab/>
              <w:t>3</w:t>
            </w:r>
          </w:hyperlink>
        </w:p>
        <w:p>
          <w:pPr>
            <w:pStyle w:val="TOC4"/>
            <w:tabs>
              <w:tab w:val="clear" w:pos="708"/>
              <w:tab w:val="right" w:pos="14317" w:leader="dot"/>
            </w:tabs>
            <w:rPr/>
          </w:pPr>
          <w:hyperlink w:anchor="__RefHeading___Toc89649_1475472420">
            <w:r>
              <w:rPr>
                <w:rStyle w:val="Style15"/>
              </w:rPr>
              <w:t>2.1. Требования к объемам и срокам поставки</w:t>
              <w:tab/>
              <w:t>3</w:t>
            </w:r>
          </w:hyperlink>
        </w:p>
        <w:p>
          <w:pPr>
            <w:pStyle w:val="TOC3"/>
            <w:tabs>
              <w:tab w:val="clear" w:pos="708"/>
              <w:tab w:val="right" w:pos="14317" w:leader="dot"/>
            </w:tabs>
            <w:rPr/>
          </w:pPr>
          <w:hyperlink w:anchor="__RefHeading___Toc89651_1475472420">
            <w:r>
              <w:rPr>
                <w:rStyle w:val="Style15"/>
              </w:rPr>
              <w:t>2.1.1. Перечень и объем закупаемой продукции</w:t>
              <w:tab/>
              <w:t>3</w:t>
            </w:r>
          </w:hyperlink>
        </w:p>
        <w:p>
          <w:pPr>
            <w:pStyle w:val="Normal"/>
            <w:tabs>
              <w:tab w:val="clear" w:pos="708"/>
              <w:tab w:val="right" w:pos="14317" w:leader="dot"/>
            </w:tabs>
            <w:rPr/>
          </w:pPr>
          <w:r>
            <w:rPr>
              <w:rFonts w:eastAsia="Times New Roman" w:cs="Calibri Light (Заголовки)"/>
              <w:b/>
              <w:bCs/>
              <w:iCs/>
              <w:color w:val="auto"/>
              <w:kern w:val="0"/>
              <w:sz w:val="24"/>
              <w:szCs w:val="24"/>
              <w:lang w:val="ru-RU" w:eastAsia="ru-RU" w:bidi="ar-SA"/>
            </w:rPr>
            <w:t>3.</w:t>
          </w:r>
          <w:bookmarkStart w:id="0" w:name="_Toc75446583_Копия_1_Копия_1"/>
          <w:bookmarkStart w:id="1" w:name="_Toc75446581_Копия_1"/>
          <w:bookmarkStart w:id="2" w:name="_Toc53393312_Копия_1_Копия_1"/>
          <w:r>
            <w:rPr>
              <w:rFonts w:eastAsia="Times New Roman" w:cs="Calibri Light (Заголовки)"/>
              <w:b/>
              <w:bCs/>
              <w:iCs/>
              <w:color w:val="auto"/>
              <w:kern w:val="0"/>
              <w:sz w:val="24"/>
              <w:szCs w:val="24"/>
              <w:lang w:val="ru-RU" w:eastAsia="ru-RU" w:bidi="ar-SA"/>
            </w:rPr>
            <w:t>Требования к документации по ценообразованию</w:t>
          </w:r>
          <w:bookmarkEnd w:id="2"/>
          <w:r>
            <w:rPr>
              <w:rFonts w:eastAsia="Times New Roman" w:cs="Calibri Light (Заголовки)"/>
              <w:b/>
              <w:bCs/>
              <w:iCs/>
              <w:color w:val="auto"/>
              <w:kern w:val="0"/>
              <w:sz w:val="24"/>
              <w:szCs w:val="24"/>
              <w:lang w:val="ru-RU" w:eastAsia="ru-RU" w:bidi="ar-SA"/>
            </w:rPr>
            <w:t xml:space="preserve"> на этапе закупки</w:t>
          </w:r>
          <w:hyperlink w:anchor="__RefHeading___Toc89647_1475472420">
            <w:bookmarkEnd w:id="0"/>
            <w:bookmarkEnd w:id="1"/>
            <w:r>
              <w:rPr>
                <w:rStyle w:val="Style15"/>
                <w:rFonts w:eastAsia="Times New Roman" w:cs="Calibri Light (Заголовки)"/>
                <w:b/>
                <w:bCs/>
                <w:iCs/>
                <w:color w:val="auto"/>
                <w:kern w:val="0"/>
                <w:sz w:val="24"/>
                <w:szCs w:val="24"/>
                <w:lang w:val="ru-RU" w:eastAsia="ru-RU" w:bidi="ar-SA"/>
              </w:rPr>
              <w:tab/>
            </w:r>
          </w:hyperlink>
          <w:r>
            <w:rPr>
              <w:rFonts w:eastAsia="Times New Roman" w:cs="Calibri Light (Заголовки)"/>
              <w:b/>
              <w:bCs/>
              <w:iCs/>
              <w:color w:val="auto"/>
              <w:kern w:val="0"/>
              <w:sz w:val="24"/>
              <w:szCs w:val="24"/>
              <w:lang w:val="ru-RU" w:eastAsia="ru-RU" w:bidi="ar-SA"/>
            </w:rPr>
            <w:t>8</w:t>
          </w:r>
        </w:p>
        <w:p>
          <w:pPr>
            <w:pStyle w:val="Normal"/>
            <w:tabs>
              <w:tab w:val="clear" w:pos="708"/>
              <w:tab w:val="right" w:pos="14317" w:leader="dot"/>
            </w:tabs>
            <w:rPr/>
          </w:pPr>
          <w:r>
            <w:rPr>
              <w:rFonts w:eastAsia="Times New Roman" w:cs="Calibri Light (Заголовки)"/>
              <w:b/>
              <w:bCs/>
              <w:iCs/>
              <w:color w:val="auto"/>
              <w:kern w:val="0"/>
              <w:sz w:val="24"/>
              <w:szCs w:val="24"/>
              <w:lang w:val="ru-RU" w:eastAsia="ru-RU" w:bidi="ar-SA"/>
            </w:rPr>
            <w:t>4.Приложение</w:t>
          </w:r>
          <w:hyperlink w:anchor="__RefHeading___Toc89647_1475472420">
            <w:r>
              <w:rPr>
                <w:rStyle w:val="Style15"/>
                <w:rFonts w:eastAsia="Times New Roman" w:cs="Calibri Light (Заголовки)"/>
                <w:b/>
                <w:bCs/>
                <w:iCs/>
                <w:color w:val="auto"/>
                <w:kern w:val="0"/>
                <w:sz w:val="24"/>
                <w:szCs w:val="24"/>
                <w:lang w:val="ru-RU" w:eastAsia="ru-RU" w:bidi="ar-SA"/>
              </w:rPr>
              <w:tab/>
            </w:r>
          </w:hyperlink>
          <w:r>
            <w:rPr>
              <w:rFonts w:eastAsia="Times New Roman" w:cs="Calibri Light (Заголовки)"/>
              <w:b/>
              <w:bCs/>
              <w:iCs/>
              <w:color w:val="auto"/>
              <w:kern w:val="0"/>
              <w:sz w:val="24"/>
              <w:szCs w:val="24"/>
              <w:lang w:val="ru-RU" w:eastAsia="ru-RU" w:bidi="ar-SA"/>
            </w:rPr>
            <w:t>9</w:t>
          </w:r>
        </w:p>
        <w:p>
          <w:pPr>
            <w:pStyle w:val="TOC1"/>
            <w:tabs>
              <w:tab w:val="clear" w:pos="708"/>
              <w:tab w:val="right" w:pos="14317" w:leader="dot"/>
            </w:tabs>
            <w:rPr/>
          </w:pPr>
          <w:hyperlink w:anchor="__RefHeading___Toc89653_1475472420">
            <w:r>
              <w:rPr>
                <w:rStyle w:val="Style15"/>
              </w:rPr>
              <w:t>Таблица 1.1 Перечень и объем закупаемой продукции</w:t>
              <w:tab/>
              <w:t>3</w:t>
            </w:r>
          </w:hyperlink>
        </w:p>
        <w:p>
          <w:pPr>
            <w:pStyle w:val="TOC3"/>
            <w:tabs>
              <w:tab w:val="clear" w:pos="708"/>
              <w:tab w:val="right" w:pos="14317" w:leader="dot"/>
            </w:tabs>
            <w:rPr/>
          </w:pPr>
          <w:hyperlink w:anchor="__RefHeading___Toc89655_1475472420">
            <w:r>
              <w:rPr>
                <w:rStyle w:val="Style15"/>
              </w:rPr>
              <w:t>2.1.2. Требования к срокам поставки продукции</w:t>
              <w:tab/>
              <w:t>5</w:t>
            </w:r>
          </w:hyperlink>
        </w:p>
        <w:p>
          <w:pPr>
            <w:pStyle w:val="TOC1"/>
            <w:tabs>
              <w:tab w:val="clear" w:pos="708"/>
              <w:tab w:val="right" w:pos="14317" w:leader="dot"/>
            </w:tabs>
            <w:rPr/>
          </w:pPr>
          <w:hyperlink w:anchor="__RefHeading___Toc89657_1475472420">
            <w:r>
              <w:rPr>
                <w:rStyle w:val="Style15"/>
              </w:rPr>
              <w:t>Таблица 2.1 Требования по срокам поставки продукции</w:t>
              <w:tab/>
              <w:t>5</w:t>
            </w:r>
          </w:hyperlink>
        </w:p>
        <w:p>
          <w:pPr>
            <w:pStyle w:val="TOC4"/>
            <w:tabs>
              <w:tab w:val="clear" w:pos="708"/>
              <w:tab w:val="right" w:pos="14317" w:leader="dot"/>
            </w:tabs>
            <w:rPr/>
          </w:pPr>
          <w:hyperlink w:anchor="__RefHeading___Toc89659_1475472420">
            <w:r>
              <w:rPr>
                <w:rStyle w:val="Style15"/>
              </w:rPr>
              <w:t>2.2. Требования к качеству продукции</w:t>
              <w:tab/>
              <w:t>6</w:t>
            </w:r>
          </w:hyperlink>
        </w:p>
        <w:p>
          <w:pPr>
            <w:pStyle w:val="TOC1"/>
            <w:tabs>
              <w:tab w:val="clear" w:pos="708"/>
              <w:tab w:val="right" w:pos="14317" w:leader="dot"/>
            </w:tabs>
            <w:rPr/>
          </w:pPr>
          <w:hyperlink w:anchor="__RefHeading___Toc89661_1475472420">
            <w:r>
              <w:rPr>
                <w:rStyle w:val="Style15"/>
              </w:rPr>
              <w:t xml:space="preserve"> </w:t>
            </w:r>
            <w:r>
              <w:rPr>
                <w:rStyle w:val="Style15"/>
              </w:rPr>
              <w:t>Таблица 2.2. Требования к продукции</w:t>
              <w:tab/>
              <w:t>6</w:t>
            </w:r>
          </w:hyperlink>
        </w:p>
        <w:p>
          <w:pPr>
            <w:pStyle w:val="TOC4"/>
            <w:tabs>
              <w:tab w:val="clear" w:pos="708"/>
              <w:tab w:val="right" w:pos="14317" w:leader="dot"/>
            </w:tabs>
            <w:rPr/>
          </w:pPr>
          <w:hyperlink w:anchor="__RefHeading___Toc89663_1475472420">
            <w:r>
              <w:rPr>
                <w:rStyle w:val="Style15"/>
              </w:rPr>
              <w:t>3. Требования к документации по ценообразованию на этапе закупки</w:t>
              <w:tab/>
              <w:t>8</w:t>
            </w:r>
          </w:hyperlink>
          <w:r>
            <w:rPr>
              <w:rStyle w:val="Style15"/>
            </w:rPr>
            <w:fldChar w:fldCharType="end"/>
          </w:r>
        </w:p>
      </w:sdtContent>
    </w:sdt>
    <w:p>
      <w:pPr>
        <w:pStyle w:val="Normal"/>
        <w:suppressAutoHyphens w:val="true"/>
        <w:jc w:val="center"/>
        <w:rPr>
          <w:rFonts w:ascii="Times New Roman" w:hAnsi="Times New Roman"/>
          <w:sz w:val="22"/>
          <w:szCs w:val="22"/>
        </w:rPr>
      </w:pPr>
      <w:r>
        <w:rPr>
          <w:sz w:val="22"/>
          <w:szCs w:val="22"/>
        </w:rPr>
      </w:r>
      <w:r>
        <w:br w:type="page"/>
      </w:r>
    </w:p>
    <w:p>
      <w:pPr>
        <w:pStyle w:val="Heading1"/>
        <w:keepLines/>
        <w:numPr>
          <w:ilvl w:val="0"/>
          <w:numId w:val="3"/>
        </w:numPr>
        <w:suppressAutoHyphens w:val="true"/>
        <w:spacing w:before="120" w:after="0"/>
        <w:ind w:left="357" w:hanging="357"/>
        <w:jc w:val="center"/>
        <w:rPr/>
      </w:pPr>
      <w:bookmarkStart w:id="3" w:name="__RefHeading___Toc89641_1475472420"/>
      <w:bookmarkStart w:id="4" w:name="_Toc51339692"/>
      <w:bookmarkStart w:id="5" w:name="_Toc75446566"/>
      <w:bookmarkEnd w:id="3"/>
      <w:r>
        <w:rPr>
          <w:sz w:val="22"/>
          <w:szCs w:val="22"/>
          <w:lang w:val="ru-RU"/>
        </w:rPr>
        <w:t>Общие сведения</w:t>
      </w:r>
      <w:bookmarkEnd w:id="4"/>
      <w:bookmarkEnd w:id="5"/>
    </w:p>
    <w:p>
      <w:pPr>
        <w:pStyle w:val="Heading4"/>
        <w:numPr>
          <w:ilvl w:val="1"/>
          <w:numId w:val="3"/>
        </w:numPr>
        <w:suppressAutoHyphens w:val="true"/>
        <w:spacing w:before="120" w:after="0"/>
        <w:rPr/>
      </w:pPr>
      <w:bookmarkStart w:id="6" w:name="__RefHeading___Toc89643_1475472420"/>
      <w:bookmarkEnd w:id="6"/>
      <w:r>
        <w:rPr>
          <w:sz w:val="22"/>
          <w:szCs w:val="22"/>
        </w:rPr>
        <w:t>Обозначения и сокращения</w:t>
      </w:r>
    </w:p>
    <w:tbl>
      <w:tblPr>
        <w:tblW w:w="5000" w:type="pct"/>
        <w:jc w:val="left"/>
        <w:tblInd w:w="55" w:type="dxa"/>
        <w:tblLayout w:type="fixed"/>
        <w:tblCellMar>
          <w:top w:w="55" w:type="dxa"/>
          <w:left w:w="55" w:type="dxa"/>
          <w:bottom w:w="55" w:type="dxa"/>
          <w:right w:w="55" w:type="dxa"/>
        </w:tblCellMar>
      </w:tblPr>
      <w:tblGrid>
        <w:gridCol w:w="3799"/>
        <w:gridCol w:w="10517"/>
      </w:tblGrid>
      <w:tr>
        <w:trPr/>
        <w:tc>
          <w:tcPr>
            <w:tcW w:w="1431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60" w:after="60"/>
              <w:jc w:val="both"/>
              <w:rPr/>
            </w:pPr>
            <w:r>
              <w:rPr>
                <w:b/>
                <w:bCs/>
                <w:iCs/>
                <w:sz w:val="22"/>
                <w:szCs w:val="22"/>
              </w:rPr>
              <w:t>Обозначения и сокращения:</w:t>
            </w:r>
          </w:p>
        </w:tc>
      </w:tr>
      <w:tr>
        <w:trPr>
          <w:trHeight w:val="357" w:hRule="atLeast"/>
        </w:trPr>
        <w:tc>
          <w:tcPr>
            <w:tcW w:w="3799" w:type="dxa"/>
            <w:tcBorders>
              <w:left w:val="single" w:sz="4" w:space="0" w:color="000000"/>
              <w:bottom w:val="single" w:sz="4" w:space="0" w:color="000000"/>
            </w:tcBorders>
          </w:tcPr>
          <w:p>
            <w:pPr>
              <w:pStyle w:val="Style36"/>
              <w:widowControl w:val="false"/>
              <w:suppressAutoHyphens w:val="true"/>
              <w:rPr/>
            </w:pPr>
            <w:r>
              <w:rPr>
                <w:sz w:val="22"/>
                <w:szCs w:val="22"/>
              </w:rPr>
              <w:t>ДРСК</w:t>
            </w:r>
          </w:p>
        </w:tc>
        <w:tc>
          <w:tcPr>
            <w:tcW w:w="10517" w:type="dxa"/>
            <w:tcBorders>
              <w:left w:val="single" w:sz="4" w:space="0" w:color="000000"/>
              <w:bottom w:val="single" w:sz="4" w:space="0" w:color="000000"/>
              <w:right w:val="single" w:sz="4" w:space="0" w:color="000000"/>
            </w:tcBorders>
          </w:tcPr>
          <w:p>
            <w:pPr>
              <w:pStyle w:val="Style36"/>
              <w:widowControl w:val="false"/>
              <w:suppressAutoHyphens w:val="true"/>
              <w:rPr/>
            </w:pPr>
            <w:r>
              <w:rPr>
                <w:sz w:val="22"/>
                <w:szCs w:val="22"/>
              </w:rPr>
              <w:t>Дальневосточная распределительная сетевая компания</w:t>
            </w:r>
          </w:p>
        </w:tc>
      </w:tr>
      <w:tr>
        <w:trPr>
          <w:trHeight w:val="357" w:hRule="atLeast"/>
        </w:trPr>
        <w:tc>
          <w:tcPr>
            <w:tcW w:w="3799" w:type="dxa"/>
            <w:tcBorders>
              <w:left w:val="single" w:sz="4" w:space="0" w:color="000000"/>
              <w:bottom w:val="single" w:sz="4" w:space="0" w:color="000000"/>
            </w:tcBorders>
          </w:tcPr>
          <w:p>
            <w:pPr>
              <w:pStyle w:val="Normal"/>
              <w:widowControl w:val="false"/>
              <w:spacing w:lineRule="auto" w:line="240" w:before="0" w:after="0"/>
              <w:jc w:val="both"/>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УХЛ</w:t>
            </w:r>
          </w:p>
        </w:tc>
        <w:tc>
          <w:tcPr>
            <w:tcW w:w="10517" w:type="dxa"/>
            <w:tcBorders>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Liberation Serif" w:hAnsi="Liberation Serif"/>
                <w:shd w:fill="auto" w:val="clear"/>
              </w:rPr>
            </w:pPr>
            <w:r>
              <w:rPr>
                <w:rFonts w:ascii="Liberation Serif" w:hAnsi="Liberation Serif"/>
                <w:iCs/>
                <w:sz w:val="22"/>
                <w:szCs w:val="22"/>
                <w:shd w:fill="auto" w:val="clear"/>
              </w:rPr>
              <w:t>Климатическое исполнение «умеренный и холодный климат»</w:t>
            </w:r>
          </w:p>
        </w:tc>
      </w:tr>
      <w:tr>
        <w:trPr>
          <w:trHeight w:val="357" w:hRule="atLeast"/>
        </w:trPr>
        <w:tc>
          <w:tcPr>
            <w:tcW w:w="14316" w:type="dxa"/>
            <w:gridSpan w:val="2"/>
            <w:tcBorders>
              <w:left w:val="single" w:sz="4" w:space="0" w:color="000000"/>
              <w:bottom w:val="single" w:sz="4" w:space="0" w:color="000000"/>
              <w:right w:val="single" w:sz="4" w:space="0" w:color="000000"/>
            </w:tcBorders>
          </w:tcPr>
          <w:p>
            <w:pPr>
              <w:pStyle w:val="Style36"/>
              <w:widowControl w:val="false"/>
              <w:suppressAutoHyphens w:val="true"/>
              <w:rPr/>
            </w:pPr>
            <w:r>
              <w:rPr>
                <w:rFonts w:eastAsia="Times New Roman" w:cs="Times New Roman"/>
                <w:b/>
                <w:bCs/>
                <w:iCs/>
                <w:color w:val="auto"/>
                <w:kern w:val="0"/>
                <w:sz w:val="22"/>
                <w:szCs w:val="22"/>
                <w:lang w:val="ru-RU" w:eastAsia="ru-RU" w:bidi="ar-SA"/>
              </w:rPr>
              <w:t>Термины и определения:</w:t>
            </w:r>
          </w:p>
        </w:tc>
      </w:tr>
      <w:tr>
        <w:trPr/>
        <w:tc>
          <w:tcPr>
            <w:tcW w:w="3799" w:type="dxa"/>
            <w:tcBorders>
              <w:left w:val="single" w:sz="4" w:space="0" w:color="000000"/>
              <w:bottom w:val="single" w:sz="4" w:space="0" w:color="000000"/>
            </w:tcBorders>
            <w:vAlign w:val="center"/>
          </w:tcPr>
          <w:p>
            <w:pPr>
              <w:pStyle w:val="Style36"/>
              <w:widowControl w:val="false"/>
              <w:suppressAutoHyphens w:val="true"/>
              <w:jc w:val="left"/>
              <w:rPr/>
            </w:pPr>
            <w:r>
              <w:rPr>
                <w:sz w:val="22"/>
                <w:szCs w:val="22"/>
              </w:rPr>
              <w:t>ГОСТ</w:t>
            </w:r>
          </w:p>
        </w:tc>
        <w:tc>
          <w:tcPr>
            <w:tcW w:w="10517" w:type="dxa"/>
            <w:tcBorders>
              <w:left w:val="single" w:sz="4" w:space="0" w:color="000000"/>
              <w:bottom w:val="single" w:sz="4" w:space="0" w:color="000000"/>
              <w:right w:val="single" w:sz="4" w:space="0" w:color="000000"/>
            </w:tcBorders>
          </w:tcPr>
          <w:p>
            <w:pPr>
              <w:pStyle w:val="Style36"/>
              <w:widowControl w:val="false"/>
              <w:suppressAutoHyphens w:val="true"/>
              <w:rPr/>
            </w:pPr>
            <w:r>
              <w:rPr>
                <w:sz w:val="22"/>
                <w:szCs w:val="22"/>
              </w:rPr>
              <w:t>Система стандартов, устанавливающих требования к качеству продукции, процессов, работ и услуг в различных сферах деятельности.</w:t>
            </w:r>
          </w:p>
        </w:tc>
      </w:tr>
    </w:tbl>
    <w:p>
      <w:pPr>
        <w:pStyle w:val="Heading4"/>
        <w:numPr>
          <w:ilvl w:val="1"/>
          <w:numId w:val="3"/>
        </w:numPr>
        <w:suppressAutoHyphens w:val="true"/>
        <w:spacing w:before="120" w:after="0"/>
        <w:rPr/>
      </w:pPr>
      <w:bookmarkStart w:id="7" w:name="__RefHeading___Toc89645_1475472420"/>
      <w:bookmarkStart w:id="8" w:name="_Toc46743506"/>
      <w:bookmarkStart w:id="9" w:name="_Toc75446568"/>
      <w:bookmarkEnd w:id="7"/>
      <w:r>
        <w:rPr>
          <w:sz w:val="22"/>
          <w:szCs w:val="22"/>
        </w:rPr>
        <w:t>Наименование закупаемой продукции</w:t>
      </w:r>
      <w:bookmarkEnd w:id="8"/>
      <w:bookmarkEnd w:id="9"/>
    </w:p>
    <w:p>
      <w:pPr>
        <w:pStyle w:val="Normal"/>
        <w:suppressAutoHyphens w:val="true"/>
        <w:bidi w:val="0"/>
        <w:jc w:val="left"/>
        <w:rPr/>
      </w:pPr>
      <w:r>
        <w:rPr>
          <w:b/>
          <w:bCs/>
          <w:i/>
          <w:iCs/>
          <w:strike w:val="false"/>
          <w:dstrike w:val="false"/>
          <w:outline w:val="false"/>
          <w:shadow w:val="false"/>
          <w:sz w:val="24"/>
          <w:szCs w:val="24"/>
          <w:u w:val="none"/>
          <w:shd w:fill="auto" w:val="clear"/>
          <w:em w:val="none"/>
        </w:rPr>
        <w:t>ОКПД2 27.12.10.190 Поставка ограничителей перенапряжения в рамках ремонтной и инвестиционной  программ для нужд филиалов АО "ДРСК": "Амурские электрические сети", "Приморские электрические сети", "Хабаровские электрические сети", "Южно-Якутские электрические сети" и "Электрические сети Еврейской автономной области"</w:t>
      </w:r>
    </w:p>
    <w:p>
      <w:pPr>
        <w:pStyle w:val="Heading1"/>
        <w:keepLines/>
        <w:numPr>
          <w:ilvl w:val="0"/>
          <w:numId w:val="3"/>
        </w:numPr>
        <w:suppressAutoHyphens w:val="true"/>
        <w:spacing w:before="120" w:after="0"/>
        <w:ind w:left="357" w:hanging="357"/>
        <w:jc w:val="center"/>
        <w:rPr/>
      </w:pPr>
      <w:bookmarkStart w:id="10" w:name="__RefHeading___Toc89647_1475472420"/>
      <w:bookmarkStart w:id="11" w:name="_Toc51339693"/>
      <w:bookmarkStart w:id="12" w:name="_Toc75446573"/>
      <w:bookmarkStart w:id="13" w:name="_Toc50125126"/>
      <w:bookmarkStart w:id="14" w:name="_Toc46743510"/>
      <w:bookmarkEnd w:id="10"/>
      <w:bookmarkEnd w:id="13"/>
      <w:bookmarkEnd w:id="14"/>
      <w:r>
        <w:rPr>
          <w:iCs/>
          <w:sz w:val="22"/>
          <w:szCs w:val="22"/>
        </w:rPr>
        <w:t>Требования к продукции</w:t>
      </w:r>
      <w:bookmarkEnd w:id="11"/>
      <w:bookmarkEnd w:id="12"/>
    </w:p>
    <w:p>
      <w:pPr>
        <w:pStyle w:val="Heading4"/>
        <w:numPr>
          <w:ilvl w:val="1"/>
          <w:numId w:val="3"/>
        </w:numPr>
        <w:suppressAutoHyphens w:val="true"/>
        <w:spacing w:before="120" w:after="0"/>
        <w:rPr/>
      </w:pPr>
      <w:bookmarkStart w:id="15" w:name="__RefHeading___Toc89649_1475472420"/>
      <w:bookmarkStart w:id="16" w:name="_Toc75446574"/>
      <w:bookmarkEnd w:id="15"/>
      <w:r>
        <w:rPr>
          <w:sz w:val="22"/>
          <w:szCs w:val="22"/>
        </w:rPr>
        <w:t xml:space="preserve">Требования к объемам и срокам </w:t>
      </w:r>
      <w:r>
        <w:rPr>
          <w:sz w:val="22"/>
          <w:szCs w:val="22"/>
          <w:lang w:val="ru-RU"/>
        </w:rPr>
        <w:t>поставки</w:t>
      </w:r>
      <w:bookmarkEnd w:id="16"/>
    </w:p>
    <w:p>
      <w:pPr>
        <w:pStyle w:val="Heading3"/>
        <w:numPr>
          <w:ilvl w:val="2"/>
          <w:numId w:val="3"/>
        </w:numPr>
        <w:suppressAutoHyphens w:val="true"/>
        <w:spacing w:before="120" w:after="0"/>
        <w:rPr/>
      </w:pPr>
      <w:bookmarkStart w:id="17" w:name="__RefHeading___Toc89651_1475472420"/>
      <w:bookmarkStart w:id="18" w:name="_Toc75446575"/>
      <w:bookmarkEnd w:id="17"/>
      <w:r>
        <w:rPr>
          <w:sz w:val="22"/>
          <w:szCs w:val="22"/>
          <w:lang w:val="ru-RU"/>
        </w:rPr>
        <w:t>Перечень и объем закупаемой продукции</w:t>
      </w:r>
      <w:bookmarkEnd w:id="18"/>
    </w:p>
    <w:p>
      <w:pPr>
        <w:pStyle w:val="Heading1"/>
        <w:keepLines/>
        <w:numPr>
          <w:ilvl w:val="0"/>
          <w:numId w:val="0"/>
        </w:numPr>
        <w:suppressAutoHyphens w:val="true"/>
        <w:spacing w:before="240" w:after="0"/>
        <w:ind w:left="0" w:hanging="0"/>
        <w:rPr/>
      </w:pPr>
      <w:bookmarkStart w:id="19" w:name="__RefHeading___Toc89653_1475472420"/>
      <w:bookmarkStart w:id="20" w:name="_Toc75446576"/>
      <w:bookmarkStart w:id="21" w:name="_Toc51339695"/>
      <w:bookmarkEnd w:id="19"/>
      <w:r>
        <w:rPr>
          <w:sz w:val="22"/>
          <w:szCs w:val="22"/>
        </w:rPr>
        <w:t xml:space="preserve">Таблица </w:t>
      </w:r>
      <w:r>
        <w:rPr>
          <w:sz w:val="22"/>
          <w:szCs w:val="22"/>
          <w:lang w:val="ru-RU"/>
        </w:rPr>
        <w:t>1.1</w:t>
      </w:r>
      <w:r>
        <w:rPr>
          <w:sz w:val="22"/>
          <w:szCs w:val="22"/>
        </w:rPr>
        <w:t xml:space="preserve"> </w:t>
      </w:r>
      <w:r>
        <w:rPr>
          <w:sz w:val="22"/>
          <w:szCs w:val="22"/>
          <w:lang w:val="ru-RU"/>
        </w:rPr>
        <w:t xml:space="preserve">Перечень </w:t>
      </w:r>
      <w:bookmarkEnd w:id="21"/>
      <w:r>
        <w:rPr>
          <w:sz w:val="22"/>
          <w:szCs w:val="22"/>
          <w:lang w:val="ru-RU"/>
        </w:rPr>
        <w:t>и объем закупаемой продукции</w:t>
      </w:r>
      <w:bookmarkEnd w:id="20"/>
    </w:p>
    <w:p>
      <w:pPr>
        <w:pStyle w:val="Normal"/>
        <w:suppressAutoHyphens w:val="true"/>
        <w:rPr>
          <w:rFonts w:ascii="Times New Roman" w:hAnsi="Times New Roman"/>
          <w:lang w:eastAsia="x-none"/>
        </w:rPr>
      </w:pPr>
      <w:r>
        <w:rPr>
          <w:lang w:eastAsia="x-none"/>
        </w:rPr>
      </w:r>
    </w:p>
    <w:tbl>
      <w:tblPr>
        <w:tblW w:w="14884" w:type="dxa"/>
        <w:jc w:val="center"/>
        <w:tblInd w:w="0" w:type="dxa"/>
        <w:tblLayout w:type="fixed"/>
        <w:tblCellMar>
          <w:top w:w="55" w:type="dxa"/>
          <w:left w:w="108" w:type="dxa"/>
          <w:bottom w:w="55" w:type="dxa"/>
          <w:right w:w="108" w:type="dxa"/>
        </w:tblCellMar>
        <w:tblLook w:val="04a0" w:noVBand="1" w:noHBand="0" w:lastColumn="0" w:firstColumn="1" w:lastRow="0" w:firstRow="1"/>
      </w:tblPr>
      <w:tblGrid>
        <w:gridCol w:w="708"/>
        <w:gridCol w:w="11624"/>
        <w:gridCol w:w="1276"/>
        <w:gridCol w:w="1275"/>
      </w:tblGrid>
      <w:tr>
        <w:trPr/>
        <w:tc>
          <w:tcPr>
            <w:tcW w:w="14883"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pPr>
            <w:r>
              <w:rPr>
                <w:b/>
                <w:sz w:val="22"/>
                <w:szCs w:val="22"/>
              </w:rPr>
              <w:t>Требование Заказчика</w:t>
            </w:r>
          </w:p>
        </w:tc>
      </w:tr>
      <w:tr>
        <w:trPr/>
        <w:tc>
          <w:tcPr>
            <w:tcW w:w="708" w:type="dxa"/>
            <w:tcBorders>
              <w:left w:val="single" w:sz="4" w:space="0" w:color="000000"/>
              <w:bottom w:val="single" w:sz="4" w:space="0" w:color="000000"/>
            </w:tcBorders>
          </w:tcPr>
          <w:p>
            <w:pPr>
              <w:pStyle w:val="Normal"/>
              <w:keepNext w:val="true"/>
              <w:widowControl w:val="false"/>
              <w:suppressAutoHyphens w:val="true"/>
              <w:jc w:val="center"/>
              <w:rPr/>
            </w:pPr>
            <w:r>
              <w:rPr>
                <w:b/>
                <w:sz w:val="22"/>
                <w:szCs w:val="22"/>
              </w:rPr>
              <w:t>№</w:t>
            </w:r>
          </w:p>
          <w:p>
            <w:pPr>
              <w:pStyle w:val="Normal"/>
              <w:widowControl w:val="false"/>
              <w:suppressAutoHyphens w:val="true"/>
              <w:jc w:val="center"/>
              <w:rPr/>
            </w:pPr>
            <w:r>
              <w:rPr>
                <w:b/>
                <w:sz w:val="22"/>
                <w:szCs w:val="22"/>
              </w:rPr>
              <w:t>п/п</w:t>
            </w:r>
          </w:p>
        </w:tc>
        <w:tc>
          <w:tcPr>
            <w:tcW w:w="11624" w:type="dxa"/>
            <w:tcBorders>
              <w:left w:val="single" w:sz="4" w:space="0" w:color="000000"/>
              <w:bottom w:val="single" w:sz="4" w:space="0" w:color="000000"/>
            </w:tcBorders>
            <w:vAlign w:val="center"/>
          </w:tcPr>
          <w:p>
            <w:pPr>
              <w:pStyle w:val="Normal"/>
              <w:widowControl w:val="false"/>
              <w:suppressAutoHyphens w:val="true"/>
              <w:jc w:val="center"/>
              <w:rPr/>
            </w:pPr>
            <w:r>
              <w:rPr>
                <w:b/>
                <w:sz w:val="22"/>
                <w:szCs w:val="22"/>
              </w:rPr>
              <w:t>Наименование</w:t>
            </w:r>
          </w:p>
        </w:tc>
        <w:tc>
          <w:tcPr>
            <w:tcW w:w="1276" w:type="dxa"/>
            <w:tcBorders>
              <w:left w:val="single" w:sz="4" w:space="0" w:color="000000"/>
              <w:bottom w:val="single" w:sz="4" w:space="0" w:color="000000"/>
            </w:tcBorders>
            <w:vAlign w:val="center"/>
          </w:tcPr>
          <w:p>
            <w:pPr>
              <w:pStyle w:val="Normal"/>
              <w:widowControl w:val="false"/>
              <w:suppressAutoHyphens w:val="true"/>
              <w:jc w:val="center"/>
              <w:rPr/>
            </w:pPr>
            <w:r>
              <w:rPr>
                <w:b/>
                <w:sz w:val="22"/>
                <w:szCs w:val="22"/>
              </w:rPr>
              <w:t>Ед. измер.</w:t>
            </w:r>
          </w:p>
        </w:tc>
        <w:tc>
          <w:tcPr>
            <w:tcW w:w="1275"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sz w:val="22"/>
                <w:szCs w:val="22"/>
              </w:rPr>
              <w:t>Кол-во</w:t>
            </w:r>
          </w:p>
        </w:tc>
      </w:tr>
      <w:tr>
        <w:trPr/>
        <w:tc>
          <w:tcPr>
            <w:tcW w:w="708" w:type="dxa"/>
            <w:tcBorders>
              <w:left w:val="single" w:sz="4" w:space="0" w:color="000000"/>
              <w:bottom w:val="single" w:sz="4" w:space="0" w:color="000000"/>
            </w:tcBorders>
          </w:tcPr>
          <w:p>
            <w:pPr>
              <w:pStyle w:val="Normal"/>
              <w:widowControl w:val="false"/>
              <w:suppressAutoHyphens w:val="true"/>
              <w:jc w:val="center"/>
              <w:rPr/>
            </w:pPr>
            <w:r>
              <w:rPr>
                <w:b/>
                <w:sz w:val="22"/>
                <w:szCs w:val="22"/>
              </w:rPr>
              <w:t>1</w:t>
            </w:r>
          </w:p>
        </w:tc>
        <w:tc>
          <w:tcPr>
            <w:tcW w:w="11624" w:type="dxa"/>
            <w:tcBorders>
              <w:left w:val="single" w:sz="4" w:space="0" w:color="000000"/>
              <w:bottom w:val="single" w:sz="4" w:space="0" w:color="000000"/>
            </w:tcBorders>
          </w:tcPr>
          <w:p>
            <w:pPr>
              <w:pStyle w:val="Normal"/>
              <w:widowControl w:val="false"/>
              <w:suppressAutoHyphens w:val="true"/>
              <w:jc w:val="center"/>
              <w:rPr/>
            </w:pPr>
            <w:r>
              <w:rPr>
                <w:b/>
                <w:sz w:val="22"/>
                <w:szCs w:val="22"/>
              </w:rPr>
              <w:t>2</w:t>
            </w:r>
          </w:p>
        </w:tc>
        <w:tc>
          <w:tcPr>
            <w:tcW w:w="1276" w:type="dxa"/>
            <w:tcBorders>
              <w:left w:val="single" w:sz="4" w:space="0" w:color="000000"/>
              <w:bottom w:val="single" w:sz="4" w:space="0" w:color="000000"/>
            </w:tcBorders>
          </w:tcPr>
          <w:p>
            <w:pPr>
              <w:pStyle w:val="Normal"/>
              <w:widowControl w:val="false"/>
              <w:suppressAutoHyphens w:val="true"/>
              <w:jc w:val="center"/>
              <w:rPr/>
            </w:pPr>
            <w:r>
              <w:rPr>
                <w:b/>
                <w:sz w:val="22"/>
                <w:szCs w:val="22"/>
              </w:rPr>
              <w:t>3</w:t>
            </w:r>
          </w:p>
        </w:tc>
        <w:tc>
          <w:tcPr>
            <w:tcW w:w="1275" w:type="dxa"/>
            <w:tcBorders>
              <w:left w:val="single" w:sz="4" w:space="0" w:color="000000"/>
              <w:bottom w:val="single" w:sz="4" w:space="0" w:color="000000"/>
              <w:right w:val="single" w:sz="4" w:space="0" w:color="000000"/>
            </w:tcBorders>
          </w:tcPr>
          <w:p>
            <w:pPr>
              <w:pStyle w:val="Normal"/>
              <w:widowControl w:val="false"/>
              <w:suppressAutoHyphens w:val="true"/>
              <w:jc w:val="center"/>
              <w:rPr/>
            </w:pPr>
            <w:r>
              <w:rPr>
                <w:b/>
                <w:sz w:val="22"/>
                <w:szCs w:val="22"/>
              </w:rPr>
              <w:t>4</w:t>
            </w:r>
          </w:p>
        </w:tc>
      </w:tr>
      <w:tr>
        <w:trPr/>
        <w:tc>
          <w:tcPr>
            <w:tcW w:w="14883" w:type="dxa"/>
            <w:gridSpan w:val="4"/>
            <w:tcBorders>
              <w:left w:val="single" w:sz="4" w:space="0" w:color="000000"/>
              <w:bottom w:val="single" w:sz="4" w:space="0" w:color="000000"/>
              <w:right w:val="single" w:sz="4" w:space="0" w:color="000000"/>
            </w:tcBorders>
          </w:tcPr>
          <w:p>
            <w:pPr>
              <w:pStyle w:val="Normal"/>
              <w:widowControl w:val="false"/>
              <w:suppressAutoHyphens w:val="true"/>
              <w:jc w:val="center"/>
              <w:rPr>
                <w:b/>
                <w:bCs/>
              </w:rPr>
            </w:pPr>
            <w:r>
              <w:rPr>
                <w:b/>
                <w:bCs/>
                <w:color w:val="000000"/>
                <w:sz w:val="22"/>
                <w:szCs w:val="22"/>
              </w:rPr>
              <w:t>1.1 Филиал АО «ДРСК» «Амурские ЭС» Адрес склада: 675003, Амурская область, г. Благовещенск, ул. Театральная, 179</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Датчик тока ДТУ-03 для устройства контроля тока проводимости ОПН УКТ-03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2.</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LVA-450-4 0.4кВ 10кА</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228,00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3.</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LVA-450-4 0.4кВ 10кА</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4.</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 35/40.5-10/650 (II) УХЛ1 (датчик тока ДТУ-03)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5.</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ОПН-10/12-10/650 (II)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54,00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6.</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ОПН-35/40.5-10/650 (II) УХЛ1 35кВ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7.</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ОПН-6/7.2-10/650 (II) УХЛ1 6кВ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8.</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ОПН-П/ЗЭУ-35/41/10/550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12,00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9.</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ОПН-П-10/12/10/650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18,00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10.</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ОПНп-10/680/12 УХЛ1 10кВ 680А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72,00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11.</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ОПНп-10/680/12.8 УХЛ1 10кВ 680А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18,00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12.</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ОПНп-110/680/80-10-III УХЛ1 110кВ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13.</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ОПНп-110/680/80-10-III УХЛ1 110кВ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14.</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ОПН-П-35/40.5/10/650 УХЛ1 35кВ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18,00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15.</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ОПНп-35/680/40.5-10-III 35кВ 10кА УХЛ1 (основание изолирующее, датчик тока ДТУ-03)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96,00</w:t>
            </w:r>
          </w:p>
        </w:tc>
      </w:tr>
      <w:tr>
        <w:trPr/>
        <w:tc>
          <w:tcPr>
            <w:tcW w:w="14883" w:type="dxa"/>
            <w:gridSpan w:val="4"/>
            <w:tcBorders>
              <w:left w:val="single" w:sz="4" w:space="0" w:color="000000"/>
              <w:bottom w:val="single" w:sz="4" w:space="0" w:color="000000"/>
              <w:right w:val="single" w:sz="4" w:space="0" w:color="000000"/>
            </w:tcBorders>
          </w:tcPr>
          <w:p>
            <w:pPr>
              <w:pStyle w:val="Normal"/>
              <w:widowControl w:val="false"/>
              <w:bidi w:val="0"/>
              <w:jc w:val="center"/>
              <w:rPr>
                <w:rFonts w:ascii="Times New Roman" w:hAnsi="Times New Roman" w:eastAsia="Times New Roman" w:cs="Times New Roman"/>
                <w:b/>
                <w:bCs/>
                <w:color w:val="000000"/>
                <w:kern w:val="0"/>
                <w:sz w:val="22"/>
                <w:szCs w:val="22"/>
                <w:lang w:val="ru-RU" w:eastAsia="ru-RU" w:bidi="ar-SA"/>
              </w:rPr>
            </w:pPr>
            <w:r>
              <w:rPr>
                <w:rFonts w:eastAsia="Times New Roman" w:cs="Times New Roman"/>
                <w:b/>
                <w:bCs/>
                <w:color w:val="000000"/>
                <w:kern w:val="0"/>
                <w:sz w:val="22"/>
                <w:szCs w:val="22"/>
                <w:lang w:val="ru-RU" w:eastAsia="ru-RU" w:bidi="ar-SA"/>
              </w:rPr>
              <w:t>1.2. Филиал АО «ДРСК» «Приморские электрические сети» Адрес склада: 692524, Приморский край, г. Уссурийск, ул. Резервная 22А</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ОПН-0.4/0.45-10 (II) УХЛ1 0.4кВ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12,00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2.</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ОПН-10/12-10/650 (II)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3.</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ОПН-6/680/7.6 УХЛ1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4.</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ОПН-6/7.2-10/650 (II) УХЛ1 6кВ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5.</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ОПНН-А-110/56-10/650 (II) 4 УХЛ1 110кВ 10кА (датчик тока ДТУ-03)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4,00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6.</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ОПНп-0.4/300/0.45 УХЛ1 0.4кВ</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7.</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ОПНп-10/12.8/10/650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12,00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8.</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ОПН-П-10/12/10/650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9.</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ОПНп-10/12/10/680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48,00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10.</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ОПНп-10/550/12 10кВ 550А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9,00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11.</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ОПНп-10/600/12 УХЛ1 10кВ 600А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12.</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ОПНп-10/680/12 УХЛ1 10кВ 680А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66,00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13.</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ОПНп-10/680/12.6 УХЛ1 10кВ 680А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18,00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14.</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ОПНп-35/1000/42-10-III УХЛ1 (с изолирующим основанием и датчиком тока ДТУ-03)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18,00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15.</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ОПНп-35/680/42-10-III УХЛ1 35кВ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16.</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ОПНп-6/600/7.2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bidi w:val="0"/>
              <w:spacing w:before="0" w:after="0"/>
              <w:ind w:left="340" w:right="0" w:hanging="340"/>
              <w:jc w:val="left"/>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17.</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ОПНп-6/680/7.2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36,00</w:t>
            </w:r>
          </w:p>
        </w:tc>
      </w:tr>
      <w:tr>
        <w:trPr/>
        <w:tc>
          <w:tcPr>
            <w:tcW w:w="14883" w:type="dxa"/>
            <w:gridSpan w:val="4"/>
            <w:tcBorders>
              <w:left w:val="single" w:sz="4" w:space="0" w:color="000000"/>
              <w:bottom w:val="single" w:sz="4" w:space="0" w:color="000000"/>
              <w:right w:val="single" w:sz="4" w:space="0" w:color="000000"/>
            </w:tcBorders>
          </w:tcPr>
          <w:p>
            <w:pPr>
              <w:pStyle w:val="Style36"/>
              <w:widowControl w:val="false"/>
              <w:jc w:val="center"/>
              <w:rPr>
                <w:rFonts w:ascii="Times New Roman" w:hAnsi="Times New Roman" w:eastAsia="Times New Roman" w:cs="Times New Roman"/>
                <w:b/>
                <w:bCs/>
                <w:color w:val="000000"/>
                <w:kern w:val="0"/>
                <w:sz w:val="22"/>
                <w:szCs w:val="22"/>
                <w:lang w:val="ru-RU" w:eastAsia="ru-RU" w:bidi="ar-SA"/>
              </w:rPr>
            </w:pPr>
            <w:r>
              <w:rPr>
                <w:rFonts w:eastAsia="Times New Roman" w:cs="Times New Roman"/>
                <w:b/>
                <w:bCs/>
                <w:color w:val="000000"/>
                <w:kern w:val="0"/>
                <w:sz w:val="22"/>
                <w:szCs w:val="22"/>
                <w:lang w:val="ru-RU" w:eastAsia="ru-RU" w:bidi="ar-SA"/>
              </w:rPr>
              <w:t>1.3.1. Филиал АО «ДРСК» «Хабаровские электрические сети» для СП «Центральные электрические сети» Адрес склада: 680009, Хабаровский край, г. Хабаровск, ул. Промышленная, 13</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Датчик тока ДТУ-03 для устройства контроля тока проводимости ОПН УКТ-03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2.</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 35/40.5-10/650 (II) УХЛ1 (датчик тока ДТУ-03)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3.</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ОПН-10/12-10/650 (II)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3,00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4.</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ОПНп-0.4/400/0.45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12,00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5.</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ОПНп-10/600/12 УХЛ1 10кВ 600А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6.</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ОПНп-6/680/7.2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8,00</w:t>
            </w:r>
          </w:p>
        </w:tc>
      </w:tr>
      <w:tr>
        <w:trPr/>
        <w:tc>
          <w:tcPr>
            <w:tcW w:w="14883" w:type="dxa"/>
            <w:gridSpan w:val="4"/>
            <w:tcBorders>
              <w:left w:val="single" w:sz="4" w:space="0" w:color="000000"/>
              <w:bottom w:val="single" w:sz="4" w:space="0" w:color="000000"/>
              <w:right w:val="single" w:sz="4" w:space="0" w:color="000000"/>
            </w:tcBorders>
          </w:tcPr>
          <w:p>
            <w:pPr>
              <w:pStyle w:val="Style36"/>
              <w:widowControl w:val="false"/>
              <w:jc w:val="center"/>
              <w:rPr>
                <w:rFonts w:ascii="Times New Roman" w:hAnsi="Times New Roman" w:eastAsia="Times New Roman" w:cs="Times New Roman"/>
                <w:b/>
                <w:bCs/>
                <w:color w:val="000000"/>
                <w:kern w:val="0"/>
                <w:sz w:val="22"/>
                <w:szCs w:val="22"/>
                <w:lang w:val="ru-RU" w:eastAsia="ru-RU" w:bidi="ar-SA"/>
              </w:rPr>
            </w:pPr>
            <w:r>
              <w:rPr>
                <w:rFonts w:eastAsia="Times New Roman" w:cs="Times New Roman"/>
                <w:b/>
                <w:bCs/>
                <w:color w:val="000000"/>
                <w:kern w:val="0"/>
                <w:sz w:val="22"/>
                <w:szCs w:val="22"/>
                <w:lang w:val="ru-RU" w:eastAsia="ru-RU" w:bidi="ar-SA"/>
              </w:rPr>
              <w:t>1.3.2. Филиал АО «ДРСК» «Хабаровские электрические сети» для СП «Северные электрические сети» Адрес склада: 681000, РФ, Хабаровский край, г. Комсомольск - на - Амуре, ул. Аллея Труда, 16А</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ОПН-10/12-10/650 (II)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center"/>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2.</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ОПН-П1-110/88/20/4 (III) УХЛ1 110кВ 20кА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center"/>
              <w:rPr>
                <w:rFonts w:ascii="Times New Roman" w:hAnsi="Times New Roman"/>
                <w:color w:val="000000"/>
                <w:sz w:val="24"/>
              </w:rPr>
            </w:pPr>
            <w:r>
              <w:rPr>
                <w:rFonts w:ascii="Times New Roman" w:hAnsi="Times New Roman"/>
                <w:color w:val="000000"/>
                <w:sz w:val="24"/>
              </w:rPr>
              <w:t>6,00</w:t>
            </w:r>
          </w:p>
        </w:tc>
      </w:tr>
      <w:tr>
        <w:trPr/>
        <w:tc>
          <w:tcPr>
            <w:tcW w:w="14883" w:type="dxa"/>
            <w:gridSpan w:val="4"/>
            <w:tcBorders>
              <w:left w:val="single" w:sz="4" w:space="0" w:color="000000"/>
              <w:bottom w:val="single" w:sz="4" w:space="0" w:color="000000"/>
              <w:right w:val="single" w:sz="4" w:space="0" w:color="000000"/>
            </w:tcBorders>
          </w:tcPr>
          <w:p>
            <w:pPr>
              <w:pStyle w:val="Style36"/>
              <w:widowControl w:val="false"/>
              <w:jc w:val="center"/>
              <w:rPr>
                <w:rFonts w:ascii="Times New Roman" w:hAnsi="Times New Roman" w:eastAsia="Times New Roman" w:cs="Times New Roman"/>
                <w:b/>
                <w:bCs/>
                <w:color w:val="000000"/>
                <w:kern w:val="0"/>
                <w:sz w:val="22"/>
                <w:szCs w:val="22"/>
                <w:lang w:val="ru-RU" w:eastAsia="ru-RU" w:bidi="ar-SA"/>
              </w:rPr>
            </w:pPr>
            <w:r>
              <w:rPr>
                <w:rFonts w:eastAsia="Times New Roman" w:cs="Times New Roman"/>
                <w:b/>
                <w:bCs/>
                <w:color w:val="000000"/>
                <w:kern w:val="0"/>
                <w:sz w:val="22"/>
                <w:szCs w:val="22"/>
                <w:lang w:val="ru-RU" w:eastAsia="ru-RU" w:bidi="ar-SA"/>
              </w:rPr>
              <w:t>1.4. Филиал АО «ДРСК» «ЭС ЕАО» Адрес склада: 679011, ЕАО, г. Биробиджан, ул. Черноморская, 6</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 35/40.5-10/650 (II) УХЛ1 (датчик тока ДТУ-03)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2.</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ОПН-110/56-10/650 (II) УХЛ1 110кВ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2,00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3.</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ОПН-6/7.2-10/650 (II) УХЛ1 6кВ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18,00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4.</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ОПН-П-10/12/10/400-lll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12,00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5.</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ОПН-П-10/12/10/650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6.</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ОПНп-35/680/40.5-10-III 35кВ 10кА УХЛ1 (основание изолирующее, датчик тока ДТУ-03)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14883" w:type="dxa"/>
            <w:gridSpan w:val="4"/>
            <w:tcBorders>
              <w:left w:val="single" w:sz="4" w:space="0" w:color="000000"/>
              <w:bottom w:val="single" w:sz="4" w:space="0" w:color="000000"/>
              <w:right w:val="single" w:sz="4" w:space="0" w:color="000000"/>
            </w:tcBorders>
          </w:tcPr>
          <w:p>
            <w:pPr>
              <w:pStyle w:val="Style36"/>
              <w:widowControl w:val="false"/>
              <w:jc w:val="center"/>
              <w:rPr>
                <w:rFonts w:ascii="Times New Roman" w:hAnsi="Times New Roman" w:eastAsia="Times New Roman" w:cs="Times New Roman"/>
                <w:b/>
                <w:bCs/>
                <w:color w:val="000000"/>
                <w:kern w:val="0"/>
                <w:sz w:val="22"/>
                <w:szCs w:val="22"/>
                <w:lang w:val="ru-RU" w:eastAsia="ru-RU" w:bidi="ar-SA"/>
              </w:rPr>
            </w:pPr>
            <w:r>
              <w:rPr>
                <w:rFonts w:eastAsia="Times New Roman" w:cs="Times New Roman"/>
                <w:b/>
                <w:bCs/>
                <w:color w:val="000000"/>
                <w:kern w:val="0"/>
                <w:sz w:val="22"/>
                <w:szCs w:val="22"/>
                <w:lang w:val="ru-RU" w:eastAsia="ru-RU" w:bidi="ar-SA"/>
              </w:rPr>
              <w:t>1.5. Филиал АО «ДРСК» «Южно-Якутские электрические сети» Адрес склада: 6678900, г. Алдан, ул. Тарабукина, 60А.</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LVA-450-4 0.4кВ 10кА</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15,00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2.</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LVA-450-4 0.4кВ 10кА</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12,00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3.</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 ОР 600/50-II 600А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8,00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4.</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ОПН-10/12-10/650 (II) УХЛ1 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6,00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5.</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ОПНп-110/1000/84-10-IV УХЛ1-ПФ 110кВ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42,00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6.</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Ограничитель перенапряжения ОПН-П-35/42.0/10/900 35кВ 10кА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21,00</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7.</w:t>
            </w:r>
          </w:p>
        </w:tc>
        <w:tc>
          <w:tcPr>
            <w:tcW w:w="11624" w:type="dxa"/>
            <w:tcBorders>
              <w:left w:val="single" w:sz="4" w:space="0" w:color="000000"/>
              <w:bottom w:val="single" w:sz="4" w:space="0" w:color="000000"/>
            </w:tcBorders>
            <w:shd w:color="auto" w:fill="auto" w:val="clear"/>
            <w:vAlign w:val="center"/>
          </w:tcPr>
          <w:p>
            <w:pPr>
              <w:pStyle w:val="Style36"/>
              <w:jc w:val="left"/>
              <w:rPr>
                <w:rFonts w:ascii="Times New Roman" w:hAnsi="Times New Roman"/>
                <w:color w:val="000000"/>
              </w:rPr>
            </w:pPr>
            <w:r>
              <w:rPr>
                <w:rFonts w:ascii="Times New Roman" w:hAnsi="Times New Roman"/>
                <w:color w:val="000000"/>
              </w:rPr>
              <w:t>Регистратор срабатывания ОПН ИТ-Д2.03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rFonts w:ascii="Times New Roman" w:hAnsi="Times New Roman"/>
                <w:color w:val="000000"/>
                <w:sz w:val="24"/>
              </w:rPr>
              <w:t>12,00</w:t>
            </w:r>
          </w:p>
        </w:tc>
      </w:tr>
    </w:tbl>
    <w:p>
      <w:pPr>
        <w:pStyle w:val="Heading3"/>
        <w:numPr>
          <w:ilvl w:val="2"/>
          <w:numId w:val="3"/>
        </w:numPr>
        <w:suppressAutoHyphens w:val="true"/>
        <w:spacing w:before="120" w:after="0"/>
        <w:rPr/>
      </w:pPr>
      <w:bookmarkStart w:id="22" w:name="__RefHeading___Toc89655_1475472420"/>
      <w:bookmarkStart w:id="23" w:name="_Toc75446578"/>
      <w:bookmarkStart w:id="24" w:name="_Toc51339696"/>
      <w:bookmarkEnd w:id="22"/>
      <w:r>
        <w:rPr>
          <w:sz w:val="22"/>
          <w:szCs w:val="22"/>
          <w:lang w:val="ru-RU"/>
        </w:rPr>
        <w:t xml:space="preserve">Требования </w:t>
      </w:r>
      <w:bookmarkEnd w:id="24"/>
      <w:r>
        <w:rPr>
          <w:sz w:val="22"/>
          <w:szCs w:val="22"/>
          <w:lang w:val="ru-RU"/>
        </w:rPr>
        <w:t xml:space="preserve">к срокам поставки продукции </w:t>
      </w:r>
      <w:bookmarkEnd w:id="23"/>
    </w:p>
    <w:p>
      <w:pPr>
        <w:pStyle w:val="Heading1"/>
        <w:keepLines/>
        <w:numPr>
          <w:ilvl w:val="0"/>
          <w:numId w:val="0"/>
        </w:numPr>
        <w:suppressAutoHyphens w:val="true"/>
        <w:spacing w:before="240" w:after="0"/>
        <w:ind w:left="0" w:hanging="0"/>
        <w:rPr/>
      </w:pPr>
      <w:bookmarkStart w:id="25" w:name="__RefHeading___Toc89657_1475472420"/>
      <w:bookmarkStart w:id="26" w:name="_Toc75446579"/>
      <w:bookmarkStart w:id="27" w:name="_Toc51339697"/>
      <w:bookmarkStart w:id="28" w:name="_Toc50125127"/>
      <w:bookmarkStart w:id="29" w:name="_Toc50125126_Копия_1"/>
      <w:bookmarkEnd w:id="25"/>
      <w:bookmarkEnd w:id="29"/>
      <w:r>
        <w:rPr>
          <w:sz w:val="22"/>
          <w:szCs w:val="22"/>
        </w:rPr>
        <w:t xml:space="preserve">Таблица </w:t>
      </w:r>
      <w:r>
        <w:rPr>
          <w:sz w:val="22"/>
          <w:szCs w:val="22"/>
          <w:lang w:val="ru-RU"/>
        </w:rPr>
        <w:t>2</w:t>
      </w:r>
      <w:r>
        <w:rPr>
          <w:sz w:val="22"/>
          <w:szCs w:val="22"/>
        </w:rPr>
        <w:t>.</w:t>
      </w:r>
      <w:r>
        <w:rPr>
          <w:sz w:val="22"/>
          <w:szCs w:val="22"/>
          <w:lang w:val="ru-RU"/>
        </w:rPr>
        <w:t>1</w:t>
      </w:r>
      <w:r>
        <w:rPr>
          <w:sz w:val="22"/>
          <w:szCs w:val="22"/>
        </w:rPr>
        <w:t xml:space="preserve"> </w:t>
      </w:r>
      <w:bookmarkStart w:id="30" w:name="_Hlk50465284"/>
      <w:r>
        <w:rPr>
          <w:sz w:val="22"/>
          <w:szCs w:val="22"/>
        </w:rPr>
        <w:t xml:space="preserve">Требования по срокам </w:t>
      </w:r>
      <w:bookmarkEnd w:id="27"/>
      <w:bookmarkEnd w:id="28"/>
      <w:bookmarkEnd w:id="30"/>
      <w:r>
        <w:rPr>
          <w:sz w:val="22"/>
          <w:szCs w:val="22"/>
          <w:lang w:val="ru-RU"/>
        </w:rPr>
        <w:t>поставки продукции</w:t>
      </w:r>
      <w:bookmarkEnd w:id="26"/>
      <w:r>
        <w:rPr>
          <w:sz w:val="22"/>
          <w:szCs w:val="22"/>
          <w:lang w:val="ru-RU"/>
        </w:rPr>
        <w:t xml:space="preserve"> </w:t>
      </w:r>
    </w:p>
    <w:tbl>
      <w:tblPr>
        <w:tblW w:w="14850" w:type="dxa"/>
        <w:jc w:val="left"/>
        <w:tblInd w:w="-164" w:type="dxa"/>
        <w:tblLayout w:type="fixed"/>
        <w:tblCellMar>
          <w:top w:w="0" w:type="dxa"/>
          <w:left w:w="108" w:type="dxa"/>
          <w:bottom w:w="0" w:type="dxa"/>
          <w:right w:w="108" w:type="dxa"/>
        </w:tblCellMar>
        <w:tblLook w:val="04a0" w:noVBand="1" w:noHBand="0" w:lastColumn="0" w:firstColumn="1" w:lastRow="0" w:firstRow="1"/>
      </w:tblPr>
      <w:tblGrid>
        <w:gridCol w:w="836"/>
        <w:gridCol w:w="4253"/>
        <w:gridCol w:w="9761"/>
      </w:tblGrid>
      <w:tr>
        <w:trPr/>
        <w:tc>
          <w:tcPr>
            <w:tcW w:w="8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jc w:val="center"/>
              <w:rPr/>
            </w:pPr>
            <w:r>
              <w:rPr>
                <w:b/>
                <w:sz w:val="22"/>
                <w:szCs w:val="22"/>
              </w:rPr>
              <w:t xml:space="preserve">№ </w:t>
            </w:r>
            <w:r>
              <w:rPr>
                <w:b/>
                <w:sz w:val="22"/>
                <w:szCs w:val="22"/>
              </w:rPr>
              <w:t>п/п</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sz w:val="22"/>
                <w:szCs w:val="22"/>
              </w:rPr>
              <w:t>Требования к началу срока поставки продукции</w:t>
            </w:r>
          </w:p>
        </w:tc>
        <w:tc>
          <w:tcPr>
            <w:tcW w:w="9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sz w:val="22"/>
                <w:szCs w:val="22"/>
              </w:rPr>
              <w:t>Требования к окончанию срока поставки продукции</w:t>
            </w:r>
          </w:p>
        </w:tc>
      </w:tr>
      <w:tr>
        <w:trPr/>
        <w:tc>
          <w:tcPr>
            <w:tcW w:w="8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jc w:val="center"/>
              <w:rPr/>
            </w:pPr>
            <w:r>
              <w:rPr>
                <w:b/>
                <w:sz w:val="22"/>
                <w:szCs w:val="22"/>
              </w:rPr>
              <w:t>1</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uppressAutoHyphens w:val="true"/>
              <w:spacing w:before="40" w:after="0"/>
              <w:jc w:val="center"/>
              <w:rPr/>
            </w:pPr>
            <w:r>
              <w:rPr>
                <w:b/>
                <w:szCs w:val="22"/>
              </w:rPr>
              <w:t>2</w:t>
            </w:r>
          </w:p>
        </w:tc>
        <w:tc>
          <w:tcPr>
            <w:tcW w:w="9761" w:type="dxa"/>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uppressAutoHyphens w:val="true"/>
              <w:spacing w:before="40" w:after="0"/>
              <w:jc w:val="center"/>
              <w:rPr/>
            </w:pPr>
            <w:r>
              <w:rPr>
                <w:b/>
                <w:szCs w:val="22"/>
              </w:rPr>
              <w:t>3</w:t>
            </w:r>
          </w:p>
        </w:tc>
      </w:tr>
      <w:tr>
        <w:trPr/>
        <w:tc>
          <w:tcPr>
            <w:tcW w:w="8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6"/>
              </w:numPr>
              <w:suppressAutoHyphens w:val="true"/>
              <w:rPr>
                <w:rFonts w:ascii="Times New Roman" w:hAnsi="Times New Roman"/>
                <w:sz w:val="22"/>
                <w:szCs w:val="22"/>
              </w:rPr>
            </w:pPr>
            <w:r>
              <w:rPr>
                <w:sz w:val="22"/>
                <w:szCs w:val="22"/>
              </w:rPr>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Cs/>
                <w:iCs/>
                <w:sz w:val="22"/>
                <w:szCs w:val="22"/>
              </w:rPr>
              <w:t>с 1</w:t>
            </w:r>
            <w:r>
              <w:rPr>
                <w:bCs/>
                <w:iCs/>
                <w:sz w:val="22"/>
                <w:szCs w:val="22"/>
              </w:rPr>
              <w:t>1</w:t>
            </w:r>
            <w:r>
              <w:rPr>
                <w:bCs/>
                <w:iCs/>
                <w:sz w:val="22"/>
                <w:szCs w:val="22"/>
              </w:rPr>
              <w:t>.01.202</w:t>
            </w:r>
            <w:r>
              <w:rPr>
                <w:bCs/>
                <w:iCs/>
                <w:sz w:val="22"/>
                <w:szCs w:val="22"/>
              </w:rPr>
              <w:t>7</w:t>
            </w:r>
            <w:r>
              <w:rPr>
                <w:bCs/>
                <w:iCs/>
                <w:sz w:val="22"/>
                <w:szCs w:val="22"/>
              </w:rPr>
              <w:t xml:space="preserve"> года</w:t>
            </w:r>
          </w:p>
        </w:tc>
        <w:tc>
          <w:tcPr>
            <w:tcW w:w="9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Cs/>
                <w:sz w:val="22"/>
                <w:szCs w:val="22"/>
              </w:rPr>
              <w:t>в течение 90</w:t>
            </w:r>
            <w:r>
              <w:rPr>
                <w:bCs/>
                <w:iCs/>
                <w:sz w:val="22"/>
                <w:szCs w:val="22"/>
                <w:lang w:eastAsia="x-none"/>
              </w:rPr>
              <w:t xml:space="preserve"> календарных дней с момента начала поставки</w:t>
            </w:r>
          </w:p>
        </w:tc>
      </w:tr>
    </w:tbl>
    <w:p>
      <w:pPr>
        <w:pStyle w:val="Heading4"/>
        <w:keepNext w:val="true"/>
        <w:widowControl/>
        <w:numPr>
          <w:ilvl w:val="0"/>
          <w:numId w:val="0"/>
        </w:numPr>
        <w:suppressAutoHyphens w:val="true"/>
        <w:bidi w:val="0"/>
        <w:spacing w:before="120" w:after="0"/>
        <w:ind w:left="737" w:right="0" w:hanging="0"/>
        <w:jc w:val="left"/>
        <w:rPr/>
      </w:pPr>
      <w:bookmarkStart w:id="31" w:name="__RefHeading___Toc89659_1475472420"/>
      <w:bookmarkEnd w:id="31"/>
      <w:r>
        <w:rPr>
          <w:sz w:val="22"/>
          <w:szCs w:val="22"/>
        </w:rPr>
        <w:t xml:space="preserve">2.2. </w:t>
      </w:r>
      <w:bookmarkStart w:id="32" w:name="_Toc51339698_Копия_1"/>
      <w:bookmarkStart w:id="33" w:name="_Toc75446581_Копия_1_Копия_1"/>
      <w:bookmarkStart w:id="34" w:name="_Toc46743511_Копия_1"/>
      <w:r>
        <w:rPr>
          <w:sz w:val="22"/>
          <w:szCs w:val="22"/>
        </w:rPr>
        <w:t xml:space="preserve">Требования к </w:t>
      </w:r>
      <w:bookmarkEnd w:id="34"/>
      <w:r>
        <w:rPr>
          <w:sz w:val="22"/>
          <w:szCs w:val="22"/>
          <w:lang w:val="ru-RU"/>
        </w:rPr>
        <w:t>качеству продукции</w:t>
      </w:r>
      <w:bookmarkEnd w:id="33"/>
    </w:p>
    <w:p>
      <w:pPr>
        <w:pStyle w:val="Heading1"/>
        <w:keepLines/>
        <w:numPr>
          <w:ilvl w:val="0"/>
          <w:numId w:val="0"/>
        </w:numPr>
        <w:suppressAutoHyphens w:val="true"/>
        <w:spacing w:before="240" w:after="0"/>
        <w:ind w:left="0" w:hanging="0"/>
        <w:rPr/>
      </w:pPr>
      <w:bookmarkStart w:id="35" w:name="__RefHeading___Toc89661_1475472420"/>
      <w:bookmarkEnd w:id="35"/>
      <w:r>
        <w:rPr>
          <w:sz w:val="22"/>
          <w:szCs w:val="22"/>
        </w:rPr>
        <w:t xml:space="preserve"> </w:t>
      </w:r>
      <w:bookmarkStart w:id="36" w:name="_Toc75446582_Копия_1"/>
      <w:r>
        <w:rPr>
          <w:sz w:val="22"/>
          <w:szCs w:val="22"/>
        </w:rPr>
        <w:t>Таблица </w:t>
      </w:r>
      <w:r>
        <w:rPr>
          <w:sz w:val="22"/>
          <w:szCs w:val="22"/>
          <w:shd w:fill="auto" w:val="clear"/>
          <w:lang w:val="ru-RU"/>
        </w:rPr>
        <w:t>2</w:t>
      </w:r>
      <w:r>
        <w:rPr>
          <w:sz w:val="22"/>
          <w:szCs w:val="22"/>
          <w:shd w:fill="auto" w:val="clear"/>
        </w:rPr>
        <w:t>.</w:t>
      </w:r>
      <w:r>
        <w:rPr>
          <w:sz w:val="22"/>
          <w:szCs w:val="22"/>
          <w:shd w:fill="auto" w:val="clear"/>
          <w:lang w:val="ru-RU"/>
        </w:rPr>
        <w:t>2.</w:t>
      </w:r>
      <w:r>
        <w:rPr>
          <w:sz w:val="22"/>
          <w:szCs w:val="22"/>
          <w:shd w:fill="auto" w:val="clear"/>
        </w:rPr>
        <w:t xml:space="preserve"> Требования к </w:t>
      </w:r>
      <w:r>
        <w:rPr>
          <w:sz w:val="22"/>
          <w:szCs w:val="22"/>
          <w:shd w:fill="auto" w:val="clear"/>
          <w:lang w:val="ru-RU"/>
        </w:rPr>
        <w:t>продукции</w:t>
      </w:r>
      <w:bookmarkEnd w:id="36"/>
      <w:r>
        <w:rPr>
          <w:sz w:val="22"/>
          <w:szCs w:val="22"/>
          <w:shd w:fill="auto" w:val="clear"/>
        </w:rPr>
        <w:t xml:space="preserve"> </w:t>
      </w:r>
      <w:bookmarkEnd w:id="32"/>
    </w:p>
    <w:p>
      <w:pPr>
        <w:pStyle w:val="Normal"/>
        <w:widowControl w:val="false"/>
        <w:tabs>
          <w:tab w:val="clear" w:pos="708"/>
          <w:tab w:val="left" w:pos="426" w:leader="none"/>
        </w:tabs>
        <w:suppressAutoHyphens w:val="true"/>
        <w:spacing w:before="120" w:after="0"/>
        <w:jc w:val="both"/>
        <w:rPr/>
      </w:pPr>
      <w:r>
        <w:rPr>
          <w:rStyle w:val="Style8"/>
          <w:rFonts w:eastAsia="Times New Roman" w:cs="Times New Roman"/>
          <w:b/>
          <w:bCs/>
          <w:i/>
          <w:iCs/>
          <w:strike w:val="false"/>
          <w:dstrike w:val="false"/>
          <w:outline w:val="false"/>
          <w:shadow w:val="false"/>
          <w:color w:val="000000"/>
          <w:kern w:val="0"/>
          <w:sz w:val="24"/>
          <w:szCs w:val="24"/>
          <w:u w:val="none"/>
          <w:shd w:fill="auto" w:val="clear"/>
          <w:em w:val="none"/>
          <w:lang w:val="ru-RU" w:eastAsia="ru-RU" w:bidi="ar-SA"/>
        </w:rPr>
        <w:t>ОКПД2 27.12.10.190 Поставка ограничителей перенапряжения в рамках ремонтной и инвестиционной  программ для нужд филиалов АО "ДРСК": "Амурские электрические сети", "Приморские электрические сети", "Хабаровские электрические сети", "Южно-Якутские электрические сети" и "Электрические сети Еврейской автономной области"</w:t>
      </w:r>
    </w:p>
    <w:tbl>
      <w:tblPr>
        <w:tblStyle w:val="af0"/>
        <w:tblpPr w:bottomFromText="0" w:horzAnchor="text" w:leftFromText="180" w:rightFromText="180" w:tblpX="74" w:tblpY="1" w:topFromText="0" w:vertAnchor="text"/>
        <w:tblW w:w="14567"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674"/>
        <w:gridCol w:w="3225"/>
        <w:gridCol w:w="37"/>
        <w:gridCol w:w="4394"/>
        <w:gridCol w:w="1843"/>
        <w:gridCol w:w="2551"/>
        <w:gridCol w:w="1842"/>
      </w:tblGrid>
      <w:tr>
        <w:trPr/>
        <w:tc>
          <w:tcPr>
            <w:tcW w:w="674" w:type="dxa"/>
            <w:vMerge w:val="restart"/>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 xml:space="preserve">№ </w:t>
            </w:r>
            <w:r>
              <w:rPr>
                <w:rFonts w:eastAsia="Times New Roman" w:cs="Times New Roman"/>
                <w:b/>
                <w:bCs/>
                <w:kern w:val="0"/>
                <w:sz w:val="22"/>
                <w:szCs w:val="22"/>
                <w:lang w:val="ru-RU" w:eastAsia="ru-RU" w:bidi="ar-SA"/>
              </w:rPr>
              <w:t>п/п</w:t>
            </w:r>
          </w:p>
        </w:tc>
        <w:tc>
          <w:tcPr>
            <w:tcW w:w="3262" w:type="dxa"/>
            <w:gridSpan w:val="2"/>
            <w:vMerge w:val="restart"/>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Наименование параметра</w:t>
            </w:r>
          </w:p>
        </w:tc>
        <w:tc>
          <w:tcPr>
            <w:tcW w:w="4394" w:type="dxa"/>
            <w:vMerge w:val="restart"/>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Требование заказчика</w:t>
            </w:r>
          </w:p>
        </w:tc>
        <w:tc>
          <w:tcPr>
            <w:tcW w:w="4394" w:type="dxa"/>
            <w:gridSpan w:val="2"/>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Способ подтверждения участником соответствия требованиям</w:t>
            </w:r>
          </w:p>
        </w:tc>
        <w:tc>
          <w:tcPr>
            <w:tcW w:w="1842" w:type="dxa"/>
            <w:vMerge w:val="restart"/>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Предложение участника по характеристикам и параметрам</w:t>
            </w:r>
          </w:p>
        </w:tc>
      </w:tr>
      <w:tr>
        <w:trPr/>
        <w:tc>
          <w:tcPr>
            <w:tcW w:w="674"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3262" w:type="dxa"/>
            <w:gridSpan w:val="2"/>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4394"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1843" w:type="dxa"/>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Согласие с требованием/ указание характеристик</w:t>
            </w:r>
          </w:p>
        </w:tc>
        <w:tc>
          <w:tcPr>
            <w:tcW w:w="2551" w:type="dxa"/>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Предоставление подтверждающего документа или иной способ подтверждения</w:t>
            </w:r>
          </w:p>
        </w:tc>
        <w:tc>
          <w:tcPr>
            <w:tcW w:w="1842"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r>
      <w:tr>
        <w:trPr/>
        <w:tc>
          <w:tcPr>
            <w:tcW w:w="674" w:type="dxa"/>
            <w:tcBorders/>
            <w:vAlign w:val="center"/>
          </w:tcPr>
          <w:p>
            <w:pPr>
              <w:pStyle w:val="Normal"/>
              <w:widowControl w:val="false"/>
              <w:suppressAutoHyphens w:val="true"/>
              <w:spacing w:before="60" w:after="0"/>
              <w:jc w:val="center"/>
              <w:rPr>
                <w:sz w:val="22"/>
                <w:szCs w:val="22"/>
              </w:rPr>
            </w:pPr>
            <w:r>
              <w:rPr>
                <w:rFonts w:eastAsia="Times New Roman" w:cs="Times New Roman"/>
                <w:b/>
                <w:kern w:val="0"/>
                <w:sz w:val="22"/>
                <w:szCs w:val="22"/>
                <w:lang w:val="ru-RU" w:eastAsia="ru-RU" w:bidi="ar-SA"/>
              </w:rPr>
              <w:t>1</w:t>
            </w:r>
          </w:p>
        </w:tc>
        <w:tc>
          <w:tcPr>
            <w:tcW w:w="3262" w:type="dxa"/>
            <w:gridSpan w:val="2"/>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2</w:t>
            </w:r>
          </w:p>
        </w:tc>
        <w:tc>
          <w:tcPr>
            <w:tcW w:w="4394" w:type="dxa"/>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3</w:t>
            </w:r>
          </w:p>
        </w:tc>
        <w:tc>
          <w:tcPr>
            <w:tcW w:w="1843" w:type="dxa"/>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4</w:t>
            </w:r>
          </w:p>
        </w:tc>
        <w:tc>
          <w:tcPr>
            <w:tcW w:w="2551" w:type="dxa"/>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5</w:t>
            </w:r>
          </w:p>
        </w:tc>
        <w:tc>
          <w:tcPr>
            <w:tcW w:w="1842" w:type="dxa"/>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6</w:t>
            </w:r>
          </w:p>
        </w:tc>
      </w:tr>
      <w:tr>
        <w:trPr/>
        <w:tc>
          <w:tcPr>
            <w:tcW w:w="674" w:type="dxa"/>
            <w:tcBorders/>
            <w:vAlign w:val="center"/>
          </w:tcPr>
          <w:p>
            <w:pPr>
              <w:pStyle w:val="Normal"/>
              <w:widowControl w:val="false"/>
              <w:suppressAutoHyphens w:val="true"/>
              <w:spacing w:before="60" w:after="0"/>
              <w:jc w:val="left"/>
              <w:rPr>
                <w:sz w:val="22"/>
                <w:szCs w:val="22"/>
              </w:rPr>
            </w:pPr>
            <w:r>
              <w:rPr>
                <w:rFonts w:eastAsia="Times New Roman" w:cs="Times New Roman"/>
                <w:b/>
                <w:kern w:val="0"/>
                <w:sz w:val="22"/>
                <w:szCs w:val="22"/>
                <w:lang w:val="ru-RU" w:eastAsia="ru-RU" w:bidi="ar-SA"/>
              </w:rPr>
              <w:t>1.</w:t>
            </w:r>
          </w:p>
        </w:tc>
        <w:tc>
          <w:tcPr>
            <w:tcW w:w="13892" w:type="dxa"/>
            <w:gridSpan w:val="6"/>
            <w:tcBorders/>
            <w:vAlign w:val="center"/>
          </w:tcPr>
          <w:p>
            <w:pPr>
              <w:pStyle w:val="Normal"/>
              <w:widowControl w:val="false"/>
              <w:suppressAutoHyphens w:val="true"/>
              <w:spacing w:before="0" w:after="0"/>
              <w:jc w:val="left"/>
              <w:rPr>
                <w:sz w:val="22"/>
                <w:szCs w:val="22"/>
              </w:rPr>
            </w:pPr>
            <w:r>
              <w:rPr>
                <w:rFonts w:eastAsia="Times New Roman" w:cs="Times New Roman"/>
                <w:b/>
                <w:kern w:val="0"/>
                <w:sz w:val="22"/>
                <w:szCs w:val="22"/>
                <w:lang w:val="ru-RU" w:eastAsia="ru-RU" w:bidi="ar-SA"/>
              </w:rPr>
              <w:t>Требования к гарантиям</w:t>
            </w:r>
          </w:p>
        </w:tc>
      </w:tr>
      <w:tr>
        <w:trPr>
          <w:trHeight w:val="771" w:hRule="atLeast"/>
        </w:trPr>
        <w:tc>
          <w:tcPr>
            <w:tcW w:w="674" w:type="dxa"/>
            <w:tcBorders/>
            <w:vAlign w:val="center"/>
          </w:tcPr>
          <w:p>
            <w:pPr>
              <w:pStyle w:val="Normal"/>
              <w:widowControl w:val="false"/>
              <w:suppressAutoHyphens w:val="true"/>
              <w:spacing w:before="60" w:after="0"/>
              <w:ind w:right="-109" w:hanging="0"/>
              <w:jc w:val="left"/>
              <w:rPr>
                <w:sz w:val="22"/>
                <w:szCs w:val="22"/>
              </w:rPr>
            </w:pPr>
            <w:r>
              <w:rPr>
                <w:rFonts w:eastAsia="Times New Roman" w:cs="Times New Roman"/>
                <w:kern w:val="0"/>
                <w:sz w:val="22"/>
                <w:szCs w:val="22"/>
                <w:lang w:val="ru-RU" w:eastAsia="ru-RU" w:bidi="ar-SA"/>
              </w:rPr>
              <w:t>1.1.</w:t>
            </w:r>
          </w:p>
        </w:tc>
        <w:tc>
          <w:tcPr>
            <w:tcW w:w="3262" w:type="dxa"/>
            <w:gridSpan w:val="2"/>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 xml:space="preserve">Срок гарантии на поставляемую </w:t>
            </w:r>
            <w:r>
              <w:rPr>
                <w:rFonts w:eastAsia="Times New Roman" w:cs="Times New Roman"/>
                <w:iCs/>
                <w:kern w:val="0"/>
                <w:sz w:val="22"/>
                <w:szCs w:val="22"/>
                <w:lang w:val="ru-RU" w:eastAsia="ru-RU" w:bidi="ar-SA"/>
              </w:rPr>
              <w:t>продукцию</w:t>
            </w:r>
          </w:p>
        </w:tc>
        <w:tc>
          <w:tcPr>
            <w:tcW w:w="4394" w:type="dxa"/>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 xml:space="preserve">Гарантия на поставляемую продукцию должна составлять не менее 60 месяцев с даты подписания накладной </w:t>
            </w:r>
            <w:r>
              <w:rPr>
                <w:rFonts w:eastAsia="Times New Roman" w:cs="Times New Roman"/>
                <w:b/>
                <w:i/>
                <w:kern w:val="0"/>
                <w:sz w:val="22"/>
                <w:szCs w:val="22"/>
                <w:lang w:val="ru-RU" w:eastAsia="ru-RU" w:bidi="ar-SA"/>
              </w:rPr>
              <w:t>ТОРГ-12/УПД</w:t>
            </w:r>
            <w:r>
              <w:rPr>
                <w:rFonts w:eastAsia="Times New Roman" w:cs="Times New Roman"/>
                <w:kern w:val="0"/>
                <w:sz w:val="22"/>
                <w:szCs w:val="22"/>
                <w:lang w:val="ru-RU" w:eastAsia="ru-RU" w:bidi="ar-SA"/>
              </w:rPr>
              <w:t>.</w:t>
            </w:r>
          </w:p>
        </w:tc>
        <w:tc>
          <w:tcPr>
            <w:tcW w:w="1843" w:type="dxa"/>
            <w:tcBorders/>
            <w:vAlign w:val="center"/>
          </w:tcPr>
          <w:p>
            <w:pPr>
              <w:pStyle w:val="Normal"/>
              <w:widowControl w:val="false"/>
              <w:suppressAutoHyphens w:val="true"/>
              <w:spacing w:before="0" w:after="0"/>
              <w:jc w:val="center"/>
              <w:rPr>
                <w:sz w:val="22"/>
                <w:szCs w:val="22"/>
              </w:rPr>
            </w:pPr>
            <w:r>
              <w:rPr>
                <w:rFonts w:eastAsia="Times New Roman" w:cs="Times New Roman"/>
                <w:i/>
                <w:iCs/>
                <w:color w:val="808080"/>
                <w:kern w:val="0"/>
                <w:sz w:val="22"/>
                <w:szCs w:val="22"/>
                <w:shd w:fill="auto" w:val="clear"/>
                <w:lang w:val="ru-RU" w:eastAsia="ru-RU" w:bidi="ar-SA"/>
              </w:rPr>
              <w:t>Указать срок гарантии на предлагаемую продукцию</w:t>
            </w:r>
          </w:p>
        </w:tc>
        <w:tc>
          <w:tcPr>
            <w:tcW w:w="2551" w:type="dxa"/>
            <w:tcBorders/>
            <w:vAlign w:val="center"/>
          </w:tcPr>
          <w:p>
            <w:pPr>
              <w:pStyle w:val="Normal"/>
              <w:widowControl w:val="false"/>
              <w:suppressAutoHyphens w:val="true"/>
              <w:spacing w:before="0" w:after="0"/>
              <w:jc w:val="center"/>
              <w:rPr>
                <w:sz w:val="22"/>
                <w:szCs w:val="22"/>
              </w:rPr>
            </w:pPr>
            <w:r>
              <w:rPr>
                <w:rFonts w:eastAsia="Times New Roman" w:cs="Times New Roman"/>
                <w:b/>
                <w:i/>
                <w:iCs/>
                <w:color w:val="808080"/>
                <w:kern w:val="0"/>
                <w:sz w:val="22"/>
                <w:szCs w:val="22"/>
                <w:lang w:val="ru-RU" w:eastAsia="ru-RU" w:bidi="ar-SA"/>
              </w:rPr>
              <w:t>-//-</w:t>
            </w:r>
          </w:p>
        </w:tc>
        <w:tc>
          <w:tcPr>
            <w:tcW w:w="1842" w:type="dxa"/>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vAlign w:val="center"/>
          </w:tcPr>
          <w:p>
            <w:pPr>
              <w:pStyle w:val="Normal"/>
              <w:widowControl w:val="false"/>
              <w:suppressAutoHyphens w:val="true"/>
              <w:spacing w:before="60" w:after="0"/>
              <w:ind w:right="-109" w:hanging="0"/>
              <w:jc w:val="left"/>
              <w:rPr>
                <w:sz w:val="22"/>
                <w:szCs w:val="22"/>
              </w:rPr>
            </w:pPr>
            <w:r>
              <w:rPr>
                <w:rFonts w:eastAsia="Times New Roman" w:cs="Times New Roman"/>
                <w:b/>
                <w:kern w:val="0"/>
                <w:sz w:val="22"/>
                <w:szCs w:val="22"/>
                <w:lang w:val="ru-RU" w:eastAsia="ru-RU" w:bidi="ar-SA"/>
              </w:rPr>
              <w:t>2.</w:t>
            </w:r>
          </w:p>
        </w:tc>
        <w:tc>
          <w:tcPr>
            <w:tcW w:w="13892" w:type="dxa"/>
            <w:gridSpan w:val="6"/>
            <w:tcBorders/>
            <w:vAlign w:val="center"/>
          </w:tcPr>
          <w:p>
            <w:pPr>
              <w:pStyle w:val="Normal"/>
              <w:widowControl w:val="false"/>
              <w:suppressAutoHyphens w:val="true"/>
              <w:spacing w:before="0" w:after="0"/>
              <w:jc w:val="left"/>
              <w:rPr>
                <w:sz w:val="22"/>
                <w:szCs w:val="22"/>
              </w:rPr>
            </w:pPr>
            <w:r>
              <w:rPr>
                <w:rFonts w:eastAsia="Times New Roman" w:cs="Times New Roman"/>
                <w:b/>
                <w:kern w:val="0"/>
                <w:sz w:val="22"/>
                <w:szCs w:val="22"/>
                <w:lang w:val="ru-RU" w:eastAsia="ru-RU" w:bidi="ar-SA"/>
              </w:rPr>
              <w:t>Требование к доставке</w:t>
            </w:r>
          </w:p>
        </w:tc>
      </w:tr>
      <w:tr>
        <w:trPr/>
        <w:tc>
          <w:tcPr>
            <w:tcW w:w="674" w:type="dxa"/>
            <w:tcBorders/>
            <w:vAlign w:val="center"/>
          </w:tcPr>
          <w:p>
            <w:pPr>
              <w:pStyle w:val="Normal"/>
              <w:widowControl w:val="false"/>
              <w:suppressAutoHyphens w:val="true"/>
              <w:spacing w:before="60" w:after="0"/>
              <w:ind w:right="-109" w:hanging="0"/>
              <w:jc w:val="left"/>
              <w:rPr>
                <w:sz w:val="22"/>
                <w:szCs w:val="22"/>
              </w:rPr>
            </w:pPr>
            <w:r>
              <w:rPr>
                <w:rFonts w:eastAsia="Times New Roman" w:cs="Times New Roman"/>
                <w:kern w:val="0"/>
                <w:sz w:val="22"/>
                <w:szCs w:val="22"/>
                <w:lang w:val="ru-RU" w:eastAsia="ru-RU" w:bidi="ar-SA"/>
              </w:rPr>
              <w:t>2.1.</w:t>
            </w:r>
          </w:p>
        </w:tc>
        <w:tc>
          <w:tcPr>
            <w:tcW w:w="3262" w:type="dxa"/>
            <w:gridSpan w:val="2"/>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продукции для филиала АО «ДРСК» «Амурские электрические сети»</w:t>
            </w:r>
          </w:p>
        </w:tc>
        <w:tc>
          <w:tcPr>
            <w:tcW w:w="4394" w:type="dxa"/>
            <w:tcBorders/>
            <w:vAlign w:val="center"/>
          </w:tcPr>
          <w:p>
            <w:pPr>
              <w:pStyle w:val="Normal"/>
              <w:widowControl w:val="false"/>
              <w:suppressAutoHyphens w:val="true"/>
              <w:spacing w:before="0" w:after="0"/>
              <w:jc w:val="left"/>
              <w:rPr>
                <w:color w:val="000000"/>
                <w:spacing w:val="-1"/>
                <w:sz w:val="22"/>
                <w:szCs w:val="22"/>
              </w:rPr>
            </w:pPr>
            <w:r>
              <w:rPr>
                <w:rFonts w:eastAsia="Times New Roman" w:cs="Times New Roman"/>
                <w:color w:val="000000"/>
                <w:spacing w:val="-1"/>
                <w:kern w:val="0"/>
                <w:sz w:val="22"/>
                <w:szCs w:val="22"/>
                <w:lang w:val="ru-RU" w:eastAsia="ru-RU" w:bidi="ar-SA"/>
              </w:rPr>
              <w:t>РФ, Амурская обл.,</w:t>
            </w:r>
          </w:p>
          <w:p>
            <w:pPr>
              <w:pStyle w:val="Normal"/>
              <w:widowControl w:val="false"/>
              <w:suppressAutoHyphens w:val="true"/>
              <w:spacing w:before="0" w:after="0"/>
              <w:jc w:val="left"/>
              <w:rPr>
                <w:sz w:val="22"/>
                <w:szCs w:val="22"/>
              </w:rPr>
            </w:pPr>
            <w:r>
              <w:rPr>
                <w:rFonts w:eastAsia="Times New Roman" w:cs="Times New Roman"/>
                <w:color w:val="000000"/>
                <w:spacing w:val="-1"/>
                <w:kern w:val="0"/>
                <w:sz w:val="22"/>
                <w:szCs w:val="22"/>
                <w:lang w:val="ru-RU" w:eastAsia="ru-RU" w:bidi="ar-SA"/>
              </w:rPr>
              <w:t>г.  Благовещенск, ул. Театральная, 179.</w:t>
            </w:r>
          </w:p>
        </w:tc>
        <w:tc>
          <w:tcPr>
            <w:tcW w:w="1843" w:type="dxa"/>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2.2.</w:t>
            </w:r>
          </w:p>
        </w:tc>
        <w:tc>
          <w:tcPr>
            <w:tcW w:w="3262" w:type="dxa"/>
            <w:gridSpan w:val="2"/>
            <w:tcBorders>
              <w:top w:val="nil"/>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продукции для филиала АО «ДРСК» «Приморские электрические сети»</w:t>
            </w:r>
          </w:p>
        </w:tc>
        <w:tc>
          <w:tcPr>
            <w:tcW w:w="4394" w:type="dxa"/>
            <w:tcBorders>
              <w:top w:val="nil"/>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РФ, Приморский край,</w:t>
            </w:r>
          </w:p>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г. Уссурийск,  ул. Резервная, 22А.</w:t>
            </w:r>
          </w:p>
        </w:tc>
        <w:tc>
          <w:tcPr>
            <w:tcW w:w="1843"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2.3.</w:t>
            </w:r>
          </w:p>
        </w:tc>
        <w:tc>
          <w:tcPr>
            <w:tcW w:w="3262" w:type="dxa"/>
            <w:gridSpan w:val="2"/>
            <w:tcBorders>
              <w:top w:val="nil"/>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продукции для филиала АО «ДРСК» «Хабаровские электрические сети»</w:t>
            </w:r>
          </w:p>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(СП ЦЭС)</w:t>
            </w:r>
          </w:p>
        </w:tc>
        <w:tc>
          <w:tcPr>
            <w:tcW w:w="4394" w:type="dxa"/>
            <w:tcBorders>
              <w:top w:val="nil"/>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РФ, Хабаровский край,</w:t>
            </w:r>
          </w:p>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г. Хабаровск, ул. Промышленная, 13.</w:t>
            </w:r>
          </w:p>
        </w:tc>
        <w:tc>
          <w:tcPr>
            <w:tcW w:w="1843"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2.4.</w:t>
            </w:r>
          </w:p>
        </w:tc>
        <w:tc>
          <w:tcPr>
            <w:tcW w:w="3262" w:type="dxa"/>
            <w:gridSpan w:val="2"/>
            <w:tcBorders>
              <w:top w:val="nil"/>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продукции для филиала АО «ДРСК» «Хабаровские электрические сети»</w:t>
            </w:r>
          </w:p>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(СП СЭС)</w:t>
            </w:r>
          </w:p>
        </w:tc>
        <w:tc>
          <w:tcPr>
            <w:tcW w:w="4394" w:type="dxa"/>
            <w:tcBorders>
              <w:top w:val="nil"/>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РФ, Хабаровский край,</w:t>
            </w:r>
          </w:p>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г. Комсомольск-на-Амуре,</w:t>
            </w:r>
          </w:p>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ул. Аллея Труда, 16/2.</w:t>
            </w:r>
          </w:p>
        </w:tc>
        <w:tc>
          <w:tcPr>
            <w:tcW w:w="1843"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2.5.</w:t>
            </w:r>
          </w:p>
        </w:tc>
        <w:tc>
          <w:tcPr>
            <w:tcW w:w="3262" w:type="dxa"/>
            <w:gridSpan w:val="2"/>
            <w:tcBorders>
              <w:top w:val="nil"/>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продукции для филиала АО «ДРСК» «</w:t>
            </w:r>
            <w:r>
              <w:rPr>
                <w:rFonts w:eastAsia="Times New Roman" w:cs="Times New Roman"/>
                <w:bCs/>
                <w:kern w:val="0"/>
                <w:sz w:val="22"/>
                <w:szCs w:val="22"/>
                <w:lang w:val="ru-RU" w:eastAsia="ru-RU" w:bidi="ar-SA"/>
              </w:rPr>
              <w:t>ЭС ЕАО</w:t>
            </w:r>
            <w:r>
              <w:rPr>
                <w:rFonts w:eastAsia="Times New Roman" w:cs="Times New Roman"/>
                <w:kern w:val="0"/>
                <w:sz w:val="22"/>
                <w:szCs w:val="22"/>
                <w:lang w:val="ru-RU" w:eastAsia="ru-RU" w:bidi="ar-SA"/>
              </w:rPr>
              <w:t>»</w:t>
            </w:r>
          </w:p>
        </w:tc>
        <w:tc>
          <w:tcPr>
            <w:tcW w:w="4394" w:type="dxa"/>
            <w:tcBorders>
              <w:top w:val="nil"/>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РФ, ЕАО, г. Биробиджан,</w:t>
            </w:r>
          </w:p>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ул. Черноморская, 6.</w:t>
            </w:r>
          </w:p>
        </w:tc>
        <w:tc>
          <w:tcPr>
            <w:tcW w:w="1843"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2.6.</w:t>
            </w:r>
          </w:p>
        </w:tc>
        <w:tc>
          <w:tcPr>
            <w:tcW w:w="3262" w:type="dxa"/>
            <w:gridSpan w:val="2"/>
            <w:tcBorders>
              <w:top w:val="nil"/>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продукции для филиала АО «ДРСК» «</w:t>
            </w:r>
            <w:r>
              <w:rPr>
                <w:rFonts w:eastAsia="Times New Roman" w:cs="Times New Roman"/>
                <w:bCs/>
                <w:kern w:val="0"/>
                <w:sz w:val="22"/>
                <w:szCs w:val="22"/>
                <w:lang w:val="ru-RU" w:eastAsia="ru-RU" w:bidi="ar-SA"/>
              </w:rPr>
              <w:t>Южно-Якутские ЭС</w:t>
            </w:r>
            <w:r>
              <w:rPr>
                <w:rFonts w:eastAsia="Times New Roman" w:cs="Times New Roman"/>
                <w:kern w:val="0"/>
                <w:sz w:val="22"/>
                <w:szCs w:val="22"/>
                <w:lang w:val="ru-RU" w:eastAsia="ru-RU" w:bidi="ar-SA"/>
              </w:rPr>
              <w:t>»</w:t>
            </w:r>
          </w:p>
        </w:tc>
        <w:tc>
          <w:tcPr>
            <w:tcW w:w="4394" w:type="dxa"/>
            <w:tcBorders>
              <w:top w:val="nil"/>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РФ,</w:t>
            </w:r>
            <w:r>
              <w:rPr>
                <w:rFonts w:eastAsia="Times New Roman" w:cs="Times New Roman"/>
                <w:kern w:val="0"/>
                <w:lang w:val="ru-RU" w:eastAsia="ru-RU" w:bidi="ar-SA"/>
              </w:rPr>
              <w:t xml:space="preserve"> </w:t>
            </w:r>
            <w:r>
              <w:rPr>
                <w:rFonts w:eastAsia="Times New Roman" w:cs="Times New Roman"/>
                <w:kern w:val="0"/>
                <w:sz w:val="22"/>
                <w:szCs w:val="22"/>
                <w:lang w:val="ru-RU" w:eastAsia="ru-RU" w:bidi="ar-SA"/>
              </w:rPr>
              <w:t>Республика Саха (Якутия),</w:t>
            </w:r>
          </w:p>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г. Алдан, ул. Тарабукина, 60А.</w:t>
            </w:r>
          </w:p>
        </w:tc>
        <w:tc>
          <w:tcPr>
            <w:tcW w:w="1843"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vAlign w:val="center"/>
          </w:tcPr>
          <w:p>
            <w:pPr>
              <w:pStyle w:val="Normal"/>
              <w:widowControl w:val="false"/>
              <w:suppressAutoHyphens w:val="true"/>
              <w:spacing w:before="60" w:after="0"/>
              <w:ind w:right="-109" w:hanging="0"/>
              <w:jc w:val="left"/>
              <w:rPr>
                <w:sz w:val="22"/>
                <w:szCs w:val="22"/>
              </w:rPr>
            </w:pPr>
            <w:r>
              <w:rPr>
                <w:rFonts w:eastAsia="Times New Roman" w:cs="Times New Roman"/>
                <w:b/>
                <w:kern w:val="0"/>
                <w:sz w:val="22"/>
                <w:szCs w:val="22"/>
                <w:shd w:fill="auto" w:val="clear"/>
                <w:lang w:val="ru-RU" w:eastAsia="ru-RU" w:bidi="ar-SA"/>
              </w:rPr>
              <w:t>3.</w:t>
            </w:r>
          </w:p>
        </w:tc>
        <w:tc>
          <w:tcPr>
            <w:tcW w:w="13892" w:type="dxa"/>
            <w:gridSpan w:val="6"/>
            <w:tcBorders/>
          </w:tcPr>
          <w:p>
            <w:pPr>
              <w:pStyle w:val="Normal"/>
              <w:widowControl w:val="false"/>
              <w:suppressAutoHyphens w:val="true"/>
              <w:spacing w:before="0" w:after="0"/>
              <w:jc w:val="left"/>
              <w:rPr>
                <w:sz w:val="22"/>
                <w:szCs w:val="22"/>
              </w:rPr>
            </w:pPr>
            <w:r>
              <w:rPr>
                <w:rFonts w:eastAsia="Times New Roman" w:cs="Times New Roman"/>
                <w:b/>
                <w:kern w:val="0"/>
                <w:sz w:val="22"/>
                <w:szCs w:val="22"/>
                <w:shd w:fill="auto" w:val="clear"/>
                <w:lang w:val="ru-RU" w:eastAsia="ru-RU" w:bidi="ar-SA"/>
              </w:rPr>
              <w:t>Требования к поставляемой продукции</w:t>
            </w:r>
          </w:p>
        </w:tc>
      </w:tr>
      <w:tr>
        <w:trPr/>
        <w:tc>
          <w:tcPr>
            <w:tcW w:w="674" w:type="dxa"/>
            <w:tcBorders/>
            <w:vAlign w:val="center"/>
          </w:tcPr>
          <w:p>
            <w:pPr>
              <w:pStyle w:val="Normal"/>
              <w:widowControl w:val="false"/>
              <w:suppressAutoHyphens w:val="true"/>
              <w:spacing w:before="60" w:after="0"/>
              <w:ind w:right="-109" w:hanging="0"/>
              <w:jc w:val="left"/>
              <w:rPr>
                <w:sz w:val="22"/>
                <w:szCs w:val="22"/>
              </w:rPr>
            </w:pPr>
            <w:r>
              <w:rPr>
                <w:rFonts w:eastAsia="Times New Roman" w:cs="Times New Roman"/>
                <w:kern w:val="0"/>
                <w:sz w:val="22"/>
                <w:szCs w:val="22"/>
                <w:shd w:fill="auto" w:val="clear"/>
                <w:lang w:val="ru-RU" w:eastAsia="ru-RU" w:bidi="ar-SA"/>
              </w:rPr>
              <w:t>3.1.</w:t>
            </w:r>
          </w:p>
        </w:tc>
        <w:tc>
          <w:tcPr>
            <w:tcW w:w="3262" w:type="dxa"/>
            <w:gridSpan w:val="2"/>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shd w:fill="auto" w:val="clear"/>
                <w:lang w:val="ru-RU" w:eastAsia="ru-RU" w:bidi="ar-SA"/>
              </w:rPr>
              <w:t>Требования к году выпуска</w:t>
            </w:r>
          </w:p>
        </w:tc>
        <w:tc>
          <w:tcPr>
            <w:tcW w:w="4394" w:type="dxa"/>
            <w:tcBorders/>
            <w:vAlign w:val="center"/>
          </w:tcPr>
          <w:p>
            <w:pPr>
              <w:pStyle w:val="Normal"/>
              <w:widowControl w:val="false"/>
              <w:suppressAutoHyphens w:val="true"/>
              <w:spacing w:before="0" w:after="0"/>
              <w:jc w:val="left"/>
              <w:rPr>
                <w:sz w:val="22"/>
                <w:szCs w:val="22"/>
              </w:rPr>
            </w:pPr>
            <w:r>
              <w:rPr>
                <w:rFonts w:eastAsia="Calibri" w:cs="Times New Roman"/>
                <w:kern w:val="0"/>
                <w:sz w:val="22"/>
                <w:szCs w:val="22"/>
                <w:lang w:val="ru-RU" w:eastAsia="en-US" w:bidi="ar-SA"/>
              </w:rPr>
              <w:t xml:space="preserve">Продукция должна быть новой, ранее неиспользованной, произведенной </w:t>
            </w:r>
            <w:r>
              <w:rPr>
                <w:rFonts w:eastAsia="Calibri" w:cs="Times New Roman"/>
                <w:b/>
                <w:bCs/>
                <w:i/>
                <w:iCs/>
                <w:kern w:val="0"/>
                <w:sz w:val="22"/>
                <w:szCs w:val="22"/>
                <w:lang w:val="ru-RU" w:eastAsia="en-US" w:bidi="ar-SA"/>
              </w:rPr>
              <w:t>не ранее 202</w:t>
            </w:r>
            <w:r>
              <w:rPr>
                <w:rFonts w:eastAsia="Calibri" w:cs="Times New Roman"/>
                <w:b/>
                <w:bCs/>
                <w:i/>
                <w:iCs/>
                <w:kern w:val="0"/>
                <w:sz w:val="22"/>
                <w:szCs w:val="22"/>
                <w:lang w:val="ru-RU" w:eastAsia="en-US" w:bidi="ar-SA"/>
              </w:rPr>
              <w:t>6</w:t>
            </w:r>
            <w:r>
              <w:rPr>
                <w:rFonts w:eastAsia="Calibri" w:cs="Times New Roman"/>
                <w:kern w:val="0"/>
                <w:sz w:val="22"/>
                <w:szCs w:val="22"/>
                <w:lang w:val="ru-RU" w:eastAsia="en-US" w:bidi="ar-SA"/>
              </w:rPr>
              <w:t xml:space="preserve"> года.</w:t>
            </w:r>
          </w:p>
        </w:tc>
        <w:tc>
          <w:tcPr>
            <w:tcW w:w="1843" w:type="dxa"/>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color w:val="auto"/>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3.2.</w:t>
            </w:r>
          </w:p>
        </w:tc>
        <w:tc>
          <w:tcPr>
            <w:tcW w:w="3262" w:type="dxa"/>
            <w:gridSpan w:val="2"/>
            <w:tcBorders>
              <w:top w:val="nil"/>
            </w:tcBorders>
            <w:vAlign w:val="center"/>
          </w:tcPr>
          <w:p>
            <w:pPr>
              <w:pStyle w:val="Normal"/>
              <w:widowControl w:val="false"/>
              <w:spacing w:before="0" w:after="0"/>
              <w:jc w:val="left"/>
              <w:rPr/>
            </w:pPr>
            <w:r>
              <w:rPr>
                <w:rFonts w:eastAsia="Times New Roman" w:cs="Times New Roman"/>
                <w:kern w:val="0"/>
                <w:sz w:val="22"/>
                <w:szCs w:val="22"/>
                <w:lang w:val="ru-RU" w:eastAsia="ru-RU" w:bidi="ar-SA"/>
              </w:rPr>
              <w:t>Требования к оформлению документов заявки, в случае предложения Участниками эквивалента</w:t>
            </w:r>
          </w:p>
        </w:tc>
        <w:tc>
          <w:tcPr>
            <w:tcW w:w="4394" w:type="dxa"/>
            <w:tcBorders>
              <w:top w:val="nil"/>
            </w:tcBorders>
            <w:vAlign w:val="center"/>
          </w:tcPr>
          <w:p>
            <w:pPr>
              <w:pStyle w:val="Normal"/>
              <w:widowControl w:val="false"/>
              <w:spacing w:before="0" w:after="0"/>
              <w:jc w:val="left"/>
              <w:rPr/>
            </w:pPr>
            <w:r>
              <w:rPr>
                <w:rFonts w:eastAsia="Times New Roman" w:cs="Times New Roman"/>
                <w:kern w:val="0"/>
                <w:sz w:val="22"/>
                <w:szCs w:val="22"/>
                <w:lang w:val="ru-RU" w:eastAsia="ru-RU" w:bidi="ar-SA"/>
              </w:rPr>
              <w:t>Допускаются эквиваленты при условии соответствия технических характеристик и качества заявляемой продукции. Участник должен принять во внимание, что ссылка на марку (тип) продукции, носит описательный, а не обязательный характер. В случае если Участником предлагаются эквиваленты требуемой Заказчику продукции,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w:t>
            </w:r>
          </w:p>
          <w:p>
            <w:pPr>
              <w:pStyle w:val="Normal"/>
              <w:widowControl w:val="false"/>
              <w:spacing w:before="0" w:after="0"/>
              <w:jc w:val="left"/>
              <w:rPr/>
            </w:pPr>
            <w:r>
              <w:rPr>
                <w:rFonts w:eastAsia="Times New Roman" w:cs="Times New Roman"/>
                <w:kern w:val="0"/>
                <w:sz w:val="22"/>
                <w:szCs w:val="22"/>
                <w:lang w:val="ru-RU" w:eastAsia="ru-RU" w:bidi="ar-SA"/>
              </w:rPr>
              <w:t>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p>
          <w:p>
            <w:pPr>
              <w:pStyle w:val="Normal"/>
              <w:widowControl w:val="false"/>
              <w:spacing w:before="0" w:after="0"/>
              <w:jc w:val="left"/>
              <w:rPr/>
            </w:pPr>
            <w:r>
              <w:rPr>
                <w:rFonts w:eastAsia="Times New Roman" w:cs="Times New Roman"/>
                <w:kern w:val="0"/>
                <w:sz w:val="22"/>
                <w:szCs w:val="22"/>
                <w:lang w:val="ru-RU" w:eastAsia="ru-RU" w:bidi="ar-SA"/>
              </w:rPr>
              <w:t xml:space="preserve">Параметрами эквивалентности являются ГОСТ, стандарты и марки, указанные в </w:t>
            </w:r>
            <w:r>
              <w:rPr>
                <w:rFonts w:eastAsia="Calibri" w:cs="Times New Roman"/>
                <w:b/>
                <w:bCs/>
                <w:i/>
                <w:kern w:val="0"/>
                <w:sz w:val="24"/>
                <w:szCs w:val="24"/>
                <w:lang w:val="ru-RU" w:eastAsia="en-US" w:bidi="ar-SA"/>
              </w:rPr>
              <w:t>таблице № 1.1</w:t>
            </w:r>
            <w:r>
              <w:rPr>
                <w:rFonts w:eastAsia="Times New Roman" w:cs="Times New Roman"/>
                <w:b/>
                <w:i/>
                <w:kern w:val="0"/>
                <w:sz w:val="22"/>
                <w:szCs w:val="22"/>
                <w:lang w:val="ru-RU" w:eastAsia="ru-RU" w:bidi="ar-SA"/>
              </w:rPr>
              <w:t>.</w:t>
            </w:r>
          </w:p>
          <w:p>
            <w:pPr>
              <w:pStyle w:val="Normal"/>
              <w:widowControl w:val="false"/>
              <w:spacing w:before="0" w:after="0"/>
              <w:jc w:val="left"/>
              <w:rPr/>
            </w:pPr>
            <w:r>
              <w:rPr>
                <w:rFonts w:eastAsia="Times New Roman" w:cs="Times New Roman"/>
                <w:kern w:val="0"/>
                <w:sz w:val="22"/>
                <w:szCs w:val="22"/>
                <w:lang w:val="ru-RU" w:eastAsia="ru-RU" w:bidi="ar-SA"/>
              </w:rPr>
              <w:t xml:space="preserve">Для оценки возможности использования предлагаемого эквивалента, предложение Участника должно содержать подробную информацию в объеме, соответствующем требованиям, указанным Заказчиком в </w:t>
            </w:r>
            <w:r>
              <w:rPr>
                <w:rFonts w:eastAsia="Calibri" w:cs="Times New Roman"/>
                <w:b/>
                <w:bCs/>
                <w:i/>
                <w:kern w:val="0"/>
                <w:sz w:val="24"/>
                <w:szCs w:val="24"/>
                <w:lang w:val="ru-RU" w:eastAsia="en-US" w:bidi="ar-SA"/>
              </w:rPr>
              <w:t xml:space="preserve"> таблице № 1.1</w:t>
            </w:r>
            <w:r>
              <w:rPr>
                <w:rFonts w:eastAsia="Times New Roman" w:cs="Times New Roman"/>
                <w:b/>
                <w:i/>
                <w:kern w:val="0"/>
                <w:sz w:val="22"/>
                <w:szCs w:val="22"/>
                <w:lang w:val="ru-RU" w:eastAsia="ru-RU" w:bidi="ar-SA"/>
              </w:rPr>
              <w:t>.</w:t>
            </w:r>
          </w:p>
        </w:tc>
        <w:tc>
          <w:tcPr>
            <w:tcW w:w="1843"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b/>
                <w:color w:val="auto"/>
                <w:kern w:val="0"/>
                <w:sz w:val="22"/>
                <w:szCs w:val="22"/>
                <w:shd w:fill="auto" w:val="clear"/>
                <w:lang w:val="ru-RU" w:eastAsia="ru-RU" w:bidi="ar-SA"/>
              </w:rPr>
            </w:pPr>
            <w:r>
              <w:rPr>
                <w:rFonts w:eastAsia="Times New Roman" w:cs="Times New Roman"/>
                <w:b/>
                <w:color w:val="000000"/>
                <w:kern w:val="0"/>
                <w:sz w:val="22"/>
                <w:szCs w:val="22"/>
                <w:shd w:fill="auto" w:val="clear"/>
                <w:lang w:val="ru-RU" w:eastAsia="ru-RU" w:bidi="ar-SA"/>
              </w:rPr>
              <w:t>4.</w:t>
            </w:r>
          </w:p>
        </w:tc>
        <w:tc>
          <w:tcPr>
            <w:tcW w:w="13892" w:type="dxa"/>
            <w:gridSpan w:val="6"/>
            <w:tcBorders>
              <w:top w:val="nil"/>
            </w:tcBorders>
            <w:vAlign w:val="center"/>
          </w:tcPr>
          <w:p>
            <w:pPr>
              <w:pStyle w:val="Normal"/>
              <w:widowControl w:val="false"/>
              <w:suppressAutoHyphens w:val="true"/>
              <w:spacing w:before="0" w:after="0"/>
              <w:jc w:val="left"/>
              <w:rPr>
                <w:rFonts w:ascii="Times New Roman" w:hAnsi="Times New Roman" w:eastAsia="Times New Roman" w:cs="Times New Roman"/>
                <w:b/>
                <w:color w:val="auto"/>
                <w:kern w:val="0"/>
                <w:sz w:val="22"/>
                <w:szCs w:val="22"/>
                <w:shd w:fill="auto" w:val="clear"/>
                <w:lang w:val="ru-RU" w:eastAsia="ru-RU" w:bidi="ar-SA"/>
              </w:rPr>
            </w:pPr>
            <w:r>
              <w:rPr>
                <w:rFonts w:eastAsia="Times New Roman" w:cs="Times New Roman"/>
                <w:b/>
                <w:color w:val="000000"/>
                <w:kern w:val="0"/>
                <w:sz w:val="22"/>
                <w:szCs w:val="22"/>
                <w:shd w:fill="auto" w:val="clear"/>
                <w:lang w:val="ru-RU" w:eastAsia="ru-RU" w:bidi="ar-SA"/>
              </w:rPr>
              <w:t>Требования к техническим и функциональным характеристикам</w:t>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color w:val="auto"/>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4.1.</w:t>
            </w:r>
          </w:p>
        </w:tc>
        <w:tc>
          <w:tcPr>
            <w:tcW w:w="7656" w:type="dxa"/>
            <w:gridSpan w:val="3"/>
            <w:tcBorders>
              <w:top w:val="nil"/>
            </w:tcBorders>
            <w:vAlign w:val="center"/>
          </w:tcPr>
          <w:p>
            <w:pPr>
              <w:pStyle w:val="Normal"/>
              <w:widowControl w:val="false"/>
              <w:suppressAutoHyphens w:val="true"/>
              <w:spacing w:before="0" w:after="0"/>
              <w:ind w:right="145" w:hanging="0"/>
              <w:jc w:val="left"/>
              <w:rPr>
                <w:sz w:val="22"/>
                <w:szCs w:val="22"/>
              </w:rPr>
            </w:pPr>
            <w:r>
              <w:rPr>
                <w:sz w:val="22"/>
                <w:szCs w:val="22"/>
              </w:rPr>
              <w:t>Оборудование должно быть серийного производства и соответствовать техническим требованиям, ГОСТ, ПУЭ, ТУ, руководствам (инструкциям) по эксплуатации завода-изготовителя, техническому описанию, а также техническим требованиям указанным в таблице 1.1 данных технических требований, а так же указанным в Приложениях № 1.1</w:t>
            </w:r>
          </w:p>
        </w:tc>
        <w:tc>
          <w:tcPr>
            <w:tcW w:w="1843" w:type="dxa"/>
            <w:tcBorders>
              <w:top w:val="nil"/>
            </w:tcBorders>
            <w:vAlign w:val="center"/>
          </w:tcPr>
          <w:p>
            <w:pPr>
              <w:pStyle w:val="Normal"/>
              <w:widowControl w:val="false"/>
              <w:suppressAutoHyphens w:val="true"/>
              <w:spacing w:before="0" w:after="0"/>
              <w:jc w:val="center"/>
              <w:rPr>
                <w:b/>
                <w:sz w:val="22"/>
                <w:szCs w:val="22"/>
              </w:rPr>
            </w:pPr>
            <w:r>
              <w:rPr>
                <w:rFonts w:eastAsia="Times New Roman" w:cs="Times New Roman"/>
                <w:i/>
                <w:iCs/>
                <w:color w:val="808080"/>
                <w:kern w:val="0"/>
                <w:sz w:val="22"/>
                <w:szCs w:val="22"/>
                <w:shd w:fill="auto" w:val="clear"/>
                <w:lang w:val="ru-RU" w:eastAsia="ru-RU" w:bidi="ar-SA"/>
              </w:rPr>
              <w:t>Предоставить заполненные приложения</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r>
          </w:p>
        </w:tc>
      </w:tr>
      <w:tr>
        <w:trPr/>
        <w:tc>
          <w:tcPr>
            <w:tcW w:w="674" w:type="dxa"/>
            <w:tcBorders>
              <w:top w:val="nil"/>
            </w:tcBorders>
            <w:vAlign w:val="center"/>
          </w:tcPr>
          <w:p>
            <w:pPr>
              <w:pStyle w:val="Normal"/>
              <w:widowControl w:val="false"/>
              <w:suppressAutoHyphens w:val="true"/>
              <w:spacing w:before="60" w:after="0"/>
              <w:ind w:right="-109" w:hanging="0"/>
              <w:jc w:val="left"/>
              <w:rPr>
                <w:rFonts w:ascii="Times New Roman" w:hAnsi="Times New Roman" w:eastAsia="Times New Roman" w:cs="Times New Roman"/>
                <w:color w:val="auto"/>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4.2.</w:t>
            </w:r>
          </w:p>
        </w:tc>
        <w:tc>
          <w:tcPr>
            <w:tcW w:w="3225" w:type="dxa"/>
            <w:tcBorders>
              <w:top w:val="nil"/>
              <w:right w:val="nil"/>
            </w:tcBorders>
            <w:vAlign w:val="center"/>
          </w:tcPr>
          <w:p>
            <w:pPr>
              <w:pStyle w:val="Normal"/>
              <w:widowControl w:val="false"/>
              <w:ind w:left="0" w:right="-109" w:hanging="0"/>
              <w:jc w:val="left"/>
              <w:rPr>
                <w:rFonts w:ascii="Liberation Serif" w:hAnsi="Liberation Serif" w:cs="Liberation Serif;Times New Roman"/>
                <w:i w:val="false"/>
                <w:i w:val="false"/>
                <w:iCs w:val="false"/>
                <w:sz w:val="24"/>
                <w:szCs w:val="24"/>
              </w:rPr>
            </w:pPr>
            <w:r>
              <w:rPr>
                <w:rFonts w:cs="Liberation Serif;Times New Roman" w:ascii="Liberation Serif" w:hAnsi="Liberation Serif"/>
                <w:i w:val="false"/>
                <w:iCs w:val="false"/>
                <w:sz w:val="24"/>
                <w:szCs w:val="24"/>
              </w:rPr>
              <w:t>Требования к происхождению поставляемой продукции</w:t>
            </w:r>
          </w:p>
        </w:tc>
        <w:tc>
          <w:tcPr>
            <w:tcW w:w="4431" w:type="dxa"/>
            <w:gridSpan w:val="2"/>
            <w:tcBorders>
              <w:top w:val="nil"/>
            </w:tcBorders>
            <w:vAlign w:val="center"/>
          </w:tcPr>
          <w:p>
            <w:pPr>
              <w:pStyle w:val="Normal"/>
              <w:widowControl w:val="false"/>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pPr>
              <w:pStyle w:val="Normal"/>
              <w:widowControl w:val="false"/>
              <w:jc w:val="both"/>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r>
          </w:p>
          <w:p>
            <w:pPr>
              <w:pStyle w:val="Normal"/>
              <w:widowControl w:val="false"/>
              <w:jc w:val="both"/>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товара российского происхождения</w:t>
            </w:r>
          </w:p>
        </w:tc>
        <w:tc>
          <w:tcPr>
            <w:tcW w:w="1843" w:type="dxa"/>
            <w:tcBorders>
              <w:top w:val="nil"/>
            </w:tcBorders>
            <w:vAlign w:val="center"/>
          </w:tcPr>
          <w:p>
            <w:pPr>
              <w:pStyle w:val="Normal"/>
              <w:widowControl w:val="false"/>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jc w:val="left"/>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В составе заявки необходимо представить:</w:t>
            </w:r>
          </w:p>
          <w:p>
            <w:pPr>
              <w:pStyle w:val="Normal"/>
              <w:widowControl w:val="false"/>
              <w:jc w:val="left"/>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Документы и информацию, подтверждающие страну происхождения товара в соответствии с требованиями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1842"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r>
          </w:p>
        </w:tc>
      </w:tr>
    </w:tbl>
    <w:p>
      <w:pPr>
        <w:pStyle w:val="Heading4"/>
        <w:numPr>
          <w:ilvl w:val="0"/>
          <w:numId w:val="0"/>
        </w:numPr>
        <w:suppressAutoHyphens w:val="true"/>
        <w:spacing w:before="120" w:after="0"/>
        <w:ind w:left="432" w:hanging="0"/>
        <w:rPr/>
      </w:pPr>
      <w:bookmarkStart w:id="37" w:name="__RefHeading___Toc89663_1475472420"/>
      <w:bookmarkEnd w:id="37"/>
      <w:r>
        <w:rPr>
          <w:sz w:val="22"/>
          <w:szCs w:val="22"/>
          <w:shd w:fill="auto" w:val="clear"/>
        </w:rPr>
        <w:t xml:space="preserve">3. </w:t>
      </w:r>
      <w:bookmarkStart w:id="38" w:name="_Toc75446583_Копия_1"/>
      <w:bookmarkStart w:id="39" w:name="_Toc75446581"/>
      <w:bookmarkStart w:id="40" w:name="_Toc53393312_Копия_1"/>
      <w:r>
        <w:rPr>
          <w:sz w:val="22"/>
          <w:szCs w:val="22"/>
          <w:shd w:fill="auto" w:val="clear"/>
          <w:lang w:val="ru-RU"/>
        </w:rPr>
        <w:t>Требования к документации по ценообразованию</w:t>
      </w:r>
      <w:bookmarkEnd w:id="40"/>
      <w:r>
        <w:rPr>
          <w:sz w:val="22"/>
          <w:szCs w:val="22"/>
          <w:shd w:fill="auto" w:val="clear"/>
          <w:lang w:val="ru-RU"/>
        </w:rPr>
        <w:t xml:space="preserve"> на этапе закупки</w:t>
      </w:r>
      <w:bookmarkStart w:id="41" w:name="_Toc51339698"/>
      <w:bookmarkEnd w:id="38"/>
      <w:bookmarkEnd w:id="39"/>
    </w:p>
    <w:p>
      <w:pPr>
        <w:pStyle w:val="Heading1"/>
        <w:keepLines/>
        <w:numPr>
          <w:ilvl w:val="0"/>
          <w:numId w:val="0"/>
        </w:numPr>
        <w:suppressAutoHyphens w:val="true"/>
        <w:spacing w:before="240" w:after="0"/>
        <w:ind w:left="0" w:hanging="0"/>
        <w:rPr/>
      </w:pPr>
      <w:bookmarkStart w:id="42" w:name="__RefHeading___Toc39106_1870262708"/>
      <w:bookmarkEnd w:id="41"/>
      <w:bookmarkEnd w:id="42"/>
      <w:r>
        <w:rPr>
          <w:rFonts w:eastAsia="Calibri"/>
          <w:i/>
          <w:sz w:val="22"/>
          <w:szCs w:val="22"/>
          <w:shd w:fill="auto" w:val="clear"/>
          <w:lang w:eastAsia="x-none"/>
        </w:rPr>
        <w:t>ОКПД2 27.12.10.190 Поставка ограничителей перенапряжения в рамках ремонтной и инвестиционной  программ для нужд филиалов АО "ДРСК": "Амурские электрические сети", "Приморские электрические сети", "Хабаровские электрические сети", "Южно-Якутские электрические сети" и "Электрические сети Еврейской автономной области"</w:t>
      </w:r>
    </w:p>
    <w:p>
      <w:pPr>
        <w:pStyle w:val="Normal"/>
        <w:suppressAutoHyphens w:val="true"/>
        <w:jc w:val="both"/>
        <w:rPr>
          <w:rFonts w:eastAsia="Calibri"/>
          <w:i/>
          <w:i/>
          <w:sz w:val="22"/>
          <w:szCs w:val="22"/>
          <w:lang w:eastAsia="x-none"/>
        </w:rPr>
      </w:pPr>
      <w:r>
        <w:rPr>
          <w:rFonts w:eastAsia="Calibri"/>
          <w:i/>
          <w:sz w:val="22"/>
          <w:szCs w:val="22"/>
          <w:lang w:eastAsia="x-none"/>
        </w:rPr>
      </w:r>
    </w:p>
    <w:p>
      <w:pPr>
        <w:pStyle w:val="Normal"/>
        <w:suppressAutoHyphens w:val="true"/>
        <w:jc w:val="both"/>
        <w:rPr>
          <w:rFonts w:eastAsia="Calibri"/>
          <w:i/>
          <w:i/>
          <w:sz w:val="22"/>
          <w:szCs w:val="22"/>
          <w:lang w:eastAsia="x-none"/>
        </w:rPr>
      </w:pPr>
      <w:r>
        <w:rPr>
          <w:rFonts w:eastAsia="Calibri"/>
          <w:i/>
          <w:sz w:val="22"/>
          <w:szCs w:val="22"/>
          <w:lang w:eastAsia="x-none"/>
        </w:rPr>
      </w:r>
    </w:p>
    <w:p>
      <w:pPr>
        <w:pStyle w:val="Normal"/>
        <w:suppressAutoHyphens w:val="true"/>
        <w:jc w:val="both"/>
        <w:rPr>
          <w:rFonts w:eastAsia="Calibri"/>
          <w:i/>
          <w:i/>
          <w:sz w:val="22"/>
          <w:szCs w:val="22"/>
          <w:lang w:eastAsia="x-none"/>
        </w:rPr>
      </w:pPr>
      <w:r>
        <w:rPr>
          <w:rFonts w:eastAsia="Calibri"/>
          <w:i/>
          <w:sz w:val="22"/>
          <w:szCs w:val="22"/>
          <w:lang w:eastAsia="x-none"/>
        </w:rPr>
      </w:r>
    </w:p>
    <w:p>
      <w:pPr>
        <w:pStyle w:val="Normal"/>
        <w:suppressAutoHyphens w:val="true"/>
        <w:jc w:val="both"/>
        <w:rPr>
          <w:rFonts w:eastAsia="Calibri"/>
          <w:i/>
          <w:i/>
          <w:sz w:val="22"/>
          <w:szCs w:val="22"/>
          <w:lang w:eastAsia="x-none"/>
        </w:rPr>
      </w:pPr>
      <w:r>
        <w:rPr>
          <w:rFonts w:eastAsia="Calibri"/>
          <w:i/>
          <w:sz w:val="22"/>
          <w:szCs w:val="22"/>
          <w:lang w:eastAsia="x-none"/>
        </w:rPr>
      </w:r>
    </w:p>
    <w:p>
      <w:pPr>
        <w:pStyle w:val="Normal"/>
        <w:suppressAutoHyphens w:val="true"/>
        <w:jc w:val="both"/>
        <w:rPr/>
      </w:pPr>
      <w:bookmarkStart w:id="43" w:name="_Toc75446583"/>
      <w:bookmarkStart w:id="44" w:name="_Toc53393312"/>
      <w:r>
        <w:rPr>
          <w:sz w:val="22"/>
          <w:szCs w:val="22"/>
          <w:lang w:val="ru-RU"/>
        </w:rPr>
        <w:t>Требования к документации по ценообразованию</w:t>
      </w:r>
      <w:bookmarkEnd w:id="44"/>
      <w:r>
        <w:rPr>
          <w:sz w:val="22"/>
          <w:szCs w:val="22"/>
          <w:lang w:val="ru-RU"/>
        </w:rPr>
        <w:t xml:space="preserve"> на этапе закупки</w:t>
      </w:r>
      <w:bookmarkEnd w:id="43"/>
    </w:p>
    <w:p>
      <w:pPr>
        <w:pStyle w:val="Normal"/>
        <w:tabs>
          <w:tab w:val="clear" w:pos="708"/>
          <w:tab w:val="left" w:pos="1134" w:leader="none"/>
        </w:tabs>
        <w:suppressAutoHyphens w:val="true"/>
        <w:ind w:right="593" w:firstLine="567"/>
        <w:jc w:val="both"/>
        <w:rPr/>
      </w:pPr>
      <w:r>
        <w:rPr>
          <w:bCs/>
          <w:iCs/>
          <w:sz w:val="22"/>
          <w:szCs w:val="22"/>
          <w:lang w:eastAsia="x-none"/>
        </w:rPr>
        <w:t xml:space="preserve">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 Участник должен в форме коммерческого предложения указать Производителя предлагаемой продукции. </w:t>
      </w:r>
    </w:p>
    <w:p>
      <w:pPr>
        <w:pStyle w:val="Normal"/>
        <w:suppressAutoHyphens w:val="true"/>
        <w:ind w:right="593" w:firstLine="567"/>
        <w:jc w:val="both"/>
        <w:rPr/>
      </w:pPr>
      <w:r>
        <w:rPr>
          <w:bCs/>
          <w:iCs/>
          <w:sz w:val="22"/>
          <w:szCs w:val="22"/>
          <w:lang w:eastAsia="x-none"/>
        </w:rPr>
        <w:t>3.2.</w:t>
      </w:r>
      <w:r>
        <w:rPr>
          <w:sz w:val="22"/>
          <w:szCs w:val="22"/>
        </w:rPr>
        <w:t xml:space="preserve"> Все цены в предложении должны включать все налоги, транспортные расходы и другие обязательные платежи, стоимость всех сопутствующих работ (услуг), а также все скидки, предлагаемые участником.</w:t>
      </w:r>
    </w:p>
    <w:p>
      <w:pPr>
        <w:pStyle w:val="Normal"/>
        <w:suppressAutoHyphens w:val="true"/>
        <w:ind w:right="593" w:firstLine="567"/>
        <w:jc w:val="both"/>
        <w:rPr>
          <w:sz w:val="22"/>
          <w:szCs w:val="22"/>
        </w:rPr>
      </w:pPr>
      <w:r>
        <w:rPr>
          <w:sz w:val="22"/>
          <w:szCs w:val="22"/>
        </w:rPr>
      </w:r>
    </w:p>
    <w:p>
      <w:pPr>
        <w:pStyle w:val="Normal"/>
        <w:suppressAutoHyphens w:val="true"/>
        <w:ind w:right="593" w:firstLine="567"/>
        <w:jc w:val="both"/>
        <w:rPr>
          <w:sz w:val="22"/>
          <w:szCs w:val="22"/>
        </w:rPr>
      </w:pPr>
      <w:r>
        <w:rPr>
          <w:sz w:val="22"/>
          <w:szCs w:val="22"/>
        </w:rPr>
      </w:r>
    </w:p>
    <w:p>
      <w:pPr>
        <w:pStyle w:val="Normal"/>
        <w:suppressAutoHyphens w:val="true"/>
        <w:ind w:right="593" w:firstLine="567"/>
        <w:jc w:val="both"/>
        <w:rPr>
          <w:rFonts w:ascii="Times New Roman" w:hAnsi="Times New Roman" w:eastAsia="Calibri" w:cs="Times New Roman"/>
          <w:b/>
          <w:bCs/>
          <w:color w:val="auto"/>
          <w:kern w:val="0"/>
          <w:sz w:val="22"/>
          <w:szCs w:val="22"/>
          <w:shd w:fill="auto" w:val="clear"/>
          <w:lang w:val="ru-RU" w:eastAsia="x-none" w:bidi="ar-SA"/>
        </w:rPr>
      </w:pPr>
      <w:r>
        <w:rPr>
          <w:rFonts w:eastAsia="Calibri" w:cs="Times New Roman"/>
          <w:b/>
          <w:bCs/>
          <w:color w:val="000000"/>
          <w:kern w:val="0"/>
          <w:sz w:val="22"/>
          <w:szCs w:val="22"/>
          <w:shd w:fill="auto" w:val="clear"/>
          <w:lang w:val="ru-RU" w:eastAsia="x-none" w:bidi="ar-SA"/>
        </w:rPr>
        <w:t>4. ПРИЛОЖЕНИЕ</w:t>
      </w:r>
    </w:p>
    <w:p>
      <w:pPr>
        <w:pStyle w:val="Normal"/>
        <w:suppressAutoHyphens w:val="true"/>
        <w:ind w:right="593" w:firstLine="567"/>
        <w:jc w:val="both"/>
        <w:rPr>
          <w:b/>
          <w:bCs/>
          <w:sz w:val="22"/>
          <w:szCs w:val="22"/>
        </w:rPr>
      </w:pPr>
      <w:r>
        <w:rPr>
          <w:b/>
          <w:bCs/>
          <w:sz w:val="22"/>
          <w:szCs w:val="22"/>
        </w:rPr>
        <w:t>Приложение № 1 — Тех. Требования ОПН</w:t>
      </w:r>
    </w:p>
    <w:sectPr>
      <w:headerReference w:type="even" r:id="rId2"/>
      <w:headerReference w:type="default" r:id="rId3"/>
      <w:headerReference w:type="first" r:id="rId4"/>
      <w:type w:val="nextPage"/>
      <w:pgSz w:orient="landscape" w:w="16838" w:h="11906"/>
      <w:pgMar w:left="1418" w:right="1103" w:gutter="0" w:header="680" w:top="1134"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Times New Roman">
    <w:charset w:val="01"/>
    <w:family w:val="auto"/>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9</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9</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2"/>
        <w:sz w:val="22"/>
        <w:spacing w:val="0"/>
        <w:i w:val="false"/>
        <w:u w:val="none"/>
        <w:b/>
        <w:kern w:val="0"/>
        <w:effect w:val="none"/>
        <w:szCs w:val="22"/>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fals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numPr>
        <w:ilvl w:val="2"/>
        <w:numId w:val="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1">
    <w:name w:val="Strong1"/>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3"/>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1"/>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Markedcontent" w:customStyle="1">
    <w:name w:val="markedcontent"/>
    <w:basedOn w:val="DefaultParagraphFont"/>
    <w:qFormat/>
    <w:rsid w:val="00a33766"/>
    <w:rPr/>
  </w:style>
  <w:style w:type="character" w:styleId="Style14" w:customStyle="1">
    <w:name w:val="Основной текст с отступом Знак"/>
    <w:basedOn w:val="DefaultParagraphFont"/>
    <w:qFormat/>
    <w:rsid w:val="00730aab"/>
    <w:rPr>
      <w:sz w:val="24"/>
      <w:szCs w:val="24"/>
    </w:rPr>
  </w:style>
  <w:style w:type="character" w:styleId="Style15">
    <w:name w:val="Ссылка указателя"/>
    <w:qFormat/>
    <w:rPr/>
  </w:style>
  <w:style w:type="character" w:styleId="Style16">
    <w:name w:val="Символ нумерации"/>
    <w:qFormat/>
    <w:rPr/>
  </w:style>
  <w:style w:type="character" w:styleId="Strong">
    <w:name w:val="Strong"/>
    <w:qFormat/>
    <w:rPr>
      <w:b/>
      <w:bCs/>
    </w:rPr>
  </w:style>
  <w:style w:type="paragraph" w:styleId="Style17">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8">
    <w:name w:val="Указатель"/>
    <w:basedOn w:val="Normal"/>
    <w:qFormat/>
    <w:pPr>
      <w:suppressLineNumbers/>
    </w:pPr>
    <w:rPr>
      <w:rFonts w:cs="Lohit Devanagari"/>
    </w:rPr>
  </w:style>
  <w:style w:type="paragraph" w:styleId="Style19" w:customStyle="1">
    <w:name w:val="Название раздела инструкции"/>
    <w:basedOn w:val="Normal"/>
    <w:autoRedefine/>
    <w:qFormat/>
    <w:rsid w:val="00275328"/>
    <w:pPr>
      <w:jc w:val="center"/>
    </w:pPr>
    <w:rPr>
      <w:b/>
    </w:rPr>
  </w:style>
  <w:style w:type="paragraph" w:styleId="Style20"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21"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2">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link w:val="Style14"/>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3"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left="1134" w:hanging="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left="280" w:hanging="0"/>
    </w:pPr>
    <w:rPr>
      <w:rFonts w:cs="Calibri" w:cstheme="minorHAnsi"/>
      <w:sz w:val="20"/>
      <w:szCs w:val="20"/>
    </w:rPr>
  </w:style>
  <w:style w:type="paragraph" w:styleId="Style24" w:customStyle="1">
    <w:name w:val="Раздел регламента"/>
    <w:basedOn w:val="Normal"/>
    <w:qFormat/>
    <w:rsid w:val="00e228fa"/>
    <w:pPr/>
    <w:rPr/>
  </w:style>
  <w:style w:type="paragraph" w:styleId="Style25"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left="560" w:hanging="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6"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7"/>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7"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Bullet4" w:customStyle="1">
    <w:name w:val="List Bullet 4"/>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8"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9"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0" w:customStyle="1">
    <w:name w:val="Таблица шапка"/>
    <w:basedOn w:val="Normal"/>
    <w:qFormat/>
    <w:rsid w:val="00f64089"/>
    <w:pPr>
      <w:keepNext w:val="true"/>
      <w:spacing w:before="40" w:after="40"/>
      <w:ind w:left="57" w:right="57" w:hanging="0"/>
    </w:pPr>
    <w:rPr>
      <w:sz w:val="22"/>
      <w:szCs w:val="26"/>
    </w:rPr>
  </w:style>
  <w:style w:type="paragraph" w:styleId="Style31" w:customStyle="1">
    <w:name w:val="Подподпункт"/>
    <w:basedOn w:val="Style23"/>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2"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3"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numPr>
        <w:ilvl w:val="0"/>
        <w:numId w:val="0"/>
      </w:numPr>
      <w:tabs>
        <w:tab w:val="clear" w:pos="708"/>
        <w:tab w:val="left" w:pos="567" w:leader="none"/>
      </w:tabs>
      <w:suppressAutoHyphens w:val="true"/>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4"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Style35">
    <w:name w:val="Содержимое врезки"/>
    <w:basedOn w:val="Normal"/>
    <w:qFormat/>
    <w:pPr/>
    <w:rPr/>
  </w:style>
  <w:style w:type="paragraph" w:styleId="Style36">
    <w:name w:val="Содержимое таблицы"/>
    <w:basedOn w:val="Normal"/>
    <w:qFormat/>
    <w:pPr>
      <w:widowControl w:val="false"/>
      <w:suppressLineNumbers/>
    </w:pPr>
    <w:rPr/>
  </w:style>
  <w:style w:type="paragraph" w:styleId="Style37">
    <w:name w:val="Заголовок таблицы"/>
    <w:basedOn w:val="Style36"/>
    <w:qFormat/>
    <w:pPr>
      <w:suppressLineNumbers/>
      <w:jc w:val="center"/>
    </w:pPr>
    <w:rPr>
      <w:b/>
      <w:bCs/>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9" w:customStyle="1">
    <w:name w:val="Стиль2"/>
    <w:uiPriority w:val="99"/>
    <w:qFormat/>
    <w:rsid w:val="006629c9"/>
  </w:style>
  <w:style w:type="numbering" w:styleId="40124915411">
    <w:name w:val="40124915411"/>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f0">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E3187-CB0A-4DE0-A69C-A9512B3D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3127</TotalTime>
  <Application>AlterOffice/3.4.0.6$Linux_X86_64 LibreOffice_project/ad8c41dce69105450bf791d4900d64b1f82e10d0</Application>
  <AppVersion>15.0000</AppVersion>
  <Pages>9</Pages>
  <Words>1700</Words>
  <Characters>11542</Characters>
  <CharactersWithSpaces>12874</CharactersWithSpaces>
  <Paragraphs>375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2023-06-04T22:23:00Z</dcterms:created>
  <dc:creator>Быстров Олег Геннадьевич</dc:creator>
  <dc:description/>
  <dc:language>ru-RU</dc:language>
  <cp:lastModifiedBy>alieva_di</cp:lastModifiedBy>
  <cp:lastPrinted>2006-07-26T14:04:00Z</cp:lastPrinted>
  <dcterms:modified xsi:type="dcterms:W3CDTF">2026-09-18T14:22:26Z</dcterms:modified>
  <cp:revision>249</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