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  <w:lang w:val="ru-RU"/>
        </w:rPr>
        <w:t>УТВЕРЖДАЮ</w:t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Директор  Центрального филиала </w:t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  <w:lang w:val="ru-RU"/>
        </w:rPr>
        <w:t>АО «ТК РусГидро»</w:t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  <w:lang w:val="ru-RU"/>
        </w:rPr>
        <w:t>_______________М.В. Нешев</w:t>
      </w:r>
    </w:p>
    <w:p>
      <w:pPr>
        <w:pStyle w:val="Normal"/>
        <w:ind w:firstLine="709"/>
        <w:jc w:val="right"/>
        <w:rPr>
          <w:sz w:val="24"/>
          <w:szCs w:val="24"/>
        </w:rPr>
      </w:pPr>
      <w:r>
        <w:rPr>
          <w:sz w:val="24"/>
          <w:szCs w:val="24"/>
          <w:lang w:val="ru-RU"/>
        </w:rPr>
        <w:t>«____»________________2026 г.</w:t>
      </w:r>
    </w:p>
    <w:p>
      <w:pPr>
        <w:pStyle w:val="Normal"/>
        <w:keepNext w:val="true"/>
        <w:keepLines/>
        <w:rPr>
          <w:color w:val="FFFFFF" w:themeColor="background1"/>
          <w:sz w:val="26"/>
          <w:szCs w:val="26"/>
        </w:rPr>
      </w:pPr>
      <w:r>
        <w:rPr>
          <w:color w:val="FFFFFF" w:themeColor="background1"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ОКПД2: 49.41.19.900 «Перевозка дорожно-строительной техники по маршруту: Московская область, пгт Богородское — пгт Серебряный Бор Нерюнгринского района Республики Саха (Якутия) для нужд Центрального филиала АО «ТК РусГидро»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Лот № ____________________________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jc w:val="center"/>
        <w:rPr>
          <w:b/>
        </w:rPr>
      </w:pPr>
      <w:r>
        <w:rPr>
          <w:b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224652578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24652579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сокращения…………………………………………………………………………………..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24652580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продукции………………………………………………………………………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224652581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оказания услуг…………………………………………………………………………………………..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eastAsia="" w:eastAsiaTheme="minorEastAsia"/>
              <w:sz w:val="22"/>
              <w:szCs w:val="22"/>
            </w:rPr>
          </w:pPr>
          <w:r>
            <w:rPr>
              <w:rFonts w:eastAsia="" w:eastAsiaTheme="minorEastAsia"/>
              <w:sz w:val="20"/>
              <w:szCs w:val="20"/>
            </w:rPr>
            <w:t xml:space="preserve">           </w:t>
          </w:r>
          <w:r>
            <w:rPr>
              <w:rFonts w:eastAsia="" w:eastAsiaTheme="minorEastAsia"/>
              <w:sz w:val="20"/>
              <w:szCs w:val="20"/>
            </w:rPr>
            <w:t>1.4.      Существующее положение…………………………………...………………………………………………3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2465258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_Toc224652583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 Перечень объектов заказчика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24652584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_Toc224652584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договора)………………………………………………………………………………………………………………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709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24652585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24652586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24652587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2465258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_Toc224652588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24652589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2465259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_Toc224652590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3. Требования к срокам оказания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224652591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продукции…………………………………………………………………………..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_Toc224652591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709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Style w:val="Style14"/>
        </w:rPr>
        <w:t>3. Требования к документации по ценообразованию на этапе закупки……………………….7</w:t>
      </w:r>
    </w:p>
    <w:p>
      <w:pPr>
        <w:pStyle w:val="TOC1"/>
        <w:tabs>
          <w:tab w:val="clear" w:pos="708"/>
          <w:tab w:val="left" w:pos="709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3"/>
        <w:rPr>
          <w:rFonts w:ascii="Calibri" w:hAnsi="Calibri" w:eastAsia="" w:cs="" w:asciiTheme="minorHAnsi" w:cstheme="minorBidi" w:eastAsiaTheme="minorEastAsia" w:hAnsiTheme="minorHAnsi"/>
          <w:sz w:val="22"/>
          <w:szCs w:val="22"/>
        </w:rPr>
      </w:pPr>
      <w:r>
        <w:rPr>
          <w:rFonts w:eastAsia="" w:cs="" w:cstheme="minorBidi" w:eastAsiaTheme="minorEastAsia" w:ascii="Calibri" w:hAnsi="Calibri"/>
          <w:sz w:val="22"/>
          <w:szCs w:val="22"/>
        </w:rPr>
      </w:r>
    </w:p>
    <w:p>
      <w:pPr>
        <w:pStyle w:val="TOC1"/>
        <w:tabs>
          <w:tab w:val="clear" w:pos="708"/>
          <w:tab w:val="left" w:pos="709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224652578"/>
      <w:r>
        <w:rPr>
          <w:lang w:val="ru-RU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rPr/>
      </w:pPr>
      <w:bookmarkStart w:id="1" w:name="_Toc224652579"/>
      <w:bookmarkStart w:id="2" w:name="_Toc46743505"/>
      <w:r>
        <w:rPr/>
        <w:t>Обозначения и сокращения</w:t>
      </w:r>
      <w:bookmarkEnd w:id="1"/>
      <w:bookmarkEnd w:id="2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3" w:name="_Toc224652580"/>
      <w:r>
        <w:rPr/>
        <w:t>Наименование закупаемой продукции</w:t>
      </w:r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highlight w:val="none"/>
          <w:shd w:fill="auto" w:val="clear"/>
        </w:rPr>
      </w:pPr>
      <w:r>
        <w:rPr>
          <w:rFonts w:eastAsia="Calibri"/>
          <w:sz w:val="24"/>
          <w:szCs w:val="24"/>
          <w:shd w:fill="auto" w:val="clear"/>
        </w:rPr>
        <w:t>ОКПД2: 49.41.19.900 «Перевозка дорожно-строительной техники по маршруту: Московская область, пгт Богородское — пгт Серебряный Бор Нерюнгринского района Республики Саха (Якутия) для нужд Центрального филиала АО «ТК РусГидро»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224652581"/>
      <w:bookmarkStart w:id="5" w:name="_Toc46743507"/>
      <w:r>
        <w:rPr/>
        <w:t xml:space="preserve">Цель </w:t>
      </w:r>
      <w:bookmarkEnd w:id="5"/>
      <w:r>
        <w:rPr>
          <w:lang w:val="ru-RU"/>
        </w:rPr>
        <w:t>оказания услуг</w:t>
      </w:r>
      <w:bookmarkEnd w:id="4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rFonts w:eastAsia="Times New Roman"/>
          <w:b w:val="false"/>
          <w:sz w:val="24"/>
          <w:szCs w:val="24"/>
          <w:lang w:val="ru-RU" w:eastAsia="ru-RU"/>
        </w:rPr>
      </w:pPr>
      <w:bookmarkStart w:id="6" w:name="_Toc224652582"/>
      <w:bookmarkStart w:id="7" w:name="_Toc210033219"/>
      <w:r>
        <w:rPr>
          <w:rFonts w:eastAsia="Times New Roman"/>
          <w:b w:val="false"/>
          <w:sz w:val="24"/>
          <w:szCs w:val="24"/>
          <w:lang w:val="ru-RU" w:eastAsia="ru-RU"/>
        </w:rPr>
        <w:t xml:space="preserve">Перебазировка дорожно-строительной техники в Нерюнгринский район, Республики Саха (Якутия) в рамках </w:t>
      </w:r>
      <w:bookmarkEnd w:id="6"/>
      <w:bookmarkEnd w:id="7"/>
      <w:r>
        <w:rPr>
          <w:rFonts w:eastAsia="Times New Roman"/>
          <w:b w:val="false"/>
          <w:sz w:val="24"/>
          <w:szCs w:val="24"/>
          <w:lang w:val="ru-RU" w:eastAsia="ru-RU"/>
        </w:rPr>
        <w:t xml:space="preserve">исполнения приказа  Исполнительного аппарата  </w:t>
      </w:r>
      <w:r>
        <w:rPr>
          <w:rFonts w:eastAsia="Calibri"/>
          <w:b w:val="false"/>
          <w:sz w:val="24"/>
          <w:szCs w:val="24"/>
          <w:lang w:val="ru-RU" w:eastAsia="ru-RU"/>
        </w:rPr>
        <w:t>АО «ТК РусГидро»</w:t>
      </w:r>
    </w:p>
    <w:p>
      <w:pPr>
        <w:pStyle w:val="Normal"/>
        <w:spacing w:before="240" w:after="60"/>
        <w:rPr>
          <w:b/>
          <w:sz w:val="24"/>
          <w:szCs w:val="24"/>
        </w:rPr>
      </w:pPr>
      <w:r>
        <w:rPr>
          <w:b/>
          <w:sz w:val="24"/>
          <w:szCs w:val="24"/>
        </w:rPr>
        <w:t>1.4. Существующее положение</w:t>
      </w:r>
    </w:p>
    <w:p>
      <w:pPr>
        <w:pStyle w:val="Normal"/>
        <w:spacing w:before="240" w:after="60"/>
        <w:jc w:val="both"/>
        <w:rPr>
          <w:sz w:val="24"/>
          <w:szCs w:val="24"/>
        </w:rPr>
      </w:pPr>
      <w:r>
        <w:rPr>
          <w:sz w:val="24"/>
          <w:szCs w:val="24"/>
        </w:rPr>
        <w:t>Услуги оказываются в отношении дорожно-строительной техники согласно Таблицы 1. Перечень объектов Заказчика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8" w:name="_Toc224652583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8"/>
    </w:p>
    <w:tbl>
      <w:tblPr>
        <w:tblW w:w="102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79"/>
        <w:gridCol w:w="2174"/>
        <w:gridCol w:w="3197"/>
        <w:gridCol w:w="2698"/>
        <w:gridCol w:w="1612"/>
      </w:tblGrid>
      <w:tr>
        <w:trPr>
          <w:trHeight w:val="400" w:hRule="atLeast"/>
        </w:trPr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>
          <w:trHeight w:val="400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left="624" w:right="510" w:hanging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ind w:left="35" w:hanging="0"/>
              <w:jc w:val="center"/>
              <w:rPr>
                <w:rFonts w:cs="TimesNewRomanPSMT"/>
                <w:b/>
                <w:bCs/>
                <w:iCs/>
                <w:sz w:val="24"/>
                <w:szCs w:val="24"/>
              </w:rPr>
            </w:pPr>
            <w:r>
              <w:rPr>
                <w:rFonts w:cs="TimesNewRomanPSMT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5</w:t>
            </w:r>
          </w:p>
        </w:tc>
      </w:tr>
      <w:tr>
        <w:trPr>
          <w:trHeight w:val="1123" w:hRule="atLeast"/>
        </w:trPr>
        <w:tc>
          <w:tcPr>
            <w:tcW w:w="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bidi w:val="0"/>
              <w:spacing w:before="0" w:after="0"/>
              <w:ind w:left="624" w:right="567" w:hanging="680"/>
              <w:contextualSpacing/>
              <w:jc w:val="center"/>
              <w:rPr/>
            </w:pPr>
            <w:r>
              <w:rPr/>
            </w:r>
          </w:p>
        </w:tc>
        <w:tc>
          <w:tcPr>
            <w:tcW w:w="2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ind w:left="35" w:hanging="0"/>
              <w:jc w:val="center"/>
              <w:rPr>
                <w:rFonts w:cs="TimesNewRomanPSMT"/>
                <w:iCs/>
                <w:sz w:val="24"/>
                <w:szCs w:val="24"/>
              </w:rPr>
            </w:pPr>
            <w:r>
              <w:rPr>
                <w:rFonts w:cs="TimesNewRomanPSMT"/>
                <w:iCs/>
                <w:sz w:val="24"/>
                <w:szCs w:val="24"/>
              </w:rPr>
              <w:t>Грунтовый каток XCMG XS183</w:t>
            </w:r>
          </w:p>
        </w:tc>
        <w:tc>
          <w:tcPr>
            <w:tcW w:w="31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Место нахождения (погрузки)</w:t>
            </w:r>
          </w:p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Московская область, Сергиево-Посадский городской округ, пгт Богородское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Габариты (ДхШхВ) 6760×2330×3310 мм. 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pacing w:lineRule="exact" w:line="24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Масса транспортного средства в снаряженном состоянии 18 000 кг.</w:t>
            </w:r>
          </w:p>
        </w:tc>
        <w:tc>
          <w:tcPr>
            <w:tcW w:w="1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 ед.</w:t>
            </w:r>
          </w:p>
        </w:tc>
      </w:tr>
    </w:tbl>
    <w:p>
      <w:pPr>
        <w:pStyle w:val="Heading4"/>
        <w:tabs>
          <w:tab w:val="clear" w:pos="0"/>
        </w:tabs>
        <w:ind w:left="0" w:hanging="0"/>
        <w:jc w:val="both"/>
        <w:rPr/>
      </w:pPr>
      <w:bookmarkStart w:id="9" w:name="_Toc224652584"/>
      <w:bookmarkStart w:id="10" w:name="_Toc200980028"/>
      <w:r>
        <w:rPr>
          <w:lang w:val="ru-RU"/>
        </w:rPr>
        <w:t xml:space="preserve">1.5. </w:t>
      </w:r>
      <w:r>
        <w:rPr/>
        <w:t xml:space="preserve">Информация в отношении исполнения договора, </w:t>
      </w:r>
      <w:bookmarkStart w:id="11" w:name="_Hlk46492347"/>
      <w:r>
        <w:rPr/>
        <w:t xml:space="preserve">которая должна быть учтена при подготовке заявки </w:t>
      </w:r>
      <w:bookmarkEnd w:id="11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9"/>
      <w:bookmarkEnd w:id="10"/>
    </w:p>
    <w:p>
      <w:pPr>
        <w:pStyle w:val="Normal"/>
        <w:widowControl w:val="false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1.5.1. Грузоотправитель и адрес места нахождения груза: Центральный филиал АО «ТК РусГидро», Московская область,  Сергиево-Посадский городской округ, пгт Богородское. Погрузка груза в месте отправки осуществляется силами и средствами Исполнителя.</w:t>
      </w:r>
    </w:p>
    <w:p>
      <w:pPr>
        <w:pStyle w:val="Normal"/>
        <w:widowControl w:val="false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1.5.2. </w:t>
      </w:r>
      <w:r>
        <w:rPr>
          <w:rFonts w:eastAsia="Calibri"/>
          <w:sz w:val="24"/>
          <w:szCs w:val="24"/>
          <w:shd w:fill="auto" w:val="clear"/>
        </w:rPr>
        <w:t>Грузополучатель и адрес места доставки груза: Дальневосточный филиал АО «ТК РусГидро», пгт Серебряный Бор Нерюнгринского района Республики Саха (Якутия). Разгрузка</w:t>
      </w:r>
      <w:r>
        <w:rPr>
          <w:rFonts w:eastAsia="Calibri"/>
          <w:sz w:val="24"/>
          <w:szCs w:val="24"/>
        </w:rPr>
        <w:t xml:space="preserve"> груза в месте доставки осуществляется силами и средствами Исполнителя.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1.5.3. Способ транспортировки груза: транспортировка любым видом транспорта, исключающим самостоятельное движение ТС.</w:t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2" w:name="_Toc224652585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12"/>
    </w:p>
    <w:p>
      <w:pPr>
        <w:pStyle w:val="Heading4"/>
        <w:numPr>
          <w:ilvl w:val="1"/>
          <w:numId w:val="3"/>
        </w:numPr>
        <w:rPr/>
      </w:pPr>
      <w:bookmarkStart w:id="13" w:name="_Toc224652586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3"/>
    </w:p>
    <w:p>
      <w:pPr>
        <w:pStyle w:val="Heading3"/>
        <w:numPr>
          <w:ilvl w:val="2"/>
          <w:numId w:val="3"/>
        </w:numPr>
        <w:rPr/>
      </w:pPr>
      <w:bookmarkStart w:id="14" w:name="_Toc224652587"/>
      <w:r>
        <w:rPr>
          <w:lang w:val="ru-RU"/>
        </w:rPr>
        <w:t>Требования к перечню и объему услуг</w:t>
      </w:r>
      <w:bookmarkEnd w:id="14"/>
    </w:p>
    <w:p>
      <w:pPr>
        <w:pStyle w:val="Heading1"/>
        <w:keepLines/>
        <w:tabs>
          <w:tab w:val="clear" w:pos="0"/>
        </w:tabs>
        <w:spacing w:before="0" w:after="60"/>
        <w:ind w:left="0" w:hanging="0"/>
        <w:rPr>
          <w:sz w:val="24"/>
          <w:szCs w:val="24"/>
          <w:lang w:val="ru-RU"/>
        </w:rPr>
      </w:pPr>
      <w:bookmarkStart w:id="15" w:name="_Toc224652588"/>
      <w:bookmarkStart w:id="1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оказываемых услуг</w:t>
      </w:r>
      <w:bookmarkEnd w:id="15"/>
    </w:p>
    <w:tbl>
      <w:tblPr>
        <w:tblW w:w="9935" w:type="dxa"/>
        <w:jc w:val="left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968"/>
        <w:gridCol w:w="6554"/>
        <w:gridCol w:w="1432"/>
        <w:gridCol w:w="980"/>
      </w:tblGrid>
      <w:tr>
        <w:trPr/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ОКПД2: 49.41.19.900 «Перевозка дорожно-строительной техники по маршруту: Московская область, пгт Богородское — пгт Серебряный Бор Нерюнгринского района Республики Саха (Якутия) для нужд Центрального филиала АО «ТК РусГидро»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Toc224652589"/>
      <w:bookmarkStart w:id="18" w:name="_Toc51339696"/>
      <w:r>
        <w:rPr>
          <w:lang w:val="ru-RU"/>
        </w:rPr>
        <w:t xml:space="preserve">Требования </w:t>
      </w:r>
      <w:bookmarkEnd w:id="18"/>
      <w:r>
        <w:rPr>
          <w:lang w:val="ru-RU"/>
        </w:rPr>
        <w:t>к срокам оказания услуг</w:t>
      </w:r>
      <w:bookmarkEnd w:id="17"/>
    </w:p>
    <w:p>
      <w:pPr>
        <w:pStyle w:val="Heading1"/>
        <w:tabs>
          <w:tab w:val="clear" w:pos="0"/>
        </w:tabs>
        <w:ind w:left="4678" w:hanging="4678"/>
        <w:rPr>
          <w:sz w:val="24"/>
          <w:szCs w:val="24"/>
        </w:rPr>
      </w:pPr>
      <w:bookmarkStart w:id="19" w:name="_Toc224652590"/>
      <w:r>
        <w:rPr>
          <w:sz w:val="24"/>
          <w:szCs w:val="24"/>
        </w:rPr>
        <w:t>Таблица 3. Требования к срокам оказания услуг</w:t>
      </w:r>
      <w:bookmarkEnd w:id="19"/>
    </w:p>
    <w:tbl>
      <w:tblPr>
        <w:tblW w:w="1020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1"/>
        <w:gridCol w:w="3295"/>
        <w:gridCol w:w="2526"/>
        <w:gridCol w:w="3538"/>
      </w:tblGrid>
      <w:tr>
        <w:trPr/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>
          <w:trHeight w:val="150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410" w:hRule="atLeast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/>
            </w:pPr>
            <w:r>
              <w:rPr/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ОКПД2: 49.41.19.900 «Перевозка дорожно-строительной техники по маршруту: Московская область, пгт Богородское — пгт Серебряный Бор Нерюнгринского района Республики Саха (Якутия) для нужд Центрального филиала АО «ТК РусГидро»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момента подачи заявки от Заказчика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center"/>
              <w:rPr/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 xml:space="preserve">В течение 20 (двадцати) календарных дней после подписания Сторонами заявки. </w:t>
            </w:r>
            <w:bookmarkStart w:id="20" w:name="_GoBack"/>
            <w:bookmarkEnd w:id="20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rPr>
          <w:lang w:val="ru-RU"/>
        </w:rPr>
      </w:pPr>
      <w:bookmarkStart w:id="21" w:name="_Toc224652591"/>
      <w:bookmarkStart w:id="22" w:name="_Toc200980035"/>
      <w:bookmarkStart w:id="23" w:name="_Toc46743511"/>
      <w:bookmarkStart w:id="24" w:name="_Toc51339698"/>
      <w:bookmarkStart w:id="25" w:name="_Toc50125131"/>
      <w:bookmarkEnd w:id="24"/>
      <w:bookmarkEnd w:id="25"/>
      <w:r>
        <w:rPr/>
        <w:t xml:space="preserve">Требования к </w:t>
      </w:r>
      <w:bookmarkEnd w:id="23"/>
      <w:r>
        <w:rPr>
          <w:lang w:val="ru-RU"/>
        </w:rPr>
        <w:t xml:space="preserve">качеству </w:t>
      </w:r>
      <w:bookmarkEnd w:id="22"/>
      <w:r>
        <w:rPr>
          <w:lang w:val="ru-RU"/>
        </w:rPr>
        <w:t>продукции</w:t>
      </w:r>
      <w:bookmarkEnd w:id="21"/>
    </w:p>
    <w:p>
      <w:pPr>
        <w:pStyle w:val="Normal"/>
        <w:rPr>
          <w:b/>
          <w:sz w:val="24"/>
          <w:lang w:eastAsia="x-none"/>
        </w:rPr>
      </w:pPr>
      <w:r>
        <w:rPr>
          <w:b/>
          <w:sz w:val="24"/>
          <w:lang w:eastAsia="x-none"/>
        </w:rPr>
        <w:t>Таблица 4. Требования к качеству продукции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b w:val="false"/>
          <w:bCs w:val="false"/>
          <w:sz w:val="24"/>
          <w:szCs w:val="24"/>
        </w:rPr>
        <w:t>ОКПД2: 49.41.19.900 «Перевозка дорожно-строительной техники по маршруту: Московская область, пгт Богородское — пгт Серебряный Бор Нерюнгринского района Республики Саха (Якутия) для нужд Центрального филиала АО «ТК РусГидро»</w:t>
      </w:r>
    </w:p>
    <w:tbl>
      <w:tblPr>
        <w:tblStyle w:val="affff8"/>
        <w:tblW w:w="1008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76"/>
        <w:gridCol w:w="2670"/>
        <w:gridCol w:w="3404"/>
        <w:gridCol w:w="3329"/>
      </w:tblGrid>
      <w:tr>
        <w:trPr/>
        <w:tc>
          <w:tcPr>
            <w:tcW w:w="6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67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4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3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7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3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bookmarkStart w:id="26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6"/>
          </w:p>
        </w:tc>
        <w:tc>
          <w:tcPr>
            <w:tcW w:w="267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3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32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3329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113" w:right="907" w:hanging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Участник должен предоставить в заявке согласие оказать услуги, полностью соответствующие настоящим техническим требованиям, по форме Технического предложения, установленной в Документации о закупке.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  <w:bookmarkStart w:id="27" w:name="_Toc173505901"/>
            <w:bookmarkStart w:id="28" w:name="_Toc173505764"/>
            <w:bookmarkStart w:id="29" w:name="_Toc125378705"/>
            <w:bookmarkStart w:id="30" w:name="_Toc200980036"/>
            <w:bookmarkStart w:id="31" w:name="_Toc173505901"/>
            <w:bookmarkStart w:id="32" w:name="_Toc173505764"/>
            <w:bookmarkStart w:id="33" w:name="_Toc125378705"/>
            <w:bookmarkStart w:id="34" w:name="_Toc200980036"/>
            <w:bookmarkEnd w:id="31"/>
            <w:bookmarkEnd w:id="32"/>
            <w:bookmarkEnd w:id="33"/>
            <w:bookmarkEnd w:id="34"/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  <w:bookmarkStart w:id="35" w:name="_Toc173505901_Копия_1"/>
            <w:bookmarkStart w:id="36" w:name="_Toc173505764_Копия_1"/>
            <w:bookmarkStart w:id="37" w:name="_Toc125378705_Копия_1"/>
            <w:bookmarkStart w:id="38" w:name="_Toc200980036_Копия_1"/>
            <w:bookmarkStart w:id="39" w:name="_Toc125378706"/>
            <w:bookmarkStart w:id="40" w:name="_Toc173505765"/>
            <w:bookmarkStart w:id="41" w:name="_Toc173505902"/>
            <w:bookmarkStart w:id="42" w:name="_Toc200980037"/>
            <w:bookmarkStart w:id="43" w:name="_Toc173505901_Копия_1"/>
            <w:bookmarkStart w:id="44" w:name="_Toc173505764_Копия_1"/>
            <w:bookmarkStart w:id="45" w:name="_Toc125378705_Копия_1"/>
            <w:bookmarkStart w:id="46" w:name="_Toc200980036_Копия_1"/>
            <w:bookmarkStart w:id="47" w:name="_Toc125378706"/>
            <w:bookmarkStart w:id="48" w:name="_Toc173505765"/>
            <w:bookmarkStart w:id="49" w:name="_Toc173505902"/>
            <w:bookmarkStart w:id="50" w:name="_Toc200980037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  <w:bookmarkStart w:id="51" w:name="_Toc125378706_Копия_1"/>
            <w:bookmarkStart w:id="52" w:name="_Toc173505765_Копия_1"/>
            <w:bookmarkStart w:id="53" w:name="_Toc173505902_Копия_1"/>
            <w:bookmarkStart w:id="54" w:name="_Toc200980037_Копия_1"/>
            <w:bookmarkStart w:id="55" w:name="_Toc125378707"/>
            <w:bookmarkStart w:id="56" w:name="_Toc173505903"/>
            <w:bookmarkStart w:id="57" w:name="_Toc173505766"/>
            <w:bookmarkStart w:id="58" w:name="_Toc200980038"/>
            <w:bookmarkStart w:id="59" w:name="_Toc125378706_Копия_1"/>
            <w:bookmarkStart w:id="60" w:name="_Toc173505765_Копия_1"/>
            <w:bookmarkStart w:id="61" w:name="_Toc173505902_Копия_1"/>
            <w:bookmarkStart w:id="62" w:name="_Toc200980037_Копия_1"/>
            <w:bookmarkStart w:id="63" w:name="_Toc125378707"/>
            <w:bookmarkStart w:id="64" w:name="_Toc173505903"/>
            <w:bookmarkStart w:id="65" w:name="_Toc173505766"/>
            <w:bookmarkStart w:id="66" w:name="_Toc20098003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  <w:bookmarkStart w:id="67" w:name="_Toc125378707_Копия_1"/>
            <w:bookmarkStart w:id="68" w:name="_Toc173505903_Копия_1"/>
            <w:bookmarkStart w:id="69" w:name="_Toc173505766_Копия_1"/>
            <w:bookmarkStart w:id="70" w:name="_Toc200980038_Копия_1"/>
            <w:bookmarkStart w:id="71" w:name="_Toc173505904"/>
            <w:bookmarkStart w:id="72" w:name="_Toc173505767"/>
            <w:bookmarkStart w:id="73" w:name="_Toc125378708"/>
            <w:bookmarkStart w:id="74" w:name="_Toc200980039"/>
            <w:bookmarkStart w:id="75" w:name="_Toc125378707_Копия_1"/>
            <w:bookmarkStart w:id="76" w:name="_Toc173505903_Копия_1"/>
            <w:bookmarkStart w:id="77" w:name="_Toc173505766_Копия_1"/>
            <w:bookmarkStart w:id="78" w:name="_Toc200980038_Копия_1"/>
            <w:bookmarkStart w:id="79" w:name="_Toc173505904"/>
            <w:bookmarkStart w:id="80" w:name="_Toc173505767"/>
            <w:bookmarkStart w:id="81" w:name="_Toc125378708"/>
            <w:bookmarkStart w:id="82" w:name="_Toc200980039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  <w:bookmarkStart w:id="83" w:name="_Toc173505904_Копия_1"/>
            <w:bookmarkStart w:id="84" w:name="_Toc173505767_Копия_1"/>
            <w:bookmarkStart w:id="85" w:name="_Toc125378708_Копия_1"/>
            <w:bookmarkStart w:id="86" w:name="_Toc200980039_Копия_1"/>
            <w:bookmarkStart w:id="87" w:name="_Toc125378709"/>
            <w:bookmarkStart w:id="88" w:name="_Toc173505768"/>
            <w:bookmarkStart w:id="89" w:name="_Toc173505905"/>
            <w:bookmarkStart w:id="90" w:name="_Toc200980040"/>
            <w:bookmarkStart w:id="91" w:name="_Toc173505904_Копия_1"/>
            <w:bookmarkStart w:id="92" w:name="_Toc173505767_Копия_1"/>
            <w:bookmarkStart w:id="93" w:name="_Toc125378708_Копия_1"/>
            <w:bookmarkStart w:id="94" w:name="_Toc200980039_Копия_1"/>
            <w:bookmarkStart w:id="95" w:name="_Toc125378709"/>
            <w:bookmarkStart w:id="96" w:name="_Toc173505768"/>
            <w:bookmarkStart w:id="97" w:name="_Toc173505905"/>
            <w:bookmarkStart w:id="98" w:name="_Toc20098004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  <w:bookmarkStart w:id="99" w:name="_Toc125378709_Копия_1"/>
            <w:bookmarkStart w:id="100" w:name="_Toc173505768_Копия_1"/>
            <w:bookmarkStart w:id="101" w:name="_Toc173505905_Копия_1"/>
            <w:bookmarkStart w:id="102" w:name="_Toc200980040_Копия_1"/>
            <w:bookmarkStart w:id="103" w:name="_Toc173505909"/>
            <w:bookmarkStart w:id="104" w:name="_Toc173505772"/>
            <w:bookmarkStart w:id="105" w:name="_Toc125378713"/>
            <w:bookmarkStart w:id="106" w:name="_Toc200980042"/>
            <w:bookmarkStart w:id="107" w:name="_Toc125378709_Копия_1"/>
            <w:bookmarkStart w:id="108" w:name="_Toc173505768_Копия_1"/>
            <w:bookmarkStart w:id="109" w:name="_Toc173505905_Копия_1"/>
            <w:bookmarkStart w:id="110" w:name="_Toc200980040_Копия_1"/>
            <w:bookmarkStart w:id="111" w:name="_Toc173505909"/>
            <w:bookmarkStart w:id="112" w:name="_Toc173505772"/>
            <w:bookmarkStart w:id="113" w:name="_Toc125378713"/>
            <w:bookmarkStart w:id="114" w:name="_Toc200980042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  <w:bookmarkStart w:id="115" w:name="_Toc173505909_Копия_1"/>
            <w:bookmarkStart w:id="116" w:name="_Toc173505772_Копия_1"/>
            <w:bookmarkStart w:id="117" w:name="_Toc125378713_Копия_1"/>
            <w:bookmarkStart w:id="118" w:name="_Toc200980042_Копия_1"/>
            <w:bookmarkStart w:id="119" w:name="_Toc173505909_Копия_1"/>
            <w:bookmarkStart w:id="120" w:name="_Toc173505772_Копия_1"/>
            <w:bookmarkStart w:id="121" w:name="_Toc125378713_Копия_1"/>
            <w:bookmarkStart w:id="122" w:name="_Toc200980042_Копия_1"/>
            <w:bookmarkEnd w:id="119"/>
            <w:bookmarkEnd w:id="120"/>
            <w:bookmarkEnd w:id="121"/>
            <w:bookmarkEnd w:id="122"/>
          </w:p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74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3329" w:type="dxa"/>
            <w:vMerge w:val="continue"/>
            <w:tcBorders/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67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Порядок оказания услуг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120" w:after="12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Перевозка транспортных средств по маршруту Московская область, пгт Богородское — пгт Серебряный Бор Нерюнгринского района Республики Саха (Якутия) должна осуществляться по предварительной заявке Заказчика в любое время, включая выходные и праздничные дни</w:t>
            </w:r>
            <w:r>
              <w:rPr>
                <w:rFonts w:eastAsia="Calibri" w:cs="Arial" w:ascii="Calibri" w:hAnsi="Calibri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</w:p>
        </w:tc>
        <w:tc>
          <w:tcPr>
            <w:tcW w:w="3329" w:type="dxa"/>
            <w:vMerge w:val="continue"/>
            <w:tcBorders/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3329" w:type="dxa"/>
            <w:vMerge w:val="continue"/>
            <w:tcBorders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67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Обеспечение целостности и сохранности груза с момента приема к отправке до вручения грузополучателю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несёт полную материальную ответственность перед Заказчиком за сохранность, порчу, утрату груза во время всего периода перевозки, с момента передачи груза Исполнителю до момента передачи груза грузополучателю в месте доставки</w:t>
            </w:r>
          </w:p>
        </w:tc>
        <w:tc>
          <w:tcPr>
            <w:tcW w:w="3329" w:type="dxa"/>
            <w:vMerge w:val="continue"/>
            <w:tcBorders/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67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Погрузо-разгрузочные работы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заборе груза по адресу Заказчика, погрузка производятся силами Исполнителя. При доставке груза по адресу Заказчика выгрузка груза производятся силами Исполнителя. При необходимости осуществления межтерминальной перевозки, погрузка и выгрузка груза производятся силами и за счет Исполнителя.</w:t>
            </w:r>
          </w:p>
        </w:tc>
        <w:tc>
          <w:tcPr>
            <w:tcW w:w="3329" w:type="dxa"/>
            <w:vMerge w:val="continue"/>
            <w:tcBorders/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670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Сопроводительная документация</w:t>
            </w:r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оформление разрешительной документации, транспортно-сопроводительных документов на перевозку технических средств по маршруту, указанному в таблице № 2 ТТ</w:t>
            </w:r>
          </w:p>
        </w:tc>
        <w:tc>
          <w:tcPr>
            <w:tcW w:w="3329" w:type="dxa"/>
            <w:vMerge w:val="continue"/>
            <w:tcBorders/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6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Складское хранение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необходимости Исполнитель должен обеспечить согласованное хранение груза на своих складах и/или складах партнеров Исполнителя по направлению (маршруту) перевозки</w:t>
            </w:r>
          </w:p>
        </w:tc>
        <w:tc>
          <w:tcPr>
            <w:tcW w:w="3329" w:type="dxa"/>
            <w:vMerge w:val="continue"/>
            <w:tcBorders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67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Контроль местонахождения груза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обеспечивать диспетчерский контроль за доставкой груза, при возникновении нештатной ситуации, немедленно принять меры для устранения факторов способных повлиять на не своевременную доставку груза в пункт назначения, незамедлительно информировать Заказчика обо всех случаях задержки транспортных средств, которые повлекли или могут повлечь за собой нарушение срока доставки груза, или на обеспечение его сохранности.</w:t>
            </w:r>
          </w:p>
        </w:tc>
        <w:tc>
          <w:tcPr>
            <w:tcW w:w="3329" w:type="dxa"/>
            <w:vMerge w:val="continue"/>
            <w:tcBorders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3329" w:type="dxa"/>
            <w:vMerge w:val="continue"/>
            <w:tcBorders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3329" w:type="dxa"/>
            <w:vMerge w:val="continue"/>
            <w:tcBorders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6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 результатам оказанных услуг</w:t>
            </w:r>
          </w:p>
        </w:tc>
        <w:tc>
          <w:tcPr>
            <w:tcW w:w="3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 –приемки оказанных услуг/УПД в двух экземплярах</w:t>
            </w:r>
          </w:p>
        </w:tc>
        <w:tc>
          <w:tcPr>
            <w:tcW w:w="3329" w:type="dxa"/>
            <w:vMerge w:val="continue"/>
            <w:tcBorders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607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3329" w:type="dxa"/>
            <w:vMerge w:val="continue"/>
            <w:tcBorders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b w:val="false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37" w:hRule="atLeast"/>
        </w:trPr>
        <w:tc>
          <w:tcPr>
            <w:tcW w:w="676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67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</w:rPr>
            </w:pPr>
            <w:bookmarkStart w:id="123" w:name="_Toc173505908"/>
            <w:bookmarkStart w:id="124" w:name="_Toc173505771"/>
            <w:bookmarkStart w:id="125" w:name="_Toc125378712"/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при выполнении работ норм и правил нормативно-правовых актов, регулирующих перевозку грузов соответствующим видом транспорта</w:t>
            </w:r>
            <w:bookmarkEnd w:id="123"/>
            <w:bookmarkEnd w:id="124"/>
            <w:bookmarkEnd w:id="125"/>
          </w:p>
        </w:tc>
        <w:tc>
          <w:tcPr>
            <w:tcW w:w="340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Услуги должны осуществляться в соответствии с нормативно-правовыми актами, регламентирующими правила перевозки грузов конкретным видом транспорта: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Приказ Минтруда России от 28.10.2020 N 753н «Об утверждении Правил по охране труда при погрузочно-разгрузочных работах и размещении грузов»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Федеральный закон от 10.12.1995 N 196-ФЗ «О безопасности дорожного движения»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3" w:leader="none"/>
                <w:tab w:val="left" w:pos="335" w:leader="none"/>
              </w:tabs>
              <w:suppressAutoHyphens w:val="true"/>
              <w:spacing w:before="60" w:after="60"/>
              <w:jc w:val="both"/>
              <w:rPr/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- Постановление Правительства РФ от 21.12.2020 N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</w:t>
            </w:r>
          </w:p>
        </w:tc>
        <w:tc>
          <w:tcPr>
            <w:tcW w:w="3329" w:type="dxa"/>
            <w:vMerge w:val="continue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center" w:pos="7356" w:leader="none"/>
        </w:tabs>
        <w:rPr/>
      </w:pPr>
      <w:r>
        <w:rPr/>
        <w:tab/>
      </w:r>
    </w:p>
    <w:p>
      <w:pPr>
        <w:pStyle w:val="Normal"/>
        <w:ind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3.</w:t>
        <w:tab/>
        <w:t xml:space="preserve">Требования к документации по ценообразованию на этапе закупки </w:t>
      </w:r>
    </w:p>
    <w:p>
      <w:pPr>
        <w:pStyle w:val="Normal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3.1.</w:t>
      </w:r>
      <w:r>
        <w:rPr>
          <w:sz w:val="24"/>
          <w:szCs w:val="24"/>
        </w:rPr>
        <w:tab/>
        <w:t xml:space="preserve">В обосновании стоимости своей заявки Участник предоставляет Коммерческое предложение по форме (с учетом прилагаемой к ней продукции по заполнению), приведенной в Документации о закупке. </w:t>
      </w:r>
    </w:p>
    <w:p>
      <w:pPr>
        <w:pStyle w:val="Normal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3.2.</w:t>
      </w:r>
      <w:r>
        <w:rPr>
          <w:sz w:val="24"/>
          <w:szCs w:val="24"/>
        </w:rPr>
        <w:tab/>
        <w:t xml:space="preserve">Дополнительные документы по ценообразованию в состав заявки не включаются. 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Руководитель ГКЭО И РТС ___________________ А.Н. Пышкин</w:t>
      </w:r>
    </w:p>
    <w:p>
      <w:pPr>
        <w:pStyle w:val="ListParagraph"/>
        <w:ind w:left="0" w:hanging="0"/>
        <w:rPr>
          <w:rFonts w:ascii="Times New Roman" w:hAnsi="Times New Roman" w:eastAsia="Times New Roman" w:cs="Times New Roman"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 xml:space="preserve">                                                                                    </w:t>
      </w:r>
    </w:p>
    <w:sectPr>
      <w:headerReference w:type="default" r:id="rId5"/>
      <w:headerReference w:type="first" r:id="rId6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2693"/>
        </w:tabs>
        <w:ind w:left="3479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/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76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1508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012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516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3020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3524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4028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4604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13e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ce5fde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" w:customStyle="1">
    <w:name w:val="index heading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880d13"/>
    <w:pPr>
      <w:tabs>
        <w:tab w:val="clear" w:pos="708"/>
        <w:tab w:val="left" w:pos="1120" w:leader="none"/>
        <w:tab w:val="right" w:pos="9911" w:leader="dot"/>
      </w:tabs>
      <w:ind w:left="709" w:hanging="142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Default" w:customStyle="1">
    <w:name w:val="Default"/>
    <w:qFormat/>
    <w:rsid w:val="000f3d81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ru-RU" w:eastAsia="ru-RU" w:bidi="ar-SA"/>
    </w:rPr>
  </w:style>
  <w:style w:type="paragraph" w:styleId="Style33" w:customStyle="1">
    <w:name w:val="[РГ] Текст"/>
    <w:basedOn w:val="Normal"/>
    <w:qFormat/>
    <w:rsid w:val="009651eb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1C68B-3E2B-45BF-B07E-5F9BF5E19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2248</TotalTime>
  <Application>AlterOffice/3.4.0.9$Linux_X86_64 LibreOffice_project/b8daf9e823b1a5463a2f48435ddc2e8696e7d4fc</Application>
  <AppVersion>15.0000</AppVersion>
  <Pages>7</Pages>
  <Words>1068</Words>
  <Characters>7546</Characters>
  <CharactersWithSpaces>8575</CharactersWithSpaces>
  <Paragraphs>151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2025-06-10T09:41:00Z</dcterms:created>
  <dc:creator>Быстров Олег Геннадьевич</dc:creator>
  <dc:description/>
  <dc:language>ru-RU</dc:language>
  <cp:lastModifiedBy>tolpyginanv@corp.gidroogk.com</cp:lastModifiedBy>
  <cp:lastPrinted>2026-03-20T01:51:00Z</cp:lastPrinted>
  <dcterms:modified xsi:type="dcterms:W3CDTF">2026-09-18T11:01:09Z</dcterms:modified>
  <cp:revision>52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