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jc w:val="right"/>
        <w:rPr>
          <w:b w:val="false"/>
          <w:bCs w:val="false"/>
          <w:sz w:val="20"/>
          <w:szCs w:val="20"/>
        </w:rPr>
      </w:pPr>
      <w:r>
        <w:rPr>
          <w:b w:val="false"/>
          <w:bCs w:val="false"/>
          <w:sz w:val="20"/>
          <w:szCs w:val="20"/>
        </w:rPr>
        <w:t>Приложение №2 к Запросу технико-коммерческих предложений</w:t>
      </w:r>
    </w:p>
    <w:p>
      <w:pPr>
        <w:pStyle w:val="Normal"/>
        <w:shd w:val="clear" w:color="auto" w:fill="FFFFFF"/>
        <w:tabs>
          <w:tab w:val="clear" w:pos="709"/>
          <w:tab w:val="left" w:pos="6926" w:leader="none"/>
        </w:tabs>
        <w:jc w:val="center"/>
        <w:rPr>
          <w:b/>
          <w:sz w:val="24"/>
          <w:szCs w:val="24"/>
        </w:rPr>
      </w:pPr>
      <w:r>
        <w:rPr>
          <w:b/>
          <w:sz w:val="24"/>
          <w:szCs w:val="24"/>
        </w:rPr>
      </w:r>
    </w:p>
    <w:p>
      <w:pPr>
        <w:pStyle w:val="Normal"/>
        <w:shd w:val="clear" w:color="auto" w:fill="FFFFFF"/>
        <w:tabs>
          <w:tab w:val="clear" w:pos="709"/>
          <w:tab w:val="left" w:pos="6926" w:leader="none"/>
        </w:tabs>
        <w:jc w:val="center"/>
        <w:rPr>
          <w:b/>
          <w:sz w:val="24"/>
          <w:szCs w:val="24"/>
        </w:rPr>
      </w:pPr>
      <w:r>
        <w:rPr>
          <w:b/>
          <w:bCs/>
          <w:sz w:val="24"/>
          <w:szCs w:val="24"/>
        </w:rPr>
        <w:t xml:space="preserve">Договор поставки  № </w:t>
      </w:r>
    </w:p>
    <w:p>
      <w:pPr>
        <w:pStyle w:val="Normal"/>
        <w:shd w:val="clear" w:color="auto" w:fill="FFFFFF"/>
        <w:tabs>
          <w:tab w:val="clear" w:pos="709"/>
          <w:tab w:val="right" w:pos="9639" w:leader="none"/>
        </w:tabs>
        <w:jc w:val="right"/>
        <w:rPr>
          <w:bCs/>
          <w:sz w:val="24"/>
          <w:szCs w:val="24"/>
        </w:rPr>
      </w:pPr>
      <w:r>
        <w:rPr>
          <w:bCs/>
          <w:sz w:val="24"/>
          <w:szCs w:val="24"/>
        </w:rPr>
        <w:t>г. Пермь</w:t>
        <w:tab/>
        <w:t xml:space="preserve">   «___» _________ 2026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rFonts w:ascii="Times New Roman" w:hAnsi="Times New Roman" w:eastAsia="Times New Roman" w:cs="Times New Roman"/>
          <w:bCs/>
          <w:color w:val="auto"/>
          <w:kern w:val="0"/>
          <w:sz w:val="24"/>
          <w:szCs w:val="24"/>
          <w:lang w:val="ru-RU" w:eastAsia="ru-RU" w:bidi="ar-SA"/>
        </w:rPr>
      </w:pPr>
      <w:r>
        <w:rPr>
          <w:rFonts w:eastAsia="Times New Roman" w:cs="Times New Roman"/>
          <w:b/>
          <w:bCs/>
          <w:color w:val="auto"/>
          <w:kern w:val="0"/>
          <w:sz w:val="24"/>
          <w:szCs w:val="24"/>
          <w:lang w:val="ru-RU" w:eastAsia="ru-RU" w:bidi="ar-SA"/>
        </w:rPr>
        <w:t>Публичное акционерное общество «Федеральная гидрогенерирующая компания – РусГидро» (ПАО «РусГидро»)</w:t>
      </w:r>
      <w:r>
        <w:rPr>
          <w:rFonts w:eastAsia="Times New Roman" w:cs="Times New Roman"/>
          <w:bCs/>
          <w:color w:val="auto"/>
          <w:kern w:val="0"/>
          <w:sz w:val="24"/>
          <w:szCs w:val="24"/>
          <w:lang w:val="ru-RU" w:eastAsia="ru-RU" w:bidi="ar-SA"/>
        </w:rPr>
        <w:t xml:space="preserve"> (далее – «Покупатель»), в лице директора филиала ПАО «РусГидро»-«Камская ГЭС» Двинянинова Сергея Валерьевича, действующего на основании</w:t>
      </w:r>
    </w:p>
    <w:p>
      <w:pPr>
        <w:pStyle w:val="Normal"/>
        <w:ind w:hanging="0"/>
        <w:jc w:val="both"/>
        <w:rPr>
          <w:spacing w:val="10"/>
          <w:sz w:val="24"/>
          <w:szCs w:val="24"/>
        </w:rPr>
      </w:pPr>
      <w:r>
        <w:rPr>
          <w:spacing w:val="4"/>
          <w:sz w:val="24"/>
          <w:szCs w:val="24"/>
        </w:rPr>
        <w:t>машиночитаемой доверенности № e726d06c-82be-48e9-afe4-44d2ab33baf5 от 23.01.2025 , с одной стороны, и</w:t>
      </w:r>
      <w:r>
        <w:rPr>
          <w:spacing w:val="10"/>
          <w:sz w:val="24"/>
          <w:szCs w:val="24"/>
        </w:rPr>
        <w:t xml:space="preserve"> </w:t>
      </w:r>
    </w:p>
    <w:p>
      <w:pPr>
        <w:pStyle w:val="Normal"/>
        <w:ind w:firstLine="709"/>
        <w:jc w:val="both"/>
        <w:rPr>
          <w:sz w:val="24"/>
          <w:szCs w:val="24"/>
        </w:rPr>
      </w:pPr>
      <w:r>
        <w:rPr>
          <w:b/>
          <w:bCs/>
          <w:spacing w:val="10"/>
          <w:sz w:val="24"/>
          <w:szCs w:val="24"/>
        </w:rPr>
        <w:t xml:space="preserve">____________________________________________________________________ </w:t>
      </w:r>
      <w:r>
        <w:rPr>
          <w:bCs/>
          <w:sz w:val="24"/>
          <w:szCs w:val="24"/>
        </w:rPr>
        <w:t xml:space="preserve"> </w:t>
      </w:r>
      <w:r>
        <w:rPr>
          <w:sz w:val="24"/>
          <w:szCs w:val="24"/>
        </w:rPr>
        <w:t xml:space="preserve">(далее – «Поставщик»), в лице ___________________________________________, действующего на основании _____________________________,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Normal"/>
        <w:numPr>
          <w:ilvl w:val="0"/>
        </w:numPr>
        <w:suppressAutoHyphens w:val="false"/>
        <w:spacing w:lineRule="auto" w:line="240" w:before="0" w:after="0"/>
        <w:ind w:firstLine="567"/>
        <w:jc w:val="both"/>
        <w:rPr>
          <w:rFonts w:ascii="Times New Roman" w:hAnsi="Times New Roman" w:eastAsia="Times New Roman" w:cs="Times New Roman"/>
          <w:b/>
          <w:sz w:val="28"/>
          <w:szCs w:val="28"/>
          <w:lang w:eastAsia="ru-RU"/>
        </w:rPr>
      </w:pPr>
      <w:r>
        <w:rPr>
          <w:rFonts w:eastAsia="Times New Roman" w:cs="Times New Roman"/>
          <w:b/>
          <w:color w:val="auto"/>
          <w:kern w:val="0"/>
          <w:sz w:val="24"/>
          <w:szCs w:val="24"/>
          <w:lang w:val="ru-RU" w:eastAsia="en-US" w:bidi="ar-SA"/>
        </w:rPr>
        <w:t xml:space="preserve">«Универсальный передаточный документ (УПД)» </w:t>
      </w:r>
      <w:r>
        <w:rPr>
          <w:rFonts w:eastAsia="Times New Roman" w:cs="Times New Roman"/>
          <w:color w:val="auto"/>
          <w:kern w:val="0"/>
          <w:sz w:val="24"/>
          <w:szCs w:val="24"/>
          <w:lang w:val="ru-RU" w:eastAsia="en-US" w:bidi="ar-SA"/>
        </w:rPr>
        <w:t xml:space="preserve">– форма документа, рекомендованная для применения письмом ФНС России от 21.10.2013 </w:t>
        <w:br/>
        <w:t xml:space="preserve">№ ММВ-20-3/96@ (объединяет реквизиты </w:t>
      </w:r>
      <w:hyperlink r:id="rId2">
        <w:r>
          <w:rPr>
            <w:rStyle w:val="Hyperlink"/>
            <w:rFonts w:eastAsia="Times New Roman" w:cs="Times New Roman"/>
            <w:color w:val="auto"/>
            <w:kern w:val="0"/>
            <w:sz w:val="24"/>
            <w:szCs w:val="24"/>
            <w:u w:val="none"/>
            <w:lang w:val="ru-RU" w:eastAsia="en-US" w:bidi="ar-SA"/>
          </w:rPr>
          <w:t>счета-фактуры</w:t>
        </w:r>
      </w:hyperlink>
      <w:r>
        <w:rPr>
          <w:rFonts w:eastAsia="Times New Roman" w:cs="Times New Roman"/>
          <w:color w:val="auto"/>
          <w:kern w:val="0"/>
          <w:sz w:val="24"/>
          <w:szCs w:val="24"/>
          <w:u w:val="none"/>
          <w:lang w:val="ru-RU" w:eastAsia="en-US" w:bidi="ar-SA"/>
        </w:rPr>
        <w:t xml:space="preserve"> и </w:t>
      </w:r>
      <w:hyperlink r:id="rId3">
        <w:r>
          <w:rPr>
            <w:rStyle w:val="Hyperlink"/>
            <w:rFonts w:eastAsia="Times New Roman" w:cs="Times New Roman"/>
            <w:color w:val="auto"/>
            <w:kern w:val="0"/>
            <w:sz w:val="24"/>
            <w:szCs w:val="24"/>
            <w:u w:val="none"/>
            <w:lang w:val="ru-RU" w:eastAsia="en-US" w:bidi="ar-SA"/>
          </w:rPr>
          <w:t>первичного документа</w:t>
        </w:r>
      </w:hyperlink>
      <w:r>
        <w:rPr>
          <w:rFonts w:eastAsia="Times New Roman" w:cs="Times New Roman"/>
          <w:color w:val="auto"/>
          <w:kern w:val="0"/>
          <w:sz w:val="24"/>
          <w:szCs w:val="24"/>
          <w:lang w:val="ru-RU" w:eastAsia="en-US" w:bidi="ar-SA"/>
        </w:rPr>
        <w:t xml:space="preserve"> о передаче товаров, работ, услуг).</w:t>
      </w:r>
    </w:p>
    <w:p>
      <w:pPr>
        <w:pStyle w:val="ListParagraph"/>
        <w:shd w:val="clear" w:color="auto" w:fill="FFFFFF"/>
        <w:tabs>
          <w:tab w:val="clear" w:pos="709"/>
          <w:tab w:val="left" w:pos="0" w:leader="none"/>
        </w:tabs>
        <w:overflowPunct w:val="false"/>
        <w:ind w:firstLine="709" w:left="0"/>
        <w:jc w:val="both"/>
        <w:textAlignment w:val="baseline"/>
        <w:rPr>
          <w:b/>
          <w:sz w:val="24"/>
          <w:szCs w:val="24"/>
          <w:lang w:eastAsia="en-US"/>
        </w:rPr>
      </w:pPr>
      <w:r>
        <w:rPr>
          <w:rFonts w:eastAsia="Times New Roman" w:cs="Times New Roman"/>
          <w:b/>
          <w:bCs/>
          <w:color w:val="auto"/>
          <w:kern w:val="0"/>
          <w:sz w:val="24"/>
          <w:szCs w:val="24"/>
          <w:lang w:val="ru-RU" w:eastAsia="en-US" w:bidi="ar-SA"/>
        </w:rPr>
        <w:t>«Национальный режим»</w:t>
      </w:r>
      <w:r>
        <w:rPr>
          <w:rFonts w:eastAsia="Times New Roman" w:cs="Times New Roman"/>
          <w:bCs/>
          <w:color w:val="auto"/>
          <w:kern w:val="0"/>
          <w:sz w:val="24"/>
          <w:szCs w:val="24"/>
          <w:lang w:val="ru-RU" w:eastAsia="en-US" w:bidi="ar-SA"/>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r>
        <w:rPr>
          <w:rFonts w:eastAsia="Times New Roman" w:cs="Times New Roman"/>
          <w:b/>
          <w:color w:val="auto"/>
          <w:kern w:val="0"/>
          <w:sz w:val="24"/>
          <w:szCs w:val="24"/>
          <w:lang w:val="ru-RU" w:eastAsia="en-US" w:bidi="ar-SA"/>
        </w:rPr>
        <w:t xml:space="preserve"> </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Normal"/>
        <w:jc w:val="both"/>
        <w:rPr>
          <w:sz w:val="24"/>
          <w:szCs w:val="24"/>
          <w:lang w:eastAsia="en-US"/>
        </w:rPr>
      </w:pPr>
      <w:r>
        <w:rPr>
          <w:b/>
          <w:sz w:val="24"/>
          <w:szCs w:val="24"/>
          <w:lang w:eastAsia="en-US"/>
        </w:rPr>
        <w:t xml:space="preserve">            </w:t>
      </w:r>
      <w:r>
        <w:rPr>
          <w:b/>
          <w:sz w:val="24"/>
          <w:szCs w:val="24"/>
          <w:lang w:eastAsia="en-US"/>
        </w:rPr>
        <w:t>«Применимое право»</w:t>
      </w:r>
      <w:r>
        <w:rPr>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 xml:space="preserve"> </w:t>
      </w: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rFonts w:eastAsia="Times New Roman" w:cs="Times New Roman"/>
          <w:bCs/>
          <w:sz w:val="24"/>
          <w:szCs w:val="24"/>
          <w:lang w:eastAsia="ru-RU"/>
        </w:rPr>
        <w:t>Поставщик обязуется в порядке и сроки, установленные Договором, п</w:t>
      </w:r>
      <w:hyperlink r:id="rId4">
        <w:r>
          <w:rPr>
            <w:rStyle w:val="Hyperlink"/>
            <w:rFonts w:eastAsia="Times New Roman" w:cs="Times New Roman"/>
            <w:b w:val="false"/>
            <w:bCs w:val="false"/>
            <w:color w:val="auto"/>
            <w:sz w:val="26"/>
            <w:szCs w:val="26"/>
            <w:u w:val="none"/>
            <w:lang w:eastAsia="ru-RU"/>
          </w:rPr>
          <w:t>оставить мебель для нужд филиала ПАО "РусГидро"-"Камская ГЭС"</w:t>
        </w:r>
      </w:hyperlink>
      <w:r>
        <w:rPr>
          <w:rFonts w:eastAsia="Times New Roman" w:cs="Times New Roman"/>
          <w:bCs/>
          <w:color w:val="auto"/>
          <w:kern w:val="0"/>
          <w:sz w:val="24"/>
          <w:szCs w:val="24"/>
          <w:lang w:val="ru-RU" w:eastAsia="ru-RU" w:bidi="ar-SA"/>
        </w:rPr>
        <w:t xml:space="preserve"> </w:t>
      </w:r>
      <w:r>
        <w:rPr>
          <w:rFonts w:eastAsia="Times New Roman" w:cs="Times New Roman"/>
          <w:bCs/>
          <w:sz w:val="24"/>
          <w:szCs w:val="24"/>
          <w:lang w:eastAsia="ru-RU"/>
        </w:rPr>
        <w:t>(далее – «Товар») в соответствии со Спецификацией (Приложение № 1 к Договору), а Покупатель обязуется принять Товар и уплатить Цену Договора</w:t>
      </w:r>
      <w:r>
        <w:rPr>
          <w:bCs/>
          <w:sz w:val="24"/>
          <w:szCs w:val="24"/>
        </w:rPr>
        <w:t>.</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филиала ПАО «РусГидро»-«Камская ГЭС».</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Место поставки Товара: </w:t>
      </w:r>
      <w:r>
        <w:rPr>
          <w:sz w:val="24"/>
          <w:szCs w:val="24"/>
        </w:rPr>
        <w:t>г. Пермь, ул. Соликамская, д. 329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Standard"/>
        <w:numPr>
          <w:ilvl w:val="2"/>
          <w:numId w:val="2"/>
        </w:numPr>
        <w:shd w:val="clear" w:color="auto" w:fill="FFFFFF"/>
        <w:tabs>
          <w:tab w:val="clear" w:pos="709"/>
          <w:tab w:val="left" w:pos="0" w:leader="none"/>
          <w:tab w:val="left" w:pos="1134" w:leader="none"/>
          <w:tab w:val="left" w:pos="1418" w:leader="none"/>
        </w:tabs>
        <w:ind w:hanging="930" w:left="1639"/>
        <w:jc w:val="both"/>
        <w:rPr>
          <w:bCs/>
        </w:rPr>
      </w:pPr>
      <w:r>
        <w:rPr>
          <w:bCs/>
        </w:rPr>
        <w:t xml:space="preserve">Начало – </w:t>
      </w:r>
      <w:r>
        <w:rPr>
          <w:rFonts w:ascii="Times New Roman" w:hAnsi="Times New Roman"/>
          <w:bCs/>
        </w:rPr>
        <w:t xml:space="preserve">с даты заключения Договора. </w:t>
      </w:r>
    </w:p>
    <w:p>
      <w:pPr>
        <w:pStyle w:val="Normal"/>
        <w:widowControl w:val="false"/>
        <w:numPr>
          <w:ilvl w:val="0"/>
          <w:numId w:val="0"/>
        </w:numPr>
        <w:tabs>
          <w:tab w:val="clear" w:pos="709"/>
          <w:tab w:val="left" w:pos="1412" w:leader="none"/>
        </w:tabs>
        <w:suppressAutoHyphens w:val="true"/>
        <w:bidi w:val="0"/>
        <w:spacing w:before="0" w:after="0"/>
        <w:ind w:hanging="0" w:left="0" w:right="0"/>
        <w:jc w:val="both"/>
        <w:rPr>
          <w:highlight w:val="none"/>
          <w:shd w:fill="auto" w:val="clear"/>
        </w:rPr>
      </w:pPr>
      <w:r>
        <w:rPr>
          <w:bCs/>
          <w:sz w:val="24"/>
          <w:szCs w:val="24"/>
          <w:shd w:fill="auto" w:val="clear"/>
        </w:rPr>
        <w:t xml:space="preserve">            </w:t>
      </w:r>
      <w:r>
        <w:rPr>
          <w:bCs/>
          <w:sz w:val="24"/>
          <w:szCs w:val="24"/>
          <w:shd w:fill="auto" w:val="clear"/>
        </w:rPr>
        <w:t>1.4.2. Окончание – «30» ноября 2026 года.</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Товар поставляется одной партией в рамках общих сроков, указанных в пункте 1.4 Договора. </w:t>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является  твердой и составляет __________________________________________ (________________________________________) рублей _______ копеек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ListParagraph"/>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производство и / или приобретение Товара;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Авансовый платеж за Товар в размере 30 (тридцати) процентов от стоимости Товара без учета НДС, кроме того НДС по ставке, установленной статьей 164 НК РФ на дату выплаты авансового платежа, выплачивается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пункта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Последующий платеж в размере разницы между стоимостью Товара без учета НДС, кроме того НДС по ставке, установленной статьей 164 НК РФ на дату подписания Сторонами нак</w:t>
      </w:r>
      <w:r>
        <w:rPr>
          <w:sz w:val="24"/>
          <w:szCs w:val="24"/>
          <w:shd w:fill="auto" w:val="clear"/>
        </w:rPr>
        <w:t>ладной ТОРГ-12/УПД, и суммой ранее уплаченного авансового платежа, выплачивается Поставщику в течение 20 (двадцати) календарных дней с даты подписания Сторонами накладной ТОРГ-12/УПД, на основании счета, выставленного Поставщиком, и с учетом пункта 2.4.3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ListParagraph"/>
        <w:numPr>
          <w:ilvl w:val="1"/>
          <w:numId w:val="2"/>
        </w:numPr>
        <w:tabs>
          <w:tab w:val="clear" w:pos="709"/>
          <w:tab w:val="left" w:pos="1134" w:leader="none"/>
        </w:tabs>
        <w:ind w:firstLine="709"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9"/>
          <w:tab w:val="left" w:pos="1134" w:leader="none"/>
        </w:tabs>
        <w:ind w:firstLine="709" w:left="0"/>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9"/>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sz w:val="24"/>
          <w:szCs w:val="24"/>
        </w:rPr>
        <w:t>Поставка Товара осуществляется одной партией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shd w:fill="auto" w:val="clear"/>
        </w:rPr>
        <w:t xml:space="preserve">           </w:t>
      </w:r>
      <w:r>
        <w:rPr>
          <w:bCs/>
          <w:sz w:val="24"/>
          <w:szCs w:val="24"/>
          <w:shd w:fill="auto" w:val="clear"/>
        </w:rPr>
        <w:t xml:space="preserve">Поставщик не вправе производить замену Товара, содержащегося в одном из реестров, предусмотренных Постановлением Правительства РФ от 23.12.2024 № 1875 </w:t>
      </w:r>
      <w:r>
        <w:rPr>
          <w:b w:val="false"/>
          <w:bCs/>
          <w:i w:val="false"/>
          <w:caps w:val="false"/>
          <w:smallCaps w:val="false"/>
          <w:color w:val="000000"/>
          <w:spacing w:val="0"/>
          <w:sz w:val="24"/>
          <w:szCs w:val="24"/>
          <w:shd w:fill="auto" w:val="clear"/>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Normal"/>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rPr>
      </w:pPr>
      <w:r>
        <w:rPr>
          <w:sz w:val="24"/>
          <w:szCs w:val="24"/>
        </w:rPr>
        <w:t>сертификат качества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технический паспорт на русском языке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инструкция по эксплуатации на русском языке в 2 (двух) экз.;</w:t>
      </w:r>
    </w:p>
    <w:p>
      <w:pPr>
        <w:pStyle w:val="Normal"/>
        <w:numPr>
          <w:ilvl w:val="0"/>
          <w:numId w:val="4"/>
        </w:numPr>
        <w:tabs>
          <w:tab w:val="clear" w:pos="709"/>
          <w:tab w:val="left" w:pos="1418" w:leader="none"/>
        </w:tabs>
        <w:ind w:firstLine="709" w:left="0"/>
        <w:jc w:val="both"/>
        <w:rPr>
          <w:sz w:val="24"/>
          <w:szCs w:val="24"/>
        </w:rPr>
      </w:pPr>
      <w:r>
        <w:rPr>
          <w:sz w:val="24"/>
          <w:szCs w:val="24"/>
        </w:rPr>
        <w:t>упаковочный лист в 2 (двух) экз.;</w:t>
      </w:r>
    </w:p>
    <w:p>
      <w:pPr>
        <w:pStyle w:val="Normal"/>
        <w:numPr>
          <w:ilvl w:val="0"/>
          <w:numId w:val="3"/>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pPr>
        <w:pStyle w:val="Normal"/>
        <w:numPr>
          <w:ilvl w:val="0"/>
          <w:numId w:val="3"/>
        </w:numPr>
        <w:shd w:val="clear" w:color="auto" w:fill="FFFFFF"/>
        <w:tabs>
          <w:tab w:val="clear" w:pos="709"/>
          <w:tab w:val="left" w:pos="1418" w:leader="none"/>
        </w:tabs>
        <w:ind w:firstLine="709" w:left="0"/>
        <w:jc w:val="both"/>
        <w:rPr>
          <w:sz w:val="24"/>
          <w:szCs w:val="24"/>
        </w:rPr>
      </w:pPr>
      <w:r>
        <w:rPr>
          <w:sz w:val="24"/>
          <w:szCs w:val="24"/>
        </w:rPr>
        <w:t>накладная ТОРГ-12 в 2 (двух) экз/(УПД).</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9"/>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и перемещение Товара (в том числе </w:t>
        <w:br/>
        <w:t xml:space="preserve">по территории Покупателя)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стоимость Товара.</w:t>
      </w:r>
    </w:p>
    <w:p>
      <w:pPr>
        <w:pStyle w:val="ListParagraph"/>
        <w:widowContro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1" w:name="_Ref361396594"/>
      <w:r>
        <w:rPr>
          <w:sz w:val="24"/>
          <w:szCs w:val="24"/>
        </w:rPr>
        <w:t xml:space="preserve">Датой поставки Товара является дата подписания Сторонами накладной </w:t>
        <w:br/>
        <w:t>ТОРГ-12/(УПД).</w:t>
      </w:r>
      <w:bookmarkEnd w:id="1"/>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firstLine="709" w:left="0"/>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замечаний Покупатель подписывает накладную ТОРГ-12/(УПД).</w:t>
      </w:r>
    </w:p>
    <w:p>
      <w:pPr>
        <w:pStyle w:val="Normal"/>
        <w:numPr>
          <w:ilvl w:val="1"/>
          <w:numId w:val="2"/>
        </w:numPr>
        <w:shd w:val="clear" w:color="auto" w:fill="FFFFFF"/>
        <w:tabs>
          <w:tab w:val="clear" w:pos="709"/>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Товара.</w:t>
      </w:r>
    </w:p>
    <w:p>
      <w:pPr>
        <w:pStyle w:val="Normal"/>
        <w:numPr>
          <w:ilvl w:val="1"/>
          <w:numId w:val="2"/>
        </w:numPr>
        <w:shd w:val="clear" w:color="auto" w:fill="FFFFFF"/>
        <w:tabs>
          <w:tab w:val="clear" w:pos="709"/>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shd w:val="clear" w:color="auto" w:fill="FFFFFF"/>
        <w:ind w:firstLine="709"/>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hanging="357" w:left="357"/>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12 (двенадцать)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rPr/>
      </w:pPr>
      <w:r>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Покупатель не несет ответственности за ненадлежащее исполнение обязательств </w:t>
        <w:br/>
        <w:t>по внесению предварительной оплаты (аванса). В случае нарушения Покупателем срока выплаты авансового платежа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134"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w:t>
      </w:r>
      <w:r>
        <w:rPr>
          <w:rFonts w:eastAsia="Calibri"/>
          <w:bCs/>
          <w:sz w:val="24"/>
          <w:szCs w:val="24"/>
        </w:rPr>
        <w:t xml:space="preserve">еустойки в размере 0,1 (ноль целых и одна десятая) </w:t>
      </w:r>
      <w:r>
        <w:rPr>
          <w:bCs/>
          <w:sz w:val="24"/>
          <w:szCs w:val="24"/>
        </w:rPr>
        <w:t>процента от Цены</w:t>
      </w:r>
      <w:r>
        <w:rPr>
          <w:rFonts w:eastAsia="Calibri"/>
          <w:bCs/>
          <w:sz w:val="24"/>
          <w:szCs w:val="24"/>
        </w:rPr>
        <w:t xml:space="preserve"> Договора</w:t>
      </w:r>
      <w:r>
        <w:rPr>
          <w:bCs/>
          <w:sz w:val="24"/>
          <w:szCs w:val="24"/>
        </w:rPr>
        <w:t xml:space="preserve"> за каждый день просрочки.</w:t>
      </w:r>
    </w:p>
    <w:p>
      <w:pPr>
        <w:pStyle w:val="Normal"/>
        <w:widowControl/>
        <w:numPr>
          <w:ilvl w:val="1"/>
          <w:numId w:val="2"/>
        </w:numPr>
        <w:tabs>
          <w:tab w:val="clear" w:pos="709"/>
          <w:tab w:val="left" w:pos="1134" w:leader="none"/>
        </w:tabs>
        <w:ind w:firstLine="709" w:left="0"/>
        <w:jc w:val="both"/>
        <w:rPr>
          <w:bCs/>
          <w:sz w:val="24"/>
          <w:szCs w:val="24"/>
        </w:rPr>
      </w:pPr>
      <w:r>
        <w:rPr>
          <w:rFonts w:eastAsia="Calibri"/>
          <w:bCs/>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2"/>
        </w:numPr>
        <w:tabs>
          <w:tab w:val="clear" w:pos="709"/>
          <w:tab w:val="left" w:pos="1418" w:leader="none"/>
          <w:tab w:val="left" w:pos="1701" w:leader="none"/>
          <w:tab w:val="left" w:pos="1985" w:leader="none"/>
        </w:tabs>
        <w:ind w:firstLine="709" w:left="0"/>
        <w:jc w:val="both"/>
        <w:rPr>
          <w:bCs/>
          <w:sz w:val="24"/>
          <w:szCs w:val="24"/>
        </w:rPr>
      </w:pP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Цены Договора за каждый день просрочки – в случае несвоевременного устранения недостатков, влияющих на возможность эксплуатации (использования) Товара в целом</w:t>
      </w:r>
      <w:r>
        <w:rPr>
          <w:rFonts w:eastAsia="Calibri"/>
          <w:bCs/>
          <w:sz w:val="24"/>
          <w:szCs w:val="24"/>
        </w:rPr>
        <w:t>;</w:t>
      </w:r>
    </w:p>
    <w:p>
      <w:pPr>
        <w:pStyle w:val="ListParagraph"/>
        <w:widowControl/>
        <w:numPr>
          <w:ilvl w:val="2"/>
          <w:numId w:val="2"/>
        </w:numPr>
        <w:tabs>
          <w:tab w:val="clear" w:pos="709"/>
          <w:tab w:val="left" w:pos="1418" w:leader="none"/>
          <w:tab w:val="left" w:pos="1701" w:leader="none"/>
          <w:tab w:val="left" w:pos="1985" w:leader="none"/>
        </w:tabs>
        <w:ind w:firstLine="709" w:left="0"/>
        <w:jc w:val="both"/>
        <w:rPr>
          <w:bCs/>
          <w:sz w:val="24"/>
          <w:szCs w:val="24"/>
        </w:rPr>
      </w:pPr>
      <w:r>
        <w:rPr>
          <w:rFonts w:eastAsia="Calibri"/>
          <w:bCs/>
          <w:sz w:val="24"/>
          <w:szCs w:val="24"/>
        </w:rPr>
        <w:t>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недостатков Товара, не влияющих на возможность эксплуатации (использования) Товара в целом.</w:t>
      </w:r>
    </w:p>
    <w:p>
      <w:pPr>
        <w:pStyle w:val="ListParagraph"/>
        <w:widowControl/>
        <w:numPr>
          <w:ilvl w:val="1"/>
          <w:numId w:val="2"/>
        </w:numPr>
        <w:tabs>
          <w:tab w:val="clear" w:pos="709"/>
          <w:tab w:val="left" w:pos="1134" w:leader="none"/>
          <w:tab w:val="left" w:pos="1701" w:leader="none"/>
        </w:tabs>
        <w:ind w:firstLine="709" w:left="0"/>
        <w:jc w:val="both"/>
        <w:rPr>
          <w:sz w:val="24"/>
          <w:szCs w:val="24"/>
        </w:rPr>
      </w:pPr>
      <w:r>
        <w:rPr>
          <w:rFonts w:eastAsia="Calibri"/>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 (УПД)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НДС, пеней и налоговых санкций, Поставщик обязан компенсировать Покупателю сумму таких расходов. </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       </w:t>
      </w:r>
      <w:r>
        <w:rPr>
          <w:bCs/>
          <w:sz w:val="24"/>
          <w:szCs w:val="24"/>
        </w:rPr>
        <w:t xml:space="preserve">Основанием для компенсации являются решения налоговых органов, вынесенные по итогам проведения мероприятий налогового контроля. </w:t>
      </w:r>
    </w:p>
    <w:p>
      <w:pPr>
        <w:pStyle w:val="ListParagraph"/>
        <w:widowControl/>
        <w:numPr>
          <w:ilvl w:val="0"/>
          <w:numId w:val="0"/>
        </w:numPr>
        <w:shd w:val="clear" w:color="auto" w:fill="FFFFFF"/>
        <w:tabs>
          <w:tab w:val="clear" w:pos="709"/>
          <w:tab w:val="left" w:pos="1134" w:leader="none"/>
        </w:tabs>
        <w:ind w:hanging="0" w:left="0"/>
        <w:jc w:val="both"/>
        <w:rPr>
          <w:bCs/>
          <w:sz w:val="24"/>
          <w:szCs w:val="24"/>
        </w:rPr>
      </w:pPr>
      <w:r>
        <w:rPr>
          <w:bCs/>
          <w:sz w:val="24"/>
          <w:szCs w:val="24"/>
        </w:rPr>
        <w:t xml:space="preserve">       </w:t>
      </w:r>
      <w:r>
        <w:rPr>
          <w:bCs/>
          <w:sz w:val="24"/>
          <w:szCs w:val="24"/>
        </w:rPr>
        <w:t>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134" w:leader="none"/>
        </w:tabs>
        <w:ind w:firstLine="709" w:left="0"/>
        <w:jc w:val="both"/>
        <w:rPr/>
      </w:pPr>
      <w:r>
        <w:rPr>
          <w:bCs/>
          <w:sz w:val="24"/>
          <w:szCs w:val="24"/>
        </w:rPr>
        <w:t>В случае нарушения Поставщиком сроков предоставления счетов-фактур (УПД),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причиненные убытки 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 w:val="left" w:pos="1418"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6.6.7 Договора.</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Споры, указанные в пункте 7.1 Договора, которые не были урегулированы Сторонами путем переговоров, подлежат разрешению в Арбитражном суде Пермского края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Pr>
          <w:bCs/>
          <w:sz w:val="24"/>
          <w:szCs w:val="24"/>
          <w:lang w:val="en-US"/>
        </w:rPr>
        <w:t>3</w:t>
      </w:r>
      <w:r>
        <w:rPr>
          <w:bCs/>
          <w:sz w:val="24"/>
          <w:szCs w:val="24"/>
        </w:rPr>
        <w:t>.</w:t>
      </w:r>
      <w:r>
        <w:rPr>
          <w:bCs/>
          <w:sz w:val="24"/>
          <w:szCs w:val="24"/>
          <w:lang w:val="en-US"/>
        </w:rPr>
        <w:t>6</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9"/>
          <w:tab w:val="left" w:pos="426" w:leader="none"/>
        </w:tabs>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5">
        <w:r>
          <w:rPr>
            <w:bCs/>
            <w:sz w:val="24"/>
            <w:szCs w:val="24"/>
          </w:rPr>
          <w:t>№ 18162/09</w:t>
        </w:r>
      </w:hyperlink>
      <w:r>
        <w:rPr>
          <w:bCs/>
          <w:sz w:val="24"/>
          <w:szCs w:val="24"/>
        </w:rPr>
        <w:t xml:space="preserve"> и от 25.05.2010 </w:t>
      </w:r>
      <w:hyperlink r:id="rId6">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7">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7"/>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9"/>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8"/>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hanging="0"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13.6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6"/>
        </w:numPr>
        <w:tabs>
          <w:tab w:val="clear" w:pos="709"/>
          <w:tab w:val="left" w:pos="0" w:leader="none"/>
          <w:tab w:val="left" w:pos="1418" w:leader="none"/>
        </w:tabs>
        <w:ind w:firstLine="709" w:left="0"/>
        <w:jc w:val="both"/>
        <w:rPr>
          <w:sz w:val="24"/>
          <w:szCs w:val="24"/>
        </w:rPr>
      </w:pPr>
      <w:r>
        <w:rPr>
          <w:sz w:val="24"/>
          <w:szCs w:val="24"/>
        </w:rPr>
        <w:t>установление в ходе исполнения Договора фактов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1134" w:leader="none"/>
        </w:tabs>
        <w:ind w:hanging="0"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pPr>
      <w:r>
        <w:rPr>
          <w:sz w:val="24"/>
          <w:szCs w:val="24"/>
        </w:rPr>
        <w:t>Договор заключается в электронной форме с</w:t>
      </w:r>
      <w:r>
        <w:rPr>
          <w:i/>
          <w:sz w:val="24"/>
          <w:szCs w:val="24"/>
        </w:rPr>
        <w:t xml:space="preserve"> </w:t>
      </w:r>
      <w:r>
        <w:rPr>
          <w:sz w:val="24"/>
          <w:szCs w:val="24"/>
        </w:rPr>
        <w:t xml:space="preserve">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tabs>
          <w:tab w:val="clear" w:pos="709"/>
          <w:tab w:val="left" w:pos="0" w:leader="none"/>
        </w:tabs>
        <w:ind w:firstLine="709"/>
        <w:jc w:val="both"/>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8"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8"/>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Normal"/>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pPr>
        <w:pStyle w:val="Normal"/>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pPr>
        <w:pStyle w:val="ListParagraph"/>
        <w:numPr>
          <w:ilvl w:val="1"/>
          <w:numId w:val="2"/>
        </w:numPr>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before="0" w:after="0"/>
        <w:ind w:hanging="36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9" w:name="sub_1"/>
      <w:r>
        <w:rPr>
          <w:rFonts w:eastAsia="Calibri"/>
          <w:sz w:val="24"/>
          <w:szCs w:val="24"/>
          <w:lang w:eastAsia="en-US"/>
        </w:rPr>
        <w:t>Приложение № 1 – Спецификация.</w:t>
      </w:r>
      <w:bookmarkEnd w:id="9"/>
    </w:p>
    <w:p>
      <w:pPr>
        <w:pStyle w:val="Normal"/>
        <w:ind w:firstLine="709"/>
        <w:jc w:val="both"/>
        <w:rPr>
          <w:bCs/>
          <w:sz w:val="24"/>
          <w:szCs w:val="24"/>
        </w:rPr>
      </w:pPr>
      <w:r>
        <w:rPr>
          <w:bCs/>
          <w:sz w:val="24"/>
          <w:szCs w:val="24"/>
        </w:rPr>
        <w:t xml:space="preserve">Приложение № 2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hanging="0" w:left="0"/>
        <w:rPr>
          <w:b/>
          <w:bCs/>
          <w:sz w:val="24"/>
          <w:szCs w:val="24"/>
        </w:rPr>
      </w:pPr>
      <w:r>
        <w:rPr>
          <w:b/>
          <w:bCs/>
          <w:sz w:val="24"/>
          <w:szCs w:val="24"/>
        </w:rPr>
      </w:r>
    </w:p>
    <w:tbl>
      <w:tblPr>
        <w:tblW w:w="9890"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928"/>
        <w:gridCol w:w="4961"/>
      </w:tblGrid>
      <w:tr>
        <w:trPr/>
        <w:tc>
          <w:tcPr>
            <w:tcW w:w="4928" w:type="dxa"/>
            <w:tcBorders/>
          </w:tcPr>
          <w:p>
            <w:pPr>
              <w:pStyle w:val="Normal"/>
              <w:widowControl w:val="false"/>
              <w:rPr>
                <w:sz w:val="24"/>
                <w:szCs w:val="24"/>
              </w:rPr>
            </w:pPr>
            <w:r>
              <w:rPr>
                <w:sz w:val="24"/>
                <w:szCs w:val="24"/>
              </w:rPr>
              <w:t>ПОКУПАТЕЛЬ:</w:t>
            </w:r>
          </w:p>
        </w:tc>
        <w:tc>
          <w:tcPr>
            <w:tcW w:w="4961" w:type="dxa"/>
            <w:tcBorders/>
          </w:tcPr>
          <w:p>
            <w:pPr>
              <w:pStyle w:val="Normal"/>
              <w:widowControl w:val="false"/>
              <w:rPr>
                <w:sz w:val="24"/>
                <w:szCs w:val="24"/>
              </w:rPr>
            </w:pPr>
            <w:r>
              <w:rPr>
                <w:sz w:val="24"/>
                <w:szCs w:val="24"/>
              </w:rPr>
              <w:t>ПОСТАВЩИК:</w:t>
            </w:r>
          </w:p>
        </w:tc>
      </w:tr>
      <w:tr>
        <w:trPr/>
        <w:tc>
          <w:tcPr>
            <w:tcW w:w="4928" w:type="dxa"/>
            <w:tcBorders/>
            <w:shd w:color="auto" w:fill="BFBFBF" w:val="clear"/>
          </w:tcPr>
          <w:p>
            <w:pPr>
              <w:pStyle w:val="Normal"/>
              <w:widowControl w:val="false"/>
              <w:rPr>
                <w:sz w:val="24"/>
                <w:szCs w:val="24"/>
                <w:highlight w:val="none"/>
                <w:shd w:fill="auto" w:val="clear"/>
              </w:rPr>
            </w:pPr>
            <w:r>
              <w:rPr>
                <w:sz w:val="24"/>
                <w:szCs w:val="24"/>
                <w:shd w:fill="auto" w:val="clear"/>
              </w:rPr>
            </w:r>
          </w:p>
          <w:p>
            <w:pPr>
              <w:pStyle w:val="Normal"/>
              <w:widowControl w:val="false"/>
              <w:rPr/>
            </w:pPr>
            <w:r>
              <w:rPr>
                <w:b/>
                <w:sz w:val="24"/>
                <w:szCs w:val="24"/>
                <w:shd w:fill="auto" w:val="clear"/>
              </w:rPr>
              <w:t>Публичное акционерное общество</w:t>
            </w:r>
          </w:p>
          <w:p>
            <w:pPr>
              <w:pStyle w:val="Normal"/>
              <w:widowControl w:val="false"/>
              <w:rPr/>
            </w:pPr>
            <w:r>
              <w:rPr>
                <w:b/>
                <w:sz w:val="24"/>
                <w:szCs w:val="24"/>
                <w:shd w:fill="auto" w:val="clear"/>
              </w:rPr>
              <w:t>«Федеральная гидрогенерирующая компания - РусГидро» (ПАО «РусГидро»)</w:t>
            </w:r>
          </w:p>
          <w:p>
            <w:pPr>
              <w:pStyle w:val="Normal"/>
              <w:widowControl w:val="false"/>
              <w:rPr>
                <w:sz w:val="24"/>
                <w:szCs w:val="24"/>
                <w:highlight w:val="none"/>
                <w:shd w:fill="auto" w:val="clear"/>
              </w:rPr>
            </w:pPr>
            <w:r>
              <w:rPr>
                <w:sz w:val="24"/>
                <w:szCs w:val="24"/>
                <w:shd w:fill="auto" w:val="clear"/>
              </w:rPr>
            </w:r>
          </w:p>
          <w:p>
            <w:pPr>
              <w:pStyle w:val="Normal"/>
              <w:widowControl w:val="false"/>
              <w:rPr/>
            </w:pPr>
            <w:r>
              <w:rPr>
                <w:sz w:val="24"/>
                <w:szCs w:val="24"/>
                <w:shd w:fill="auto" w:val="clear"/>
              </w:rPr>
              <w:t>Публичное акционерное общество</w:t>
            </w:r>
          </w:p>
          <w:p>
            <w:pPr>
              <w:pStyle w:val="Normal"/>
              <w:widowControl w:val="false"/>
              <w:rPr/>
            </w:pPr>
            <w:r>
              <w:rPr>
                <w:sz w:val="24"/>
                <w:szCs w:val="24"/>
                <w:shd w:fill="auto" w:val="clear"/>
              </w:rPr>
              <w:t>«Федеральная гидрогенерирующая компания - РусГидро» (ПАО «РусГидро»)</w:t>
            </w:r>
          </w:p>
          <w:p>
            <w:pPr>
              <w:pStyle w:val="Normal"/>
              <w:widowControl w:val="false"/>
              <w:rPr/>
            </w:pPr>
            <w:r>
              <w:rPr>
                <w:sz w:val="24"/>
                <w:szCs w:val="24"/>
                <w:shd w:fill="auto" w:val="clear"/>
              </w:rPr>
              <w:t>Местонахождение: 660049, Красноярский край, г.о.  Красноярск, г. Красноярск, ул. Перенсона, зд. 2а, помещ. 1</w:t>
            </w:r>
          </w:p>
          <w:p>
            <w:pPr>
              <w:pStyle w:val="Normal"/>
              <w:widowControl w:val="false"/>
              <w:rPr/>
            </w:pPr>
            <w:r>
              <w:rPr/>
            </w:r>
          </w:p>
          <w:p>
            <w:pPr>
              <w:pStyle w:val="Normal"/>
              <w:widowControl w:val="false"/>
              <w:rPr/>
            </w:pPr>
            <w:r>
              <w:rPr>
                <w:sz w:val="24"/>
                <w:szCs w:val="24"/>
                <w:shd w:fill="auto" w:val="clear"/>
              </w:rPr>
              <w:t>Наименование филиала:</w:t>
            </w:r>
          </w:p>
          <w:p>
            <w:pPr>
              <w:pStyle w:val="Normal"/>
              <w:widowControl w:val="false"/>
              <w:rPr/>
            </w:pPr>
            <w:r>
              <w:rPr>
                <w:sz w:val="24"/>
                <w:szCs w:val="24"/>
                <w:shd w:fill="auto" w:val="clear"/>
              </w:rPr>
              <w:t>Филиал ПАО «РусГидро» - «Камская ГЭС»</w:t>
            </w:r>
          </w:p>
          <w:p>
            <w:pPr>
              <w:pStyle w:val="Normal"/>
              <w:widowControl w:val="false"/>
              <w:rPr/>
            </w:pPr>
            <w:r>
              <w:rPr>
                <w:sz w:val="24"/>
                <w:szCs w:val="24"/>
                <w:shd w:fill="auto" w:val="clear"/>
              </w:rPr>
              <w:t>Местонахождение филиала:</w:t>
            </w:r>
          </w:p>
          <w:p>
            <w:pPr>
              <w:pStyle w:val="Normal"/>
              <w:widowControl w:val="false"/>
              <w:rPr/>
            </w:pPr>
            <w:r>
              <w:rPr>
                <w:sz w:val="24"/>
                <w:szCs w:val="24"/>
                <w:shd w:fill="auto" w:val="clear"/>
              </w:rPr>
              <w:t>г. Пермь, ул. Соликамская, д.329</w:t>
            </w:r>
          </w:p>
          <w:p>
            <w:pPr>
              <w:pStyle w:val="Normal"/>
              <w:widowControl w:val="false"/>
              <w:rPr/>
            </w:pPr>
            <w:r>
              <w:rPr>
                <w:sz w:val="24"/>
                <w:szCs w:val="24"/>
                <w:shd w:fill="auto" w:val="clear"/>
              </w:rPr>
              <w:t>Почтовый адрес филиала:</w:t>
            </w:r>
          </w:p>
          <w:p>
            <w:pPr>
              <w:pStyle w:val="Normal"/>
              <w:widowControl w:val="false"/>
              <w:rPr/>
            </w:pPr>
            <w:r>
              <w:rPr>
                <w:sz w:val="24"/>
                <w:szCs w:val="24"/>
                <w:shd w:fill="auto" w:val="clear"/>
              </w:rPr>
              <w:t>614030, г. Пермь, Камская ГЭС</w:t>
            </w:r>
          </w:p>
          <w:p>
            <w:pPr>
              <w:pStyle w:val="Normal"/>
              <w:widowControl w:val="false"/>
              <w:rPr/>
            </w:pPr>
            <w:r>
              <w:rPr>
                <w:sz w:val="24"/>
                <w:szCs w:val="24"/>
                <w:shd w:fill="auto" w:val="clear"/>
              </w:rPr>
              <w:t>ИНН 2460066195/КПП 590702001</w:t>
            </w:r>
          </w:p>
          <w:p>
            <w:pPr>
              <w:pStyle w:val="Normal"/>
              <w:widowControl w:val="false"/>
              <w:rPr/>
            </w:pPr>
            <w:r>
              <w:rPr>
                <w:sz w:val="24"/>
                <w:szCs w:val="24"/>
                <w:shd w:fill="auto" w:val="clear"/>
              </w:rPr>
              <w:t>Расчетный счет 40702810800000060254</w:t>
            </w:r>
          </w:p>
          <w:p>
            <w:pPr>
              <w:pStyle w:val="Normal"/>
              <w:widowControl w:val="false"/>
              <w:rPr/>
            </w:pPr>
            <w:r>
              <w:rPr>
                <w:sz w:val="24"/>
                <w:szCs w:val="24"/>
                <w:shd w:fill="auto" w:val="clear"/>
              </w:rPr>
              <w:t>Банка ГПБ (АО), г. Москва (ИНН 7744001497,</w:t>
            </w:r>
          </w:p>
          <w:p>
            <w:pPr>
              <w:pStyle w:val="Normal"/>
              <w:widowControl w:val="false"/>
              <w:rPr/>
            </w:pPr>
            <w:r>
              <w:rPr>
                <w:sz w:val="24"/>
                <w:szCs w:val="24"/>
                <w:shd w:fill="auto" w:val="clear"/>
              </w:rPr>
              <w:t>КПП 997950001)</w:t>
            </w:r>
          </w:p>
          <w:p>
            <w:pPr>
              <w:pStyle w:val="Normal"/>
              <w:widowControl w:val="false"/>
              <w:rPr/>
            </w:pPr>
            <w:r>
              <w:rPr>
                <w:sz w:val="24"/>
                <w:szCs w:val="24"/>
                <w:shd w:fill="auto" w:val="clear"/>
              </w:rPr>
              <w:t>К/с 30101810200000000823 в ГУ Банка России по ЦФО</w:t>
            </w:r>
          </w:p>
          <w:p>
            <w:pPr>
              <w:pStyle w:val="Normal"/>
              <w:widowControl w:val="false"/>
              <w:rPr/>
            </w:pPr>
            <w:r>
              <w:rPr>
                <w:sz w:val="24"/>
                <w:szCs w:val="24"/>
                <w:shd w:fill="auto" w:val="clear"/>
              </w:rPr>
              <w:t>БИК 044 525 823</w:t>
            </w:r>
          </w:p>
          <w:p>
            <w:pPr>
              <w:pStyle w:val="Normal"/>
              <w:widowControl w:val="false"/>
              <w:rPr/>
            </w:pPr>
            <w:r>
              <w:rPr>
                <w:sz w:val="24"/>
                <w:szCs w:val="24"/>
                <w:shd w:fill="auto" w:val="clear"/>
              </w:rPr>
              <w:t>ОКПО 83271699</w:t>
            </w:r>
          </w:p>
          <w:p>
            <w:pPr>
              <w:pStyle w:val="Normal"/>
              <w:widowControl w:val="false"/>
              <w:rPr/>
            </w:pPr>
            <w:r>
              <w:rPr>
                <w:sz w:val="24"/>
                <w:szCs w:val="24"/>
                <w:shd w:fill="auto" w:val="clear"/>
              </w:rPr>
              <w:t>ОГРН 1042401810494</w:t>
            </w:r>
          </w:p>
          <w:p>
            <w:pPr>
              <w:pStyle w:val="Normal"/>
              <w:widowControl w:val="false"/>
              <w:rPr/>
            </w:pPr>
            <w:r>
              <w:rPr>
                <w:sz w:val="24"/>
                <w:szCs w:val="24"/>
                <w:shd w:fill="auto" w:val="clear"/>
              </w:rPr>
              <w:t>Тел.: + 7 (342) 274-54-54</w:t>
            </w:r>
          </w:p>
          <w:p>
            <w:pPr>
              <w:pStyle w:val="Normal"/>
              <w:widowControl w:val="false"/>
              <w:rPr>
                <w:bCs/>
                <w:sz w:val="24"/>
                <w:szCs w:val="24"/>
              </w:rPr>
            </w:pPr>
            <w:r>
              <w:rPr>
                <w:bCs/>
                <w:sz w:val="24"/>
                <w:szCs w:val="24"/>
              </w:rPr>
            </w:r>
          </w:p>
        </w:tc>
        <w:tc>
          <w:tcPr>
            <w:tcW w:w="4961" w:type="dxa"/>
            <w:tcBorders/>
            <w:shd w:color="auto" w:fill="BFBFBF" w:val="clear"/>
          </w:tcPr>
          <w:p>
            <w:pPr>
              <w:pStyle w:val="Normal"/>
              <w:widowControl w:val="false"/>
              <w:rPr>
                <w:rFonts w:ascii="Times New Roman" w:hAnsi="Times New Roman" w:eastAsia="Times New Roman" w:cs="Times New Roman"/>
                <w:color w:val="auto"/>
                <w:kern w:val="0"/>
                <w:sz w:val="24"/>
                <w:szCs w:val="24"/>
                <w:shd w:fill="auto" w:val="clear"/>
                <w:lang w:val="ru-RU" w:eastAsia="ru-RU" w:bidi="ar-SA"/>
              </w:rPr>
            </w:pPr>
            <w:r>
              <w:rPr>
                <w:rFonts w:eastAsia="Times New Roman" w:cs="Times New Roman"/>
                <w:color w:val="000000"/>
                <w:kern w:val="0"/>
                <w:sz w:val="24"/>
                <w:szCs w:val="24"/>
                <w:shd w:fill="auto" w:val="clear"/>
                <w:lang w:val="ru-RU" w:eastAsia="ru-RU" w:bidi="ar-SA"/>
              </w:rPr>
            </w:r>
          </w:p>
          <w:p>
            <w:pPr>
              <w:pStyle w:val="Normal"/>
              <w:widowControl w:val="false"/>
              <w:rPr>
                <w:rStyle w:val="Hyperlink"/>
                <w:rFonts w:eastAsia="Times New Roman" w:cs="Times New Roman"/>
                <w:b/>
                <w:bCs/>
                <w:color w:val="000000"/>
                <w:kern w:val="0"/>
                <w:sz w:val="24"/>
                <w:szCs w:val="24"/>
                <w:u w:val="none"/>
                <w:shd w:fill="auto" w:val="clear"/>
                <w:lang w:val="ru-RU" w:eastAsia="ru-RU" w:bidi="ar-SA"/>
              </w:rPr>
            </w:pPr>
            <w:r>
              <w:rPr>
                <w:rFonts w:eastAsia="Times New Roman" w:cs="Times New Roman"/>
                <w:b/>
                <w:bCs/>
                <w:color w:val="000000"/>
                <w:kern w:val="0"/>
                <w:sz w:val="24"/>
                <w:szCs w:val="24"/>
                <w:u w:val="none"/>
                <w:shd w:fill="auto" w:val="clear"/>
                <w:lang w:val="ru-RU" w:eastAsia="ru-RU" w:bidi="ar-SA"/>
              </w:rPr>
            </w:r>
          </w:p>
          <w:p>
            <w:pPr>
              <w:pStyle w:val="Normal"/>
              <w:widowControl w:val="false"/>
              <w:numPr>
                <w:ilvl w:val="0"/>
                <w:numId w:val="0"/>
              </w:numPr>
              <w:ind w:hanging="0" w:left="0"/>
              <w:outlineLvl w:val="0"/>
              <w:rPr>
                <w:rStyle w:val="Hyperlink"/>
                <w:rFonts w:eastAsia="Times New Roman" w:cs="Times New Roman"/>
                <w:color w:val="000000"/>
                <w:kern w:val="0"/>
                <w:sz w:val="24"/>
                <w:szCs w:val="24"/>
                <w:u w:val="none"/>
                <w:shd w:fill="auto" w:val="clear"/>
                <w:lang w:val="ru-RU" w:eastAsia="ru-RU" w:bidi="ar-SA"/>
              </w:rPr>
            </w:pPr>
            <w:r>
              <w:rPr>
                <w:rFonts w:eastAsia="Times New Roman" w:cs="Times New Roman"/>
                <w:color w:val="000000"/>
                <w:kern w:val="0"/>
                <w:sz w:val="24"/>
                <w:szCs w:val="24"/>
                <w:u w:val="none"/>
                <w:shd w:fill="auto" w:val="clear"/>
                <w:lang w:val="ru-RU" w:eastAsia="ru-RU" w:bidi="ar-SA"/>
              </w:rPr>
            </w:r>
          </w:p>
        </w:tc>
      </w:tr>
    </w:tbl>
    <w:p>
      <w:pPr>
        <w:pStyle w:val="Normal"/>
        <w:suppressAutoHyphens w:val="true"/>
        <w:ind w:hanging="0"/>
        <w:jc w:val="left"/>
        <w:rPr>
          <w:b/>
          <w:sz w:val="24"/>
          <w:szCs w:val="24"/>
        </w:rPr>
      </w:pPr>
      <w:r>
        <w:rPr/>
        <w:t xml:space="preserve"> </w:t>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5424"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636"/>
        <w:gridCol w:w="10787"/>
      </w:tblGrid>
      <w:tr>
        <w:trPr/>
        <w:tc>
          <w:tcPr>
            <w:tcW w:w="4636"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p>
            <w:pPr>
              <w:pStyle w:val="Normal"/>
              <w:widowControl w:val="false"/>
              <w:rPr>
                <w:sz w:val="24"/>
                <w:szCs w:val="24"/>
              </w:rPr>
            </w:pPr>
            <w:r>
              <w:rPr>
                <w:sz w:val="24"/>
                <w:szCs w:val="24"/>
              </w:rPr>
            </w:r>
          </w:p>
        </w:tc>
        <w:tc>
          <w:tcPr>
            <w:tcW w:w="10787"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w:t>
            </w:r>
            <w:r>
              <w:rPr>
                <w:b w:val="false"/>
                <w:bCs w:val="false"/>
                <w:sz w:val="24"/>
                <w:szCs w:val="24"/>
              </w:rPr>
              <w:t>______________</w:t>
            </w:r>
          </w:p>
          <w:p>
            <w:pPr>
              <w:pStyle w:val="Normal"/>
              <w:widowControl w:val="false"/>
              <w:ind w:firstLine="33"/>
              <w:rPr>
                <w:b/>
                <w:sz w:val="24"/>
                <w:szCs w:val="24"/>
              </w:rPr>
            </w:pPr>
            <w:r>
              <w:rPr>
                <w:b/>
                <w:sz w:val="24"/>
                <w:szCs w:val="24"/>
              </w:rPr>
            </w:r>
          </w:p>
        </w:tc>
      </w:tr>
    </w:tbl>
    <w:p>
      <w:pPr>
        <w:sectPr>
          <w:headerReference w:type="default" r:id="rId8"/>
          <w:footerReference w:type="default" r:id="rId9"/>
          <w:type w:val="nextPage"/>
          <w:pgSz w:w="11906" w:h="16838"/>
          <w:pgMar w:left="1418" w:right="851" w:gutter="0" w:header="709" w:top="1134" w:footer="709" w:bottom="2268"/>
          <w:pgNumType w:fmt="decimal"/>
          <w:formProt w:val="false"/>
          <w:textDirection w:val="lrTb"/>
          <w:docGrid w:type="default" w:linePitch="360" w:charSpace="0"/>
        </w:sectPr>
      </w:pPr>
    </w:p>
    <w:p>
      <w:pPr>
        <w:pStyle w:val="Normal"/>
        <w:suppressAutoHyphens w:val="true"/>
        <w:ind w:hanging="0"/>
        <w:jc w:val="right"/>
        <w:rPr/>
      </w:pPr>
      <w:r>
        <w:rPr>
          <w:sz w:val="22"/>
          <w:szCs w:val="22"/>
        </w:rPr>
        <w:t>Приложение № 1</w:t>
      </w:r>
    </w:p>
    <w:p>
      <w:pPr>
        <w:pStyle w:val="Normal"/>
        <w:suppressAutoHyphens w:val="true"/>
        <w:ind w:hanging="0"/>
        <w:jc w:val="right"/>
        <w:rPr/>
      </w:pPr>
      <w:r>
        <w:rPr>
          <w:sz w:val="22"/>
          <w:szCs w:val="22"/>
        </w:rPr>
        <w:t>к Договору поставки № ___________________ от «____» 2026 г.</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highlight w:val="none"/>
          <w:shd w:fill="auto" w:val="clear"/>
        </w:rPr>
      </w:pPr>
      <w:r>
        <w:rPr>
          <w:b/>
          <w:sz w:val="24"/>
          <w:szCs w:val="24"/>
          <w:shd w:fill="auto" w:val="clear"/>
        </w:rPr>
      </w:r>
    </w:p>
    <w:tbl>
      <w:tblPr>
        <w:tblW w:w="15869" w:type="dxa"/>
        <w:jc w:val="left"/>
        <w:tblInd w:w="-601" w:type="dxa"/>
        <w:tblLayout w:type="fixed"/>
        <w:tblCellMar>
          <w:top w:w="0" w:type="dxa"/>
          <w:left w:w="108" w:type="dxa"/>
          <w:bottom w:w="0" w:type="dxa"/>
          <w:right w:w="108" w:type="dxa"/>
        </w:tblCellMar>
        <w:tblLook w:val="04a0" w:noHBand="0" w:noVBand="1" w:firstColumn="1" w:lastRow="0" w:lastColumn="0" w:firstRow="1"/>
      </w:tblPr>
      <w:tblGrid>
        <w:gridCol w:w="855"/>
        <w:gridCol w:w="1331"/>
        <w:gridCol w:w="924"/>
        <w:gridCol w:w="928"/>
        <w:gridCol w:w="1171"/>
        <w:gridCol w:w="1097"/>
        <w:gridCol w:w="941"/>
        <w:gridCol w:w="1106"/>
        <w:gridCol w:w="1043"/>
        <w:gridCol w:w="779"/>
        <w:gridCol w:w="979"/>
        <w:gridCol w:w="833"/>
        <w:gridCol w:w="782"/>
        <w:gridCol w:w="1081"/>
        <w:gridCol w:w="2019"/>
      </w:tblGrid>
      <w:tr>
        <w:trPr>
          <w:trHeight w:val="526"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 xml:space="preserve">№ </w:t>
            </w:r>
            <w:r>
              <w:rPr>
                <w:bCs/>
                <w:shd w:fill="auto" w:val="clear"/>
              </w:rPr>
              <w:t>поз.</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Наименование Товара</w:t>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highlight w:val="none"/>
                <w:shd w:fill="auto" w:val="clear"/>
              </w:rPr>
            </w:pPr>
            <w:r>
              <w:rPr>
                <w:bCs/>
                <w:shd w:fill="auto" w:val="clear"/>
              </w:rPr>
              <w:t>Артикул, тип, марка</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Завод изготовитель</w:t>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highlight w:val="none"/>
                <w:shd w:fill="auto" w:val="clear"/>
              </w:rPr>
            </w:pPr>
            <w:r>
              <w:rPr>
                <w:bCs/>
                <w:shd w:fill="auto" w:val="clear"/>
              </w:rPr>
              <w:t>Страна происхождения Товара</w:t>
            </w:r>
            <w:r>
              <w:rPr>
                <w:rStyle w:val="FootnoteReference"/>
                <w:bCs/>
                <w:shd w:fill="auto" w:val="clear"/>
              </w:rPr>
              <w:footnoteReference w:id="2"/>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Страна регистрации производителя Товара</w:t>
            </w:r>
          </w:p>
        </w:tc>
        <w:tc>
          <w:tcPr>
            <w:tcW w:w="94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Код ОКПД 2 (с наименованием)</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Единица измерения</w:t>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highlight w:val="none"/>
                <w:shd w:fill="auto" w:val="clear"/>
              </w:rPr>
            </w:pPr>
            <w:r>
              <w:rPr>
                <w:bCs/>
                <w:shd w:fill="auto" w:val="clear"/>
              </w:rPr>
            </w:r>
          </w:p>
          <w:p>
            <w:pPr>
              <w:pStyle w:val="Normal"/>
              <w:widowControl w:val="false"/>
              <w:jc w:val="center"/>
              <w:rPr>
                <w:bCs/>
                <w:highlight w:val="none"/>
                <w:shd w:fill="auto" w:val="clear"/>
              </w:rPr>
            </w:pPr>
            <w:r>
              <w:rPr>
                <w:bCs/>
                <w:shd w:fill="auto" w:val="clear"/>
              </w:rPr>
            </w:r>
          </w:p>
          <w:p>
            <w:pPr>
              <w:pStyle w:val="Normal"/>
              <w:widowControl w:val="false"/>
              <w:jc w:val="center"/>
              <w:rPr>
                <w:b/>
                <w:bCs/>
                <w:highlight w:val="none"/>
                <w:shd w:fill="auto" w:val="clear"/>
              </w:rPr>
            </w:pPr>
            <w:r>
              <w:rPr>
                <w:b/>
                <w:bCs/>
                <w:shd w:fill="auto" w:val="clear"/>
              </w:rPr>
            </w:r>
          </w:p>
          <w:p>
            <w:pPr>
              <w:pStyle w:val="Normal"/>
              <w:widowControl w:val="false"/>
              <w:jc w:val="center"/>
              <w:rPr>
                <w:highlight w:val="none"/>
                <w:shd w:fill="auto" w:val="clear"/>
              </w:rPr>
            </w:pPr>
            <w:r>
              <w:rPr>
                <w:bCs/>
                <w:shd w:fill="auto" w:val="clear"/>
              </w:rPr>
              <w:t>Порядковый номер(а) реестровой(ых) записи(ей)</w:t>
            </w:r>
            <w:r>
              <w:rPr>
                <w:rStyle w:val="FootnoteReference"/>
                <w:bCs/>
                <w:shd w:fill="auto" w:val="clear"/>
              </w:rPr>
              <w:footnoteReference w:id="3"/>
            </w:r>
          </w:p>
          <w:p>
            <w:pPr>
              <w:pStyle w:val="Normal"/>
              <w:widowControl w:val="false"/>
              <w:jc w:val="center"/>
              <w:rPr>
                <w:bCs/>
                <w:highlight w:val="none"/>
                <w:shd w:fill="auto" w:val="clear"/>
              </w:rPr>
            </w:pPr>
            <w:r>
              <w:rPr>
                <w:bCs/>
                <w:shd w:fill="auto" w:val="clear"/>
              </w:rPr>
            </w:r>
          </w:p>
        </w:tc>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Количество</w:t>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Цена за единицу, руб. без НДС</w:t>
            </w:r>
          </w:p>
        </w:tc>
        <w:tc>
          <w:tcPr>
            <w:tcW w:w="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Цена, руб. без НДС</w:t>
            </w:r>
          </w:p>
        </w:tc>
        <w:tc>
          <w:tcPr>
            <w:tcW w:w="7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НДС</w:t>
            </w:r>
          </w:p>
          <w:p>
            <w:pPr>
              <w:pStyle w:val="Normal"/>
              <w:widowControl w:val="false"/>
              <w:jc w:val="center"/>
              <w:rPr>
                <w:highlight w:val="none"/>
                <w:shd w:fill="auto" w:val="clear"/>
              </w:rPr>
            </w:pPr>
            <w:r>
              <w:rPr>
                <w:bCs/>
                <w:shd w:fill="auto" w:val="clear"/>
              </w:rPr>
              <w:t>(___%) руб.*</w:t>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Стоимость, руб., с НДС*</w:t>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shd w:fill="auto" w:val="clear"/>
              </w:rPr>
              <w:t>Перечень сопроводительных документов (в том числе подтверждающих качество Товара)</w:t>
            </w:r>
          </w:p>
        </w:tc>
      </w:tr>
      <w:tr>
        <w:trPr>
          <w:trHeight w:val="538"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1</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9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4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0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7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538" w:hRule="atLeast"/>
        </w:trPr>
        <w:tc>
          <w:tcPr>
            <w:tcW w:w="85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t>2</w:t>
            </w:r>
          </w:p>
        </w:tc>
        <w:tc>
          <w:tcPr>
            <w:tcW w:w="13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2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2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7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97"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94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10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104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hd w:fill="auto" w:val="clear"/>
              </w:rPr>
            </w:r>
          </w:p>
        </w:tc>
        <w:tc>
          <w:tcPr>
            <w:tcW w:w="7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9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8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7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c>
          <w:tcPr>
            <w:tcW w:w="10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none"/>
                <w:shd w:fill="auto" w:val="clear"/>
              </w:rPr>
            </w:pPr>
            <w:r>
              <w:rPr>
                <w:shd w:fill="auto" w:val="clear"/>
              </w:rPr>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62" w:hRule="atLeast"/>
        </w:trPr>
        <w:tc>
          <w:tcPr>
            <w:tcW w:w="12769"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Итого стоимость руб. без НДС</w:t>
            </w:r>
          </w:p>
        </w:tc>
        <w:tc>
          <w:tcPr>
            <w:tcW w:w="310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62" w:hRule="atLeast"/>
        </w:trPr>
        <w:tc>
          <w:tcPr>
            <w:tcW w:w="12769"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Сумма НДС (22%)</w:t>
            </w:r>
          </w:p>
        </w:tc>
        <w:tc>
          <w:tcPr>
            <w:tcW w:w="310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r>
        <w:trPr>
          <w:trHeight w:val="262" w:hRule="atLeast"/>
        </w:trPr>
        <w:tc>
          <w:tcPr>
            <w:tcW w:w="12769" w:type="dxa"/>
            <w:gridSpan w:val="13"/>
            <w:tcBorders>
              <w:top w:val="single" w:sz="4" w:space="0" w:color="000000"/>
              <w:left w:val="single" w:sz="4" w:space="0" w:color="000000"/>
              <w:bottom w:val="single" w:sz="4" w:space="0" w:color="000000"/>
              <w:right w:val="single" w:sz="4" w:space="0" w:color="000000"/>
            </w:tcBorders>
          </w:tcPr>
          <w:p>
            <w:pPr>
              <w:pStyle w:val="Normal"/>
              <w:widowControl w:val="false"/>
              <w:jc w:val="right"/>
              <w:rPr>
                <w:highlight w:val="none"/>
                <w:shd w:fill="auto" w:val="clear"/>
              </w:rPr>
            </w:pPr>
            <w:r>
              <w:rPr>
                <w:shd w:fill="auto" w:val="clear"/>
              </w:rPr>
              <w:t>Итого стоимость руб. с НДС</w:t>
            </w:r>
          </w:p>
        </w:tc>
        <w:tc>
          <w:tcPr>
            <w:tcW w:w="3100"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shd w:fill="auto" w:val="clear"/>
              </w:rPr>
            </w:r>
          </w:p>
        </w:tc>
      </w:tr>
    </w:tbl>
    <w:p>
      <w:pPr>
        <w:pStyle w:val="Normal"/>
        <w:ind w:hanging="0" w:left="-737" w:right="737"/>
        <w:jc w:val="both"/>
        <w:rPr>
          <w:highlight w:val="none"/>
          <w:shd w:fill="auto" w:val="clear"/>
        </w:rPr>
      </w:pPr>
      <w:r>
        <w:rPr>
          <w:i/>
          <w:iCs/>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hanging="0" w:right="-283"/>
        <w:jc w:val="both"/>
        <w:rPr>
          <w:i/>
          <w:i/>
          <w:iCs/>
          <w:highlight w:val="none"/>
          <w:shd w:fill="auto" w:val="clear"/>
        </w:rPr>
      </w:pPr>
      <w:r>
        <w:rPr>
          <w:i/>
          <w:iCs/>
          <w:shd w:fill="auto" w:val="clear"/>
        </w:rPr>
      </w:r>
    </w:p>
    <w:p>
      <w:pPr>
        <w:pStyle w:val="Normal"/>
        <w:rPr>
          <w:highlight w:val="none"/>
          <w:shd w:fill="auto" w:val="clear"/>
        </w:rPr>
      </w:pPr>
      <w:r>
        <w:rPr>
          <w:i/>
          <w:sz w:val="22"/>
          <w:szCs w:val="22"/>
          <w:shd w:fill="auto"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highlight w:val="none"/>
          <w:shd w:fill="auto" w:val="clear"/>
        </w:rPr>
      </w:pPr>
      <w:r>
        <w:rPr>
          <w:i/>
          <w:sz w:val="22"/>
          <w:szCs w:val="22"/>
          <w:shd w:fill="auto" w:val="clear"/>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rPr>
          <w:i/>
          <w:i/>
          <w:sz w:val="22"/>
          <w:szCs w:val="22"/>
          <w:highlight w:val="none"/>
          <w:shd w:fill="auto" w:val="clear"/>
        </w:rPr>
      </w:pPr>
      <w:r>
        <w:rPr>
          <w:i/>
          <w:sz w:val="22"/>
          <w:szCs w:val="22"/>
          <w:shd w:fill="auto" w:val="clear"/>
        </w:rPr>
      </w:r>
    </w:p>
    <w:p>
      <w:pPr>
        <w:pStyle w:val="Normal"/>
        <w:rPr>
          <w:i/>
          <w:i/>
          <w:sz w:val="22"/>
          <w:szCs w:val="22"/>
        </w:rPr>
      </w:pPr>
      <w:r>
        <w:rPr>
          <w:i/>
          <w:sz w:val="22"/>
          <w:szCs w:val="22"/>
        </w:rPr>
      </w:r>
    </w:p>
    <w:p>
      <w:pPr>
        <w:pStyle w:val="Normal"/>
        <w:widowControl/>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5424"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8045"/>
        <w:gridCol w:w="7378"/>
      </w:tblGrid>
      <w:tr>
        <w:trPr/>
        <w:tc>
          <w:tcPr>
            <w:tcW w:w="804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tc>
        <w:tc>
          <w:tcPr>
            <w:tcW w:w="7378"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_____________________/_______________</w:t>
            </w:r>
          </w:p>
          <w:p>
            <w:pPr>
              <w:pStyle w:val="Normal"/>
              <w:widowControl w:val="false"/>
              <w:ind w:firstLine="33"/>
              <w:rPr>
                <w:b/>
                <w:sz w:val="24"/>
                <w:szCs w:val="24"/>
              </w:rPr>
            </w:pPr>
            <w:r>
              <w:rPr>
                <w:b/>
                <w:sz w:val="24"/>
                <w:szCs w:val="24"/>
              </w:rPr>
            </w:r>
          </w:p>
        </w:tc>
      </w:tr>
    </w:tbl>
    <w:p>
      <w:pPr>
        <w:pStyle w:val="Normal"/>
        <w:numPr>
          <w:ilvl w:val="0"/>
          <w:numId w:val="0"/>
        </w:numPr>
        <w:ind w:hanging="0" w:left="0"/>
        <w:jc w:val="center"/>
        <w:outlineLvl w:val="0"/>
        <w:rPr>
          <w:bCs/>
          <w:sz w:val="24"/>
          <w:szCs w:val="24"/>
        </w:rPr>
      </w:pPr>
      <w:r>
        <w:rPr>
          <w:bCs/>
          <w:sz w:val="24"/>
          <w:szCs w:val="24"/>
        </w:rPr>
      </w:r>
      <w:bookmarkStart w:id="10" w:name="_Toc192602421"/>
      <w:bookmarkStart w:id="11" w:name="_Toc50125127"/>
      <w:bookmarkStart w:id="12" w:name="_Toc50125127_Копия_1"/>
      <w:bookmarkStart w:id="13" w:name="_Toc192602421"/>
      <w:bookmarkStart w:id="14" w:name="_Toc50125127"/>
      <w:bookmarkStart w:id="15" w:name="_Toc50125127_Копия_1"/>
      <w:bookmarkEnd w:id="13"/>
      <w:bookmarkEnd w:id="14"/>
      <w:bookmarkEnd w:id="15"/>
      <w:r>
        <w:br w:type="page"/>
      </w:r>
    </w:p>
    <w:p>
      <w:pPr>
        <w:pStyle w:val="Normal"/>
        <w:ind w:firstLine="6237"/>
        <w:jc w:val="right"/>
        <w:rPr>
          <w:sz w:val="24"/>
          <w:szCs w:val="24"/>
        </w:rPr>
      </w:pPr>
      <w:r>
        <w:rPr>
          <w:sz w:val="24"/>
          <w:szCs w:val="24"/>
        </w:rPr>
        <w:t>Приложение № 2</w:t>
      </w:r>
    </w:p>
    <w:p>
      <w:pPr>
        <w:pStyle w:val="Normal"/>
        <w:ind w:hanging="0"/>
        <w:jc w:val="right"/>
        <w:rPr/>
      </w:pPr>
      <w:r>
        <w:rPr>
          <w:sz w:val="24"/>
          <w:szCs w:val="24"/>
        </w:rPr>
        <w:t xml:space="preserve">к Договору поставки № _______________ от «____» ________2026 г. </w:t>
      </w:r>
    </w:p>
    <w:p>
      <w:pPr>
        <w:pStyle w:val="Normal"/>
        <w:widowControl/>
        <w:shd w:val="clear" w:color="auto" w:fill="FFFFFF"/>
        <w:tabs>
          <w:tab w:val="clear" w:pos="709"/>
          <w:tab w:val="left" w:pos="1418" w:leader="none"/>
        </w:tabs>
        <w:spacing w:before="0" w:after="0"/>
        <w:ind w:firstLine="6237"/>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14561"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7318"/>
        <w:gridCol w:w="7242"/>
      </w:tblGrid>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731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7242"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hanging="0" w:left="0"/>
        <w:jc w:val="center"/>
        <w:outlineLvl w:val="0"/>
        <w:rPr>
          <w:bCs/>
          <w:sz w:val="24"/>
          <w:szCs w:val="24"/>
        </w:rPr>
      </w:pPr>
      <w:r>
        <w:rPr>
          <w:bCs/>
          <w:sz w:val="24"/>
          <w:szCs w:val="24"/>
        </w:rPr>
      </w:r>
    </w:p>
    <w:tbl>
      <w:tblPr>
        <w:tblW w:w="14788"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8044"/>
        <w:gridCol w:w="6743"/>
      </w:tblGrid>
      <w:tr>
        <w:trPr/>
        <w:tc>
          <w:tcPr>
            <w:tcW w:w="8044"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_____________________/Двинянинов С.В.</w:t>
            </w:r>
          </w:p>
          <w:p>
            <w:pPr>
              <w:pStyle w:val="Normal"/>
              <w:widowControl w:val="false"/>
              <w:rPr>
                <w:sz w:val="24"/>
                <w:szCs w:val="24"/>
              </w:rPr>
            </w:pPr>
            <w:r>
              <w:rPr>
                <w:sz w:val="24"/>
                <w:szCs w:val="24"/>
              </w:rPr>
            </w:r>
          </w:p>
        </w:tc>
        <w:tc>
          <w:tcPr>
            <w:tcW w:w="6743"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_____________________/______________</w:t>
            </w:r>
          </w:p>
        </w:tc>
      </w:tr>
    </w:tbl>
    <w:p>
      <w:pPr>
        <w:pStyle w:val="Normal"/>
        <w:rPr>
          <w:b/>
          <w:bCs/>
          <w:sz w:val="24"/>
          <w:szCs w:val="24"/>
        </w:rPr>
      </w:pPr>
      <w:r>
        <w:rPr>
          <w:b/>
          <w:bCs/>
          <w:sz w:val="24"/>
          <w:szCs w:val="24"/>
        </w:rPr>
      </w:r>
      <w:bookmarkStart w:id="16" w:name="_Toc50125127_Копия_1_Копия_1_Копия_1"/>
      <w:bookmarkStart w:id="17" w:name="_Toc192602421_Копия_1"/>
      <w:bookmarkStart w:id="18" w:name="_Toc50125127_Копия_1_Копия_1"/>
      <w:bookmarkStart w:id="19" w:name="_Toc50125127_Копия_1_Копия_1_Копия_1_Коп"/>
      <w:bookmarkStart w:id="20" w:name="_Toc50125127_Копия_1_Копия_1_Копия_1"/>
      <w:bookmarkStart w:id="21" w:name="_Toc192602421_Копия_1"/>
      <w:bookmarkStart w:id="22" w:name="_Toc50125127_Копия_1_Копия_1"/>
      <w:bookmarkStart w:id="23" w:name="_Toc50125127_Копия_1_Копия_1_Копия_1_Коп"/>
      <w:bookmarkEnd w:id="20"/>
      <w:bookmarkEnd w:id="21"/>
      <w:bookmarkEnd w:id="22"/>
      <w:bookmarkEnd w:id="23"/>
    </w:p>
    <w:sectPr>
      <w:headerReference w:type="default" r:id="rId10"/>
      <w:headerReference w:type="first" r:id="rId11"/>
      <w:footerReference w:type="default" r:id="rId12"/>
      <w:footerReference w:type="first" r:id="rId13"/>
      <w:footnotePr>
        <w:numFmt w:val="decimal"/>
      </w:footnotePr>
      <w:type w:val="nextPage"/>
      <w:pgSz w:orient="landscape" w:w="16838" w:h="11906"/>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Liberation Serif">
    <w:altName w:val="Times New Roman"/>
    <w:charset w:val="01"/>
    <w:family w:val="roman"/>
    <w:pitch w:val="variable"/>
  </w:font>
  <w:font w:name="Garamond">
    <w:charset w:val="01"/>
    <w:family w:val="roman"/>
    <w:pitch w:val="variable"/>
  </w:font>
  <w:font w:name="Arial Unicode MS">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9"/>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3">
    <w:p>
      <w:pPr>
        <w:pStyle w:val="FootnoteText"/>
        <w:jc w:val="both"/>
        <w:rPr/>
      </w:pPr>
      <w:r>
        <w:rPr>
          <w:rStyle w:val="Style9"/>
        </w:rPr>
        <w:footnoteRef/>
      </w:r>
      <w:r>
        <w:rPr/>
        <w:t xml:space="preserve"> </w:t>
      </w:r>
      <w:r>
        <w:rPr>
          <w:bCs/>
        </w:rPr>
        <w:t xml:space="preserve">Порядковый номер (номера) реестровой записи (реестровых записей), под которой (которыми) </w:t>
      </w:r>
      <w:r>
        <w:rPr>
          <w:bCs/>
        </w:rPr>
        <w:t>Товар</w:t>
      </w:r>
      <w:r>
        <w:rPr>
          <w:bCs/>
        </w:rPr>
        <w:t xml:space="preserve"> включен в реестры, предусмотренные пунктом 3 Постановления Правительства РФ от</w:t>
      </w:r>
      <w:r>
        <w:rPr>
          <w:bCs/>
          <w:lang w:val="en-US"/>
        </w:rPr>
        <w:t xml:space="preserve"> </w:t>
      </w:r>
      <w:bookmarkStart w:id="24" w:name="_GoBack_Копия_1_Копия_1_Копия_1_Копия_1_"/>
      <w:bookmarkEnd w:id="24"/>
      <w:r>
        <w:rPr>
          <w:bCs/>
        </w:rPr>
        <w:t>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right" w:pos="8306" w:leader="none"/>
      </w:tabs>
      <w:jc w:val="right"/>
      <w:rPr/>
    </w:pPr>
    <w:r>
      <w:rPr/>
    </w:r>
  </w:p>
  <w:p>
    <w:pPr>
      <w:pStyle w:val="Normal"/>
      <w:tabs>
        <w:tab w:val="clear" w:pos="709"/>
        <w:tab w:val="left" w:pos="1875" w:leader="none"/>
        <w:tab w:val="right" w:pos="8306" w:leader="none"/>
      </w:tabs>
      <w:jc w:val="right"/>
      <w:rPr/>
    </w:pPr>
    <w:r>
      <w:rPr/>
    </w:r>
  </w:p>
  <w:p>
    <w:pPr>
      <w:pStyle w:val="Normal"/>
      <w:tabs>
        <w:tab w:val="clear" w:pos="709"/>
        <w:tab w:val="left" w:pos="1875" w:leader="none"/>
        <w:tab w:val="right" w:pos="8306" w:leader="none"/>
      </w:tabs>
      <w:jc w:val="right"/>
      <w:rPr/>
    </w:pPr>
    <w:r>
      <w:rPr/>
      <w:t xml:space="preserve">                                                                                                                                               </w:t>
    </w: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283"/>
        </w:tabs>
        <w:ind w:left="1283"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7"/>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886f70"/>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
    <w:qFormat/>
    <w:rsid w:val="00886f70"/>
    <w:pPr>
      <w:keepNext w:val="true"/>
      <w:spacing w:before="240" w:after="60"/>
      <w:outlineLvl w:val="0"/>
    </w:pPr>
    <w:rPr>
      <w:rFonts w:ascii="Arial" w:hAnsi="Arial" w:cs="Arial"/>
      <w:b/>
      <w:bCs/>
      <w:kern w:val="2"/>
      <w:sz w:val="32"/>
      <w:szCs w:val="32"/>
    </w:rPr>
  </w:style>
  <w:style w:type="paragraph" w:styleId="Heading2">
    <w:name w:val="Heading 2"/>
    <w:basedOn w:val="Heading4"/>
    <w:next w:val="Normal"/>
    <w:qFormat/>
    <w:pPr>
      <w:numPr>
        <w:ilvl w:val="0"/>
        <w:numId w:val="0"/>
      </w:numPr>
      <w:ind w:hanging="0" w:left="432" w:right="0"/>
      <w:outlineLvl w:val="1"/>
    </w:pPr>
    <w:rPr/>
  </w:style>
  <w:style w:type="paragraph" w:styleId="Heading3">
    <w:name w:val="Heading 3"/>
    <w:basedOn w:val="Normal"/>
    <w:next w:val="Normal"/>
    <w:link w:val="3"/>
    <w:qFormat/>
    <w:rsid w:val="00886f70"/>
    <w:pPr>
      <w:keepNext w:val="true"/>
      <w:keepLines/>
      <w:spacing w:before="200" w:after="0"/>
      <w:outlineLvl w:val="2"/>
    </w:pPr>
    <w:rPr>
      <w:rFonts w:ascii="Cambria" w:hAnsi="Cambria"/>
      <w:b/>
      <w:bCs/>
      <w:color w:val="4F81BD"/>
      <w:lang w:val="x-none" w:eastAsia="x-none"/>
    </w:rPr>
  </w:style>
  <w:style w:type="paragraph" w:styleId="Heading4">
    <w:name w:val="Heading 4"/>
    <w:basedOn w:val="Heading3"/>
    <w:next w:val="Normal"/>
    <w:qFormat/>
    <w:pPr>
      <w:numPr>
        <w:ilvl w:val="0"/>
        <w:numId w:val="0"/>
      </w:numPr>
      <w:ind w:hanging="0" w:left="432" w:right="0"/>
      <w:outlineLvl w:val="3"/>
    </w:pPr>
    <w:rPr>
      <w:bCs/>
    </w:rPr>
  </w:style>
  <w:style w:type="paragraph" w:styleId="Heading5">
    <w:name w:val="Heading 5"/>
    <w:basedOn w:val="Normal"/>
    <w:next w:val="Normal"/>
    <w:qFormat/>
    <w:pPr>
      <w:numPr>
        <w:ilvl w:val="0"/>
        <w:numId w:val="0"/>
      </w:numPr>
      <w:spacing w:before="240" w:after="60"/>
      <w:outlineLvl w:val="4"/>
    </w:pPr>
    <w:rPr>
      <w:b/>
      <w:bCs/>
      <w:i/>
      <w:iCs/>
      <w:sz w:val="26"/>
      <w:szCs w:val="26"/>
      <w:lang w:val="x-none" w:eastAsia="x-none"/>
    </w:rPr>
  </w:style>
  <w:style w:type="paragraph" w:styleId="Heading6">
    <w:name w:val="Heading 6"/>
    <w:basedOn w:val="Normal"/>
    <w:next w:val="Normal"/>
    <w:qFormat/>
    <w:pPr>
      <w:keepNext w:val="true"/>
      <w:keepLines/>
      <w:numPr>
        <w:ilvl w:val="0"/>
        <w:numId w:val="0"/>
      </w:numPr>
      <w:spacing w:before="200" w:after="0"/>
      <w:outlineLvl w:val="5"/>
    </w:pPr>
    <w:rPr>
      <w:rFonts w:ascii="Cambria" w:hAnsi="Cambria"/>
      <w:i/>
      <w:iCs/>
      <w:color w:val="243F60"/>
      <w:sz w:val="20"/>
      <w:szCs w:val="20"/>
      <w:lang w:val="x-none" w:eastAsia="x-none"/>
    </w:rPr>
  </w:style>
  <w:style w:type="paragraph" w:styleId="Heading7">
    <w:name w:val="Heading 7"/>
    <w:basedOn w:val="Normal"/>
    <w:next w:val="Normal"/>
    <w:qFormat/>
    <w:pPr>
      <w:keepNext w:val="true"/>
      <w:keepLines/>
      <w:numPr>
        <w:ilvl w:val="0"/>
        <w:numId w:val="0"/>
      </w:numPr>
      <w:spacing w:before="200" w:after="0"/>
      <w:outlineLvl w:val="6"/>
    </w:pPr>
    <w:rPr>
      <w:rFonts w:ascii="Cambria" w:hAnsi="Cambria"/>
      <w:i/>
      <w:iCs/>
      <w:color w:val="404040"/>
      <w:sz w:val="20"/>
      <w:szCs w:val="20"/>
      <w:lang w:val="x-none" w:eastAsia="x-none"/>
    </w:rPr>
  </w:style>
  <w:style w:type="paragraph" w:styleId="Heading8">
    <w:name w:val="Heading 8"/>
    <w:basedOn w:val="Normal"/>
    <w:next w:val="Normal"/>
    <w:qFormat/>
    <w:pPr>
      <w:keepNext w:val="true"/>
      <w:keepLines/>
      <w:numPr>
        <w:ilvl w:val="0"/>
        <w:numId w:val="0"/>
      </w:numPr>
      <w:spacing w:before="200" w:after="0"/>
      <w:outlineLvl w:val="7"/>
    </w:pPr>
    <w:rPr>
      <w:rFonts w:ascii="Cambria" w:hAnsi="Cambria"/>
      <w:color w:val="4F81BD"/>
      <w:sz w:val="20"/>
      <w:szCs w:val="20"/>
      <w:lang w:val="x-none" w:eastAsia="x-none"/>
    </w:rPr>
  </w:style>
  <w:style w:type="paragraph" w:styleId="Heading9">
    <w:name w:val="Heading 9"/>
    <w:basedOn w:val="Normal"/>
    <w:next w:val="Normal"/>
    <w:qFormat/>
    <w:pPr>
      <w:numPr>
        <w:ilvl w:val="0"/>
        <w:numId w:val="0"/>
      </w:numPr>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886f70"/>
    <w:rPr>
      <w:rFonts w:ascii="Arial" w:hAnsi="Arial" w:eastAsia="Times New Roman" w:cs="Arial"/>
      <w:b/>
      <w:bCs/>
      <w:kern w:val="2"/>
      <w:sz w:val="32"/>
      <w:szCs w:val="32"/>
      <w:lang w:eastAsia="ru-RU"/>
    </w:rPr>
  </w:style>
  <w:style w:type="character" w:styleId="3" w:customStyle="1">
    <w:name w:val="Заголовок 3 Знак"/>
    <w:basedOn w:val="DefaultParagraphFont"/>
    <w:qFormat/>
    <w:rsid w:val="00886f70"/>
    <w:rPr>
      <w:rFonts w:ascii="Cambria" w:hAnsi="Cambria" w:eastAsia="Times New Roman" w:cs="Times New Roman"/>
      <w:b/>
      <w:bCs/>
      <w:color w:val="4F81BD"/>
      <w:sz w:val="20"/>
      <w:szCs w:val="20"/>
      <w:lang w:val="x-none" w:eastAsia="x-none"/>
    </w:rPr>
  </w:style>
  <w:style w:type="character" w:styleId="Style" w:customStyle="1">
    <w:name w:val="Заголовок Знак"/>
    <w:basedOn w:val="DefaultParagraphFont"/>
    <w:qFormat/>
    <w:rsid w:val="00886f70"/>
    <w:rPr>
      <w:rFonts w:ascii="Times New Roman" w:hAnsi="Times New Roman" w:eastAsia="Times New Roman" w:cs="Times New Roman"/>
      <w:b/>
      <w:bCs/>
      <w:sz w:val="24"/>
      <w:szCs w:val="24"/>
      <w:lang w:eastAsia="ru-RU"/>
    </w:rPr>
  </w:style>
  <w:style w:type="character" w:styleId="2" w:customStyle="1">
    <w:name w:val="Основной текст с отступом 2 Знак"/>
    <w:basedOn w:val="DefaultParagraphFont"/>
    <w:link w:val="BodyTextIndent2"/>
    <w:qFormat/>
    <w:rsid w:val="00886f70"/>
    <w:rPr>
      <w:rFonts w:ascii="Times New Roman" w:hAnsi="Times New Roman" w:eastAsia="Times New Roman" w:cs="Times New Roman"/>
      <w:sz w:val="24"/>
      <w:szCs w:val="20"/>
      <w:lang w:eastAsia="ru-RU"/>
    </w:rPr>
  </w:style>
  <w:style w:type="character" w:styleId="Style1" w:customStyle="1">
    <w:name w:val="Текст выноски Знак"/>
    <w:basedOn w:val="DefaultParagraphFont"/>
    <w:link w:val="BalloonText"/>
    <w:semiHidden/>
    <w:qFormat/>
    <w:rsid w:val="00886f70"/>
    <w:rPr>
      <w:rFonts w:ascii="Tahoma" w:hAnsi="Tahoma" w:eastAsia="Times New Roman" w:cs="Tahoma"/>
      <w:sz w:val="16"/>
      <w:szCs w:val="16"/>
      <w:lang w:eastAsia="ru-RU"/>
    </w:rPr>
  </w:style>
  <w:style w:type="character" w:styleId="21" w:customStyle="1">
    <w:name w:val="Основной текст 2 Знак"/>
    <w:basedOn w:val="DefaultParagraphFont"/>
    <w:link w:val="BodyText2"/>
    <w:qFormat/>
    <w:rsid w:val="00886f70"/>
    <w:rPr>
      <w:rFonts w:ascii="Times New Roman" w:hAnsi="Times New Roman" w:eastAsia="Times New Roman" w:cs="Times New Roman"/>
      <w:sz w:val="24"/>
      <w:szCs w:val="24"/>
      <w:lang w:eastAsia="ru-RU"/>
    </w:rPr>
  </w:style>
  <w:style w:type="character" w:styleId="Style2" w:customStyle="1">
    <w:name w:val="Основной текст Знак"/>
    <w:basedOn w:val="DefaultParagraphFont"/>
    <w:qFormat/>
    <w:rsid w:val="00886f70"/>
    <w:rPr>
      <w:rFonts w:ascii="Times New Roman" w:hAnsi="Times New Roman" w:eastAsia="Times New Roman" w:cs="Times New Roman"/>
      <w:sz w:val="20"/>
      <w:szCs w:val="20"/>
      <w:lang w:eastAsia="ru-RU"/>
    </w:rPr>
  </w:style>
  <w:style w:type="character" w:styleId="Style3" w:customStyle="1">
    <w:name w:val="Нижний колонтитул Знак"/>
    <w:basedOn w:val="DefaultParagraphFont"/>
    <w:uiPriority w:val="99"/>
    <w:qFormat/>
    <w:rsid w:val="00886f70"/>
    <w:rPr>
      <w:rFonts w:ascii="Times New Roman" w:hAnsi="Times New Roman" w:eastAsia="Times New Roman" w:cs="Times New Roman"/>
      <w:sz w:val="20"/>
      <w:szCs w:val="20"/>
      <w:lang w:eastAsia="ru-RU"/>
    </w:rPr>
  </w:style>
  <w:style w:type="character" w:styleId="Pagenumber">
    <w:name w:val="page number"/>
    <w:basedOn w:val="DefaultParagraphFont"/>
    <w:qFormat/>
    <w:rsid w:val="00886f70"/>
    <w:rPr/>
  </w:style>
  <w:style w:type="character" w:styleId="31" w:customStyle="1">
    <w:name w:val="Основной текст 3 Знак"/>
    <w:basedOn w:val="DefaultParagraphFont"/>
    <w:link w:val="BodyText3"/>
    <w:qFormat/>
    <w:rsid w:val="00886f70"/>
    <w:rPr>
      <w:rFonts w:ascii="Times New Roman" w:hAnsi="Times New Roman" w:eastAsia="Times New Roman" w:cs="Times New Roman"/>
      <w:sz w:val="16"/>
      <w:szCs w:val="16"/>
      <w:lang w:val="x-none" w:eastAsia="x-none"/>
    </w:rPr>
  </w:style>
  <w:style w:type="character" w:styleId="Annotationreference">
    <w:name w:val="annotation reference"/>
    <w:qFormat/>
    <w:rsid w:val="00886f70"/>
    <w:rPr>
      <w:sz w:val="16"/>
      <w:szCs w:val="16"/>
    </w:rPr>
  </w:style>
  <w:style w:type="character" w:styleId="Style4" w:customStyle="1">
    <w:name w:val="Текст примечания Знак"/>
    <w:basedOn w:val="DefaultParagraphFont"/>
    <w:link w:val="Annotationtext"/>
    <w:qFormat/>
    <w:rsid w:val="00886f70"/>
    <w:rPr>
      <w:rFonts w:ascii="Times New Roman" w:hAnsi="Times New Roman" w:eastAsia="Times New Roman" w:cs="Times New Roman"/>
      <w:sz w:val="20"/>
      <w:szCs w:val="20"/>
      <w:lang w:eastAsia="ru-RU"/>
    </w:rPr>
  </w:style>
  <w:style w:type="character" w:styleId="Style5" w:customStyle="1">
    <w:name w:val="Тема примечания Знак"/>
    <w:basedOn w:val="Style4"/>
    <w:link w:val="Annotationsubject"/>
    <w:qFormat/>
    <w:rsid w:val="00886f70"/>
    <w:rPr>
      <w:rFonts w:ascii="Times New Roman" w:hAnsi="Times New Roman" w:eastAsia="Times New Roman" w:cs="Times New Roman"/>
      <w:b/>
      <w:bCs/>
      <w:sz w:val="20"/>
      <w:szCs w:val="20"/>
      <w:lang w:val="x-none" w:eastAsia="x-none"/>
    </w:rPr>
  </w:style>
  <w:style w:type="character" w:styleId="Style6" w:customStyle="1">
    <w:name w:val="Основной текст с отступом Знак"/>
    <w:basedOn w:val="DefaultParagraphFont"/>
    <w:qFormat/>
    <w:rsid w:val="00886f70"/>
    <w:rPr>
      <w:rFonts w:ascii="Times New Roman" w:hAnsi="Times New Roman" w:eastAsia="Times New Roman" w:cs="Times New Roman"/>
      <w:sz w:val="20"/>
      <w:szCs w:val="20"/>
      <w:lang w:eastAsia="ru-RU"/>
    </w:rPr>
  </w:style>
  <w:style w:type="character" w:styleId="Style7" w:customStyle="1">
    <w:name w:val="комментарий"/>
    <w:uiPriority w:val="99"/>
    <w:qFormat/>
    <w:rsid w:val="00886f70"/>
    <w:rPr>
      <w:rFonts w:cs="Times New Roman"/>
      <w:b/>
      <w:bCs/>
      <w:i/>
      <w:iCs/>
      <w:shd w:fill="FFFF99" w:val="clear"/>
    </w:rPr>
  </w:style>
  <w:style w:type="character" w:styleId="Style8" w:customStyle="1">
    <w:name w:val="Текст сноски Знак"/>
    <w:basedOn w:val="DefaultParagraphFont"/>
    <w:uiPriority w:val="99"/>
    <w:qFormat/>
    <w:rsid w:val="00886f70"/>
    <w:rPr>
      <w:rFonts w:ascii="Times New Roman" w:hAnsi="Times New Roman" w:eastAsia="Times New Roman" w:cs="Times New Roman"/>
      <w:sz w:val="20"/>
      <w:szCs w:val="20"/>
      <w:lang w:eastAsia="ru-RU"/>
    </w:rPr>
  </w:style>
  <w:style w:type="character" w:styleId="Style9" w:customStyle="1">
    <w:name w:val="Символ сноски"/>
    <w:qFormat/>
    <w:rsid w:val="00886f70"/>
    <w:rPr>
      <w:vertAlign w:val="superscript"/>
    </w:rPr>
  </w:style>
  <w:style w:type="character" w:styleId="FootnoteReference">
    <w:name w:val="Footnote Reference"/>
    <w:rPr>
      <w:vertAlign w:val="superscript"/>
    </w:rPr>
  </w:style>
  <w:style w:type="character" w:styleId="Style10" w:customStyle="1">
    <w:name w:val="Схема документа Знак"/>
    <w:basedOn w:val="DefaultParagraphFont"/>
    <w:link w:val="DocumentMap"/>
    <w:semiHidden/>
    <w:qFormat/>
    <w:rsid w:val="00886f70"/>
    <w:rPr>
      <w:rFonts w:ascii="Tahoma" w:hAnsi="Tahoma" w:eastAsia="Times New Roman" w:cs="Tahoma"/>
      <w:sz w:val="20"/>
      <w:szCs w:val="20"/>
      <w:shd w:fill="000080" w:val="clear"/>
      <w:lang w:eastAsia="ru-RU"/>
    </w:rPr>
  </w:style>
  <w:style w:type="character" w:styleId="Style11" w:customStyle="1">
    <w:name w:val="Верхний колонтитул Знак"/>
    <w:basedOn w:val="DefaultParagraphFont"/>
    <w:qFormat/>
    <w:rsid w:val="00886f70"/>
    <w:rPr>
      <w:rFonts w:ascii="Times New Roman" w:hAnsi="Times New Roman" w:eastAsia="Times New Roman" w:cs="Times New Roman"/>
      <w:sz w:val="20"/>
      <w:szCs w:val="20"/>
      <w:lang w:eastAsia="ru-RU"/>
    </w:rPr>
  </w:style>
  <w:style w:type="character" w:styleId="Hyperlink">
    <w:name w:val="Hyperlink"/>
    <w:rsid w:val="00886f70"/>
    <w:rPr>
      <w:color w:val="0000FF"/>
      <w:u w:val="single"/>
    </w:rPr>
  </w:style>
  <w:style w:type="character" w:styleId="Style12" w:customStyle="1">
    <w:name w:val="Абзац списка Знак"/>
    <w:link w:val="ListParagraph"/>
    <w:uiPriority w:val="34"/>
    <w:qFormat/>
    <w:locked/>
    <w:rsid w:val="00b80bab"/>
    <w:rPr>
      <w:rFonts w:ascii="Times New Roman" w:hAnsi="Times New Roman" w:eastAsia="Times New Roman" w:cs="Times New Roman"/>
      <w:sz w:val="20"/>
      <w:szCs w:val="20"/>
      <w:lang w:eastAsia="ru-RU"/>
    </w:rPr>
  </w:style>
  <w:style w:type="character" w:styleId="Linenumber1" w:customStyle="1">
    <w:name w:val="line number1"/>
    <w:qFormat/>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Style14">
    <w:name w:val="Ссылка указателя"/>
    <w:qFormat/>
    <w:rPr/>
  </w:style>
  <w:style w:type="character" w:styleId="Tooltip">
    <w:name w:val="tooltip"/>
    <w:basedOn w:val="DefaultParagraphFont"/>
    <w:qFormat/>
    <w:rPr/>
  </w:style>
  <w:style w:type="character" w:styleId="Apple-converted-space">
    <w:name w:val="apple-converted-space"/>
    <w:basedOn w:val="DefaultParagraphFont"/>
    <w:qFormat/>
    <w:rPr/>
  </w:style>
  <w:style w:type="character" w:styleId="Style15">
    <w:name w:val="основной для подзаголовков Знак"/>
    <w:qFormat/>
    <w:rPr>
      <w:b/>
      <w:sz w:val="28"/>
      <w:szCs w:val="28"/>
    </w:rPr>
  </w:style>
  <w:style w:type="character" w:styleId="32">
    <w:name w:val="Основной текст с отступом 3 Знак"/>
    <w:qFormat/>
    <w:rPr>
      <w:sz w:val="16"/>
      <w:szCs w:val="16"/>
    </w:rPr>
  </w:style>
  <w:style w:type="character" w:styleId="11">
    <w:name w:val="Неразрешенное упоминание1"/>
    <w:basedOn w:val="DefaultParagraphFont"/>
    <w:qFormat/>
    <w:rPr>
      <w:color w:val="605E5C"/>
      <w:shd w:fill="E1DFDD" w:val="clear"/>
    </w:rPr>
  </w:style>
  <w:style w:type="character" w:styleId="12">
    <w:name w:val="УРОВЕНЬ_1. Знак"/>
    <w:qFormat/>
    <w:rPr>
      <w:rFonts w:eastAsia="Calibri"/>
      <w:caps/>
      <w:sz w:val="28"/>
      <w:szCs w:val="28"/>
      <w:lang w:eastAsia="en-US"/>
    </w:rPr>
  </w:style>
  <w:style w:type="character" w:styleId="22">
    <w:name w:val="Пункт2 Знак"/>
    <w:qFormat/>
    <w:rPr>
      <w:b/>
      <w:sz w:val="28"/>
    </w:rPr>
  </w:style>
  <w:style w:type="character" w:styleId="Style16">
    <w:name w:val="Текст концевой сноски Знак"/>
    <w:basedOn w:val="DefaultParagraphFont"/>
    <w:qFormat/>
    <w:rPr/>
  </w:style>
  <w:style w:type="character" w:styleId="33">
    <w:name w:val="УРОВЕНЬ_Абзац_тип3 Знак"/>
    <w:qFormat/>
    <w:rPr>
      <w:rFonts w:eastAsia="Calibri"/>
      <w:sz w:val="26"/>
      <w:szCs w:val="28"/>
      <w:lang w:eastAsia="en-US"/>
    </w:rPr>
  </w:style>
  <w:style w:type="character" w:styleId="Style17">
    <w:name w:val="Подподпункт Знак"/>
    <w:qFormat/>
    <w:rPr>
      <w:sz w:val="26"/>
      <w:szCs w:val="26"/>
    </w:rPr>
  </w:style>
  <w:style w:type="character" w:styleId="Blk">
    <w:name w:val="blk"/>
    <w:qFormat/>
    <w:rPr/>
  </w:style>
  <w:style w:type="character" w:styleId="13">
    <w:name w:val="Подпункт Знак1"/>
    <w:qFormat/>
    <w:rPr>
      <w:sz w:val="28"/>
    </w:rPr>
  </w:style>
  <w:style w:type="character" w:styleId="Style18">
    <w:name w:val="Электронная подпись Знак"/>
    <w:qFormat/>
    <w:rPr>
      <w:rFonts w:eastAsia="Calibri"/>
      <w:sz w:val="24"/>
      <w:szCs w:val="24"/>
    </w:rPr>
  </w:style>
  <w:style w:type="character" w:styleId="BookTitle">
    <w:name w:val="Book Title"/>
    <w:qFormat/>
    <w:rPr>
      <w:b/>
      <w:bCs/>
      <w:smallCaps/>
      <w:spacing w:val="5"/>
    </w:rPr>
  </w:style>
  <w:style w:type="character" w:styleId="IntenseReference">
    <w:name w:val="Intense Reference"/>
    <w:qFormat/>
    <w:rPr>
      <w:b/>
      <w:bCs/>
      <w:smallCaps/>
      <w:color w:val="C0504D"/>
      <w:spacing w:val="5"/>
      <w:u w:val="single"/>
    </w:rPr>
  </w:style>
  <w:style w:type="character" w:styleId="SubtleReference">
    <w:name w:val="Subtle Reference"/>
    <w:qFormat/>
    <w:rPr>
      <w:smallCaps/>
      <w:color w:val="C0504D"/>
      <w:u w:val="single"/>
    </w:rPr>
  </w:style>
  <w:style w:type="character" w:styleId="IntenseEmphasis">
    <w:name w:val="Intense Emphasis"/>
    <w:qFormat/>
    <w:rPr>
      <w:b/>
      <w:bCs/>
      <w:i/>
      <w:iCs/>
      <w:color w:val="4F81BD"/>
    </w:rPr>
  </w:style>
  <w:style w:type="character" w:styleId="SubtleEmphasis">
    <w:name w:val="Subtle Emphasis"/>
    <w:qFormat/>
    <w:rPr>
      <w:i/>
      <w:iCs/>
      <w:color w:val="808080"/>
    </w:rPr>
  </w:style>
  <w:style w:type="character" w:styleId="Style19">
    <w:name w:val="Выделенная цитата Знак"/>
    <w:qFormat/>
    <w:rPr>
      <w:rFonts w:ascii="Calibri" w:hAnsi="Calibri" w:eastAsia="Calibri"/>
      <w:b/>
      <w:bCs/>
      <w:i/>
      <w:iCs/>
      <w:color w:val="4F81BD"/>
      <w:lang w:val="x-none" w:eastAsia="x-none"/>
    </w:rPr>
  </w:style>
  <w:style w:type="character" w:styleId="23">
    <w:name w:val="Цитата 2 Знак"/>
    <w:qFormat/>
    <w:rPr>
      <w:rFonts w:ascii="Calibri" w:hAnsi="Calibri" w:eastAsia="Calibri"/>
      <w:i/>
      <w:iCs/>
      <w:color w:val="000000"/>
      <w:lang w:val="x-none" w:eastAsia="x-none"/>
    </w:rPr>
  </w:style>
  <w:style w:type="character" w:styleId="Emphasis">
    <w:name w:val="Emphasis"/>
    <w:qFormat/>
    <w:rPr>
      <w:i/>
      <w:iCs/>
    </w:rPr>
  </w:style>
  <w:style w:type="character" w:styleId="Style20">
    <w:name w:val="Подзаголовок Знак"/>
    <w:qFormat/>
    <w:rPr>
      <w:rFonts w:ascii="Cambria" w:hAnsi="Cambria"/>
      <w:i/>
      <w:iCs/>
      <w:color w:val="4F81BD"/>
      <w:spacing w:val="15"/>
      <w:sz w:val="24"/>
      <w:szCs w:val="24"/>
      <w:lang w:val="x-none" w:eastAsia="x-none"/>
    </w:rPr>
  </w:style>
  <w:style w:type="character" w:styleId="Style21">
    <w:name w:val="Название Знак"/>
    <w:qFormat/>
    <w:rPr>
      <w:sz w:val="28"/>
    </w:rPr>
  </w:style>
  <w:style w:type="character" w:styleId="9">
    <w:name w:val="Заголовок 9 Знак"/>
    <w:qFormat/>
    <w:rPr>
      <w:rFonts w:ascii="Arial" w:hAnsi="Arial" w:cs="Arial"/>
      <w:sz w:val="22"/>
      <w:szCs w:val="22"/>
    </w:rPr>
  </w:style>
  <w:style w:type="character" w:styleId="5">
    <w:name w:val="Заголовок 5 Знак"/>
    <w:qFormat/>
    <w:rPr>
      <w:b/>
      <w:bCs/>
      <w:i/>
      <w:iCs/>
      <w:sz w:val="26"/>
      <w:szCs w:val="26"/>
    </w:rPr>
  </w:style>
  <w:style w:type="character" w:styleId="4">
    <w:name w:val="Заголовок 4 Знак"/>
    <w:qFormat/>
    <w:rPr>
      <w:rFonts w:eastAsia="Calibri"/>
      <w:b/>
      <w:bCs/>
      <w:sz w:val="24"/>
      <w:szCs w:val="24"/>
      <w:lang w:val="x-none" w:eastAsia="x-none"/>
    </w:rPr>
  </w:style>
  <w:style w:type="character" w:styleId="24">
    <w:name w:val="Заголовок 2 Знак"/>
    <w:qFormat/>
    <w:rPr>
      <w:rFonts w:eastAsia="Calibri"/>
      <w:b/>
      <w:bCs/>
      <w:sz w:val="24"/>
      <w:szCs w:val="24"/>
      <w:lang w:val="x-none" w:eastAsia="x-none"/>
    </w:rPr>
  </w:style>
  <w:style w:type="character" w:styleId="8">
    <w:name w:val="Заголовок 8 Знак"/>
    <w:qFormat/>
    <w:rPr>
      <w:rFonts w:ascii="Cambria" w:hAnsi="Cambria"/>
      <w:color w:val="4F81BD"/>
      <w:lang w:val="x-none" w:eastAsia="x-none"/>
    </w:rPr>
  </w:style>
  <w:style w:type="character" w:styleId="7">
    <w:name w:val="Заголовок 7 Знак"/>
    <w:qFormat/>
    <w:rPr>
      <w:rFonts w:ascii="Cambria" w:hAnsi="Cambria"/>
      <w:i/>
      <w:iCs/>
      <w:color w:val="404040"/>
      <w:lang w:val="x-none" w:eastAsia="x-none"/>
    </w:rPr>
  </w:style>
  <w:style w:type="character" w:styleId="6">
    <w:name w:val="Заголовок 6 Знак"/>
    <w:qFormat/>
    <w:rPr>
      <w:rFonts w:ascii="Cambria" w:hAnsi="Cambria"/>
      <w:i/>
      <w:iCs/>
      <w:color w:val="243F60"/>
      <w:lang w:val="x-none" w:eastAsia="x-none"/>
    </w:rPr>
  </w:style>
  <w:style w:type="character" w:styleId="Strong">
    <w:name w:val="Strong"/>
    <w:qFormat/>
    <w:rPr>
      <w:b/>
      <w:bCs/>
    </w:rPr>
  </w:style>
  <w:style w:type="character" w:styleId="FollowedHyperlink">
    <w:name w:val="FollowedHyperlink"/>
    <w:rPr>
      <w:color w:val="800000"/>
      <w:u w:val="single"/>
    </w:rPr>
  </w:style>
  <w:style w:type="character" w:styleId="Tipsy-tooltip">
    <w:name w:val="tipsy-tooltip"/>
    <w:qFormat/>
    <w:rPr>
      <w:rFonts w:ascii="Times New Roman" w:hAnsi="Times New Roman" w:eastAsia="Times New Roman" w:cs="Times New Roman"/>
      <w:color w:val="000000"/>
      <w:sz w:val="24"/>
      <w:szCs w:val="24"/>
    </w:rPr>
  </w:style>
  <w:style w:type="character" w:styleId="Strong1">
    <w:name w:val="Strong1"/>
    <w:qFormat/>
    <w:rPr>
      <w:b/>
      <w:bCs/>
    </w:rPr>
  </w:style>
  <w:style w:type="character" w:styleId="Strong2">
    <w:name w:val="Strong2"/>
    <w:qFormat/>
    <w:rPr>
      <w:b/>
      <w:bCs/>
    </w:rPr>
  </w:style>
  <w:style w:type="character" w:styleId="14">
    <w:name w:val="Верхний колонтитул Знак1"/>
    <w:qFormat/>
    <w:rPr>
      <w:rFonts w:ascii="Times New Roman" w:hAnsi="Times New Roman" w:eastAsia="Times New Roman" w:cs="Times New Roman"/>
      <w:color w:val="000000"/>
      <w:sz w:val="28"/>
      <w:szCs w:val="28"/>
      <w:lang w:eastAsia="ru-RU"/>
    </w:rPr>
  </w:style>
  <w:style w:type="character" w:styleId="15">
    <w:name w:val="Текст сноски Знак1"/>
    <w:qFormat/>
    <w:rPr>
      <w:rFonts w:ascii="Times New Roman" w:hAnsi="Times New Roman" w:eastAsia="Times New Roman" w:cs="Times New Roman"/>
      <w:color w:val="000000"/>
      <w:sz w:val="20"/>
      <w:szCs w:val="20"/>
      <w:lang w:eastAsia="ru-RU"/>
    </w:rPr>
  </w:style>
  <w:style w:type="character" w:styleId="16">
    <w:name w:val="Текст концевой сноски Знак1"/>
    <w:qFormat/>
    <w:rPr>
      <w:rFonts w:ascii="Times New Roman" w:hAnsi="Times New Roman" w:eastAsia="Times New Roman" w:cs="Times New Roman"/>
      <w:color w:val="000000"/>
      <w:sz w:val="20"/>
      <w:szCs w:val="20"/>
    </w:rPr>
  </w:style>
  <w:style w:type="character" w:styleId="17">
    <w:name w:val="Электронная подпись Знак1"/>
    <w:qFormat/>
    <w:rPr>
      <w:rFonts w:ascii="Times New Roman" w:hAnsi="Times New Roman" w:eastAsia="Times New Roman" w:cs="Times New Roman"/>
      <w:color w:val="000000"/>
      <w:sz w:val="24"/>
      <w:szCs w:val="24"/>
    </w:rPr>
  </w:style>
  <w:style w:type="character" w:styleId="18">
    <w:name w:val="Выделенная цитата Знак1"/>
    <w:qFormat/>
    <w:rPr>
      <w:rFonts w:ascii="Times New Roman" w:hAnsi="Times New Roman" w:eastAsia="Times New Roman" w:cs="Times New Roman"/>
      <w:i/>
      <w:iCs/>
      <w:color w:val="5B9BD5"/>
      <w:sz w:val="24"/>
      <w:szCs w:val="24"/>
    </w:rPr>
  </w:style>
  <w:style w:type="character" w:styleId="211">
    <w:name w:val="Цитата 2 Знак1"/>
    <w:qFormat/>
    <w:rPr>
      <w:rFonts w:ascii="Times New Roman" w:hAnsi="Times New Roman" w:eastAsia="Times New Roman" w:cs="Times New Roman"/>
      <w:i/>
      <w:iCs/>
      <w:color w:val="404040"/>
      <w:sz w:val="24"/>
      <w:szCs w:val="24"/>
    </w:rPr>
  </w:style>
  <w:style w:type="character" w:styleId="19">
    <w:name w:val="Подзаголовок Знак1"/>
    <w:qFormat/>
    <w:rPr>
      <w:rFonts w:ascii="Times New Roman" w:hAnsi="Times New Roman" w:eastAsia="0" w:cs="Times New Roman"/>
      <w:color w:val="5A5A5A"/>
      <w:spacing w:val="15"/>
      <w:sz w:val="24"/>
      <w:szCs w:val="24"/>
    </w:rPr>
  </w:style>
  <w:style w:type="character" w:styleId="110">
    <w:name w:val="Текст примечания Знак1"/>
    <w:qFormat/>
    <w:rPr>
      <w:rFonts w:ascii="Times New Roman" w:hAnsi="Times New Roman" w:eastAsia="Times New Roman" w:cs="Times New Roman"/>
      <w:color w:val="000000"/>
      <w:sz w:val="20"/>
      <w:szCs w:val="20"/>
    </w:rPr>
  </w:style>
  <w:style w:type="character" w:styleId="311">
    <w:name w:val="Основной текст с отступом 3 Знак1"/>
    <w:qFormat/>
    <w:rPr>
      <w:rFonts w:ascii="Times New Roman" w:hAnsi="Times New Roman" w:eastAsia="Times New Roman" w:cs="Times New Roman"/>
      <w:color w:val="000000"/>
      <w:sz w:val="16"/>
      <w:szCs w:val="16"/>
    </w:rPr>
  </w:style>
  <w:style w:type="character" w:styleId="111">
    <w:name w:val="Основной текст Знак1"/>
    <w:qFormat/>
    <w:rPr>
      <w:rFonts w:ascii="Times New Roman" w:hAnsi="Times New Roman" w:eastAsia="Times New Roman" w:cs="Times New Roman"/>
      <w:color w:val="000000"/>
      <w:sz w:val="24"/>
      <w:szCs w:val="24"/>
    </w:rPr>
  </w:style>
  <w:style w:type="character" w:styleId="Style22">
    <w:name w:val="Символ нумерации"/>
    <w:qFormat/>
    <w:rPr/>
  </w:style>
  <w:style w:type="character" w:styleId="Style23">
    <w:name w:val="Маркеры"/>
    <w:qFormat/>
    <w:rPr>
      <w:rFonts w:ascii="OpenSymbol" w:hAnsi="OpenSymbol" w:eastAsia="OpenSymbol" w:cs="OpenSymbol"/>
    </w:rPr>
  </w:style>
  <w:style w:type="paragraph" w:styleId="Style24">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2"/>
    <w:rsid w:val="00886f70"/>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5">
    <w:name w:val="Указатель"/>
    <w:basedOn w:val="Normal"/>
    <w:qFormat/>
    <w:pPr>
      <w:suppressLineNumbers/>
    </w:pPr>
    <w:rPr>
      <w:rFonts w:cs="Arial Unicode MS"/>
    </w:rPr>
  </w:style>
  <w:style w:type="paragraph" w:styleId="Title">
    <w:name w:val="Title"/>
    <w:basedOn w:val="Normal"/>
    <w:next w:val="BodyText"/>
    <w:link w:val="Style"/>
    <w:qFormat/>
    <w:rsid w:val="00886f7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1">
    <w:name w:val="index heading1"/>
    <w:basedOn w:val="Normal"/>
    <w:qFormat/>
    <w:pPr>
      <w:suppressLineNumbers/>
    </w:pPr>
    <w:rPr/>
  </w:style>
  <w:style w:type="paragraph" w:styleId="112" w:customStyle="1">
    <w:name w:val="Заголовок1"/>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1" w:customStyle="1">
    <w:name w:val="caption11"/>
    <w:basedOn w:val="Normal"/>
    <w:qFormat/>
    <w:pPr>
      <w:suppressLineNumbers/>
      <w:spacing w:before="120" w:after="120"/>
    </w:pPr>
    <w:rPr>
      <w:i/>
      <w:iCs/>
      <w:sz w:val="24"/>
      <w:szCs w:val="24"/>
    </w:rPr>
  </w:style>
  <w:style w:type="paragraph" w:styleId="Style26" w:customStyle="1">
    <w:name w:val="Таблицы (моноширинный)"/>
    <w:basedOn w:val="Normal"/>
    <w:next w:val="Normal"/>
    <w:qFormat/>
    <w:rsid w:val="00886f70"/>
    <w:pPr>
      <w:jc w:val="both"/>
    </w:pPr>
    <w:rPr>
      <w:rFonts w:ascii="Courier New" w:hAnsi="Courier New" w:cs="Courier New"/>
    </w:rPr>
  </w:style>
  <w:style w:type="paragraph" w:styleId="BodyTextIndent2">
    <w:name w:val="Body Text Indent 2"/>
    <w:basedOn w:val="Normal"/>
    <w:link w:val="2"/>
    <w:qFormat/>
    <w:rsid w:val="00886f70"/>
    <w:pPr>
      <w:ind w:hanging="0" w:left="1843"/>
      <w:jc w:val="both"/>
    </w:pPr>
    <w:rPr>
      <w:sz w:val="24"/>
    </w:rPr>
  </w:style>
  <w:style w:type="paragraph" w:styleId="BalloonText">
    <w:name w:val="Balloon Text"/>
    <w:basedOn w:val="Normal"/>
    <w:link w:val="Style1"/>
    <w:semiHidden/>
    <w:qFormat/>
    <w:rsid w:val="00886f70"/>
    <w:pPr/>
    <w:rPr>
      <w:rFonts w:ascii="Tahoma" w:hAnsi="Tahoma" w:cs="Tahoma"/>
      <w:sz w:val="16"/>
      <w:szCs w:val="16"/>
    </w:rPr>
  </w:style>
  <w:style w:type="paragraph" w:styleId="BodyText2">
    <w:name w:val="Body Text 2"/>
    <w:basedOn w:val="Normal"/>
    <w:link w:val="21"/>
    <w:qFormat/>
    <w:rsid w:val="00886f70"/>
    <w:pPr>
      <w:widowControl/>
      <w:spacing w:lineRule="auto" w:line="480" w:before="0" w:after="120"/>
    </w:pPr>
    <w:rPr>
      <w:sz w:val="24"/>
      <w:szCs w:val="24"/>
    </w:rPr>
  </w:style>
  <w:style w:type="paragraph" w:styleId="Style27" w:customStyle="1">
    <w:name w:val="Колонтитул"/>
    <w:basedOn w:val="Normal"/>
    <w:qFormat/>
    <w:pPr/>
    <w:rPr/>
  </w:style>
  <w:style w:type="paragraph" w:styleId="Footer">
    <w:name w:val="Footer"/>
    <w:basedOn w:val="Normal"/>
    <w:link w:val="Style3"/>
    <w:uiPriority w:val="99"/>
    <w:rsid w:val="00886f70"/>
    <w:pPr>
      <w:tabs>
        <w:tab w:val="clear" w:pos="709"/>
        <w:tab w:val="center" w:pos="4677" w:leader="none"/>
        <w:tab w:val="right" w:pos="9355" w:leader="none"/>
      </w:tabs>
    </w:pPr>
    <w:rPr/>
  </w:style>
  <w:style w:type="paragraph" w:styleId="BodyText3">
    <w:name w:val="Body Text 3"/>
    <w:basedOn w:val="Normal"/>
    <w:link w:val="31"/>
    <w:qFormat/>
    <w:rsid w:val="00886f70"/>
    <w:pPr>
      <w:spacing w:before="0" w:after="120"/>
    </w:pPr>
    <w:rPr>
      <w:sz w:val="16"/>
      <w:szCs w:val="16"/>
      <w:lang w:val="x-none" w:eastAsia="x-none"/>
    </w:rPr>
  </w:style>
  <w:style w:type="paragraph" w:styleId="Annotationtext">
    <w:name w:val="annotation text"/>
    <w:basedOn w:val="Normal"/>
    <w:link w:val="Style4"/>
    <w:qFormat/>
    <w:rsid w:val="00886f70"/>
    <w:pPr/>
    <w:rPr/>
  </w:style>
  <w:style w:type="paragraph" w:styleId="Annotationsubject">
    <w:name w:val="annotation subject"/>
    <w:basedOn w:val="Annotationtext"/>
    <w:next w:val="Annotationtext"/>
    <w:link w:val="Style5"/>
    <w:qFormat/>
    <w:rsid w:val="00886f70"/>
    <w:pPr/>
    <w:rPr>
      <w:b/>
      <w:bCs/>
      <w:lang w:val="x-none" w:eastAsia="x-none"/>
    </w:rPr>
  </w:style>
  <w:style w:type="paragraph" w:styleId="ListParagraph">
    <w:name w:val="List Paragraph"/>
    <w:basedOn w:val="Normal"/>
    <w:link w:val="Style12"/>
    <w:uiPriority w:val="34"/>
    <w:qFormat/>
    <w:rsid w:val="00886f70"/>
    <w:pPr>
      <w:spacing w:before="0" w:after="0"/>
      <w:ind w:hanging="0" w:left="720"/>
      <w:contextualSpacing/>
    </w:pPr>
    <w:rPr/>
  </w:style>
  <w:style w:type="paragraph" w:styleId="Style28" w:customStyle="1">
    <w:name w:val="Знак Знак Знак Знак Знак Знак Знак Знак Знак"/>
    <w:basedOn w:val="Normal"/>
    <w:uiPriority w:val="99"/>
    <w:qFormat/>
    <w:rsid w:val="00886f70"/>
    <w:pPr>
      <w:widowControl/>
      <w:spacing w:lineRule="exact" w:line="240" w:before="0" w:after="160"/>
      <w:jc w:val="both"/>
    </w:pPr>
    <w:rPr>
      <w:rFonts w:ascii="Verdana" w:hAnsi="Verdana"/>
      <w:sz w:val="22"/>
      <w:lang w:val="en-US" w:eastAsia="en-US"/>
    </w:rPr>
  </w:style>
  <w:style w:type="paragraph" w:styleId="Style29" w:customStyle="1">
    <w:name w:val="Подпункт договора"/>
    <w:basedOn w:val="Normal"/>
    <w:qFormat/>
    <w:rsid w:val="00886f70"/>
    <w:pPr>
      <w:widowControl/>
      <w:tabs>
        <w:tab w:val="clear" w:pos="709"/>
        <w:tab w:val="left" w:pos="360" w:leader="none"/>
      </w:tabs>
      <w:jc w:val="both"/>
    </w:pPr>
    <w:rPr>
      <w:rFonts w:ascii="Arial" w:hAnsi="Arial"/>
    </w:rPr>
  </w:style>
  <w:style w:type="paragraph" w:styleId="ConsNormal" w:customStyle="1">
    <w:name w:val="ConsNormal"/>
    <w:qFormat/>
    <w:rsid w:val="00886f70"/>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6"/>
    <w:rsid w:val="00886f70"/>
    <w:pPr>
      <w:spacing w:before="0" w:after="120"/>
      <w:ind w:hanging="0" w:left="283"/>
    </w:pPr>
    <w:rPr/>
  </w:style>
  <w:style w:type="paragraph" w:styleId="Style30" w:customStyle="1">
    <w:name w:val="Знак"/>
    <w:basedOn w:val="Normal"/>
    <w:qFormat/>
    <w:rsid w:val="00886f70"/>
    <w:pPr>
      <w:widowControl/>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886f70"/>
    <w:pPr/>
    <w:rPr/>
  </w:style>
  <w:style w:type="paragraph" w:styleId="ListBullet3">
    <w:name w:val="List Bullet 3"/>
    <w:basedOn w:val="Normal"/>
    <w:uiPriority w:val="99"/>
    <w:unhideWhenUsed/>
    <w:qFormat/>
    <w:rsid w:val="00886f70"/>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886f70"/>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semiHidden/>
    <w:qFormat/>
    <w:rsid w:val="00886f70"/>
    <w:pPr>
      <w:shd w:val="clear" w:color="auto" w:fill="000080"/>
    </w:pPr>
    <w:rPr>
      <w:rFonts w:ascii="Tahoma" w:hAnsi="Tahoma" w:cs="Tahoma"/>
    </w:rPr>
  </w:style>
  <w:style w:type="paragraph" w:styleId="Revision">
    <w:name w:val="Revision"/>
    <w:uiPriority w:val="99"/>
    <w:semiHidden/>
    <w:qFormat/>
    <w:rsid w:val="00886f7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886f70"/>
    <w:pPr>
      <w:tabs>
        <w:tab w:val="clear" w:pos="709"/>
        <w:tab w:val="center" w:pos="4677" w:leader="none"/>
        <w:tab w:val="right" w:pos="9355" w:leader="none"/>
      </w:tabs>
    </w:pPr>
    <w:rPr/>
  </w:style>
  <w:style w:type="paragraph" w:styleId="Style31" w:customStyle="1">
    <w:name w:val="Пункт договора"/>
    <w:basedOn w:val="Normal"/>
    <w:qFormat/>
    <w:rsid w:val="00886f70"/>
    <w:pPr>
      <w:jc w:val="both"/>
    </w:pPr>
    <w:rPr>
      <w:rFonts w:ascii="Arial" w:hAnsi="Arial"/>
    </w:rPr>
  </w:style>
  <w:style w:type="paragraph" w:styleId="113" w:customStyle="1">
    <w:name w:val="Знак Знак Знак Знак Знак Знак Знак Знак Знак1"/>
    <w:basedOn w:val="Normal"/>
    <w:qFormat/>
    <w:rsid w:val="00886f70"/>
    <w:pPr>
      <w:widowControl/>
      <w:spacing w:lineRule="exact" w:line="240" w:before="0" w:after="160"/>
      <w:jc w:val="both"/>
    </w:pPr>
    <w:rPr>
      <w:rFonts w:ascii="Verdana" w:hAnsi="Verdana"/>
      <w:sz w:val="22"/>
      <w:lang w:val="en-US" w:eastAsia="en-US"/>
    </w:rPr>
  </w:style>
  <w:style w:type="paragraph" w:styleId="114" w:customStyle="1">
    <w:name w:val="Обычный1"/>
    <w:qFormat/>
    <w:rsid w:val="00886f70"/>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886f70"/>
    <w:pPr>
      <w:widowControl w:val="false"/>
      <w:suppressAutoHyphens w:val="true"/>
      <w:bidi w:val="0"/>
      <w:spacing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Standard" w:customStyle="1">
    <w:name w:val="Standard"/>
    <w:qFormat/>
    <w:rsid w:val="00a106e8"/>
    <w:pPr>
      <w:widowControl/>
      <w:suppressAutoHyphens w:val="true"/>
      <w:bidi w:val="0"/>
      <w:spacing w:before="0" w:after="0"/>
      <w:jc w:val="left"/>
      <w:textAlignment w:val="baseline"/>
    </w:pPr>
    <w:rPr>
      <w:rFonts w:ascii="Liberation Serif" w:hAnsi="Liberation Serif" w:eastAsia="Arial Unicode MS" w:cs="Arial Unicode MS"/>
      <w:color w:val="auto"/>
      <w:kern w:val="2"/>
      <w:sz w:val="24"/>
      <w:szCs w:val="24"/>
      <w:lang w:val="ru-RU" w:eastAsia="zh-CN" w:bidi="hi-IN"/>
    </w:rPr>
  </w:style>
  <w:style w:type="paragraph" w:styleId="Style32">
    <w:name w:val="Содержимое таблицы"/>
    <w:basedOn w:val="Normal"/>
    <w:qFormat/>
    <w:pPr>
      <w:widowControl w:val="false"/>
      <w:suppressLineNumbers/>
    </w:pPr>
    <w:rPr/>
  </w:style>
  <w:style w:type="paragraph" w:styleId="Style33">
    <w:name w:val="Заголовок таблицы"/>
    <w:basedOn w:val="Style32"/>
    <w:qFormat/>
    <w:pPr>
      <w:jc w:val="center"/>
    </w:pPr>
    <w:rPr>
      <w:b/>
      <w:bCs/>
    </w:rPr>
  </w:style>
  <w:style w:type="paragraph" w:styleId="Style34">
    <w:name w:val="Содержимое врезки"/>
    <w:basedOn w:val="Normal"/>
    <w:qFormat/>
    <w:pPr/>
    <w:rPr/>
  </w:style>
  <w:style w:type="paragraph" w:styleId="312">
    <w:name w:val="Основной текст с отступом 31"/>
    <w:basedOn w:val="Normal"/>
    <w:qFormat/>
    <w:pPr>
      <w:ind w:firstLine="708" w:left="0" w:right="0"/>
    </w:pPr>
    <w:rPr>
      <w:sz w:val="24"/>
      <w:szCs w:val="24"/>
      <w:lang w:eastAsia="ar-SA"/>
    </w:rPr>
  </w:style>
  <w:style w:type="paragraph" w:styleId="FORMATTEXT">
    <w:name w:val=".FORMATTEXT"/>
    <w:qFormat/>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Style35">
    <w:name w:val="основной для подзаголовков"/>
    <w:basedOn w:val="Heading2"/>
    <w:qFormat/>
    <w:pPr>
      <w:tabs>
        <w:tab w:val="clear" w:pos="709"/>
      </w:tabs>
      <w:spacing w:before="120" w:after="120"/>
    </w:pPr>
    <w:rPr>
      <w:rFonts w:eastAsia="Times New Roman"/>
      <w:bCs w:val="false"/>
      <w:sz w:val="28"/>
      <w:szCs w:val="28"/>
      <w:lang w:val="ru-RU" w:eastAsia="ru-RU"/>
    </w:rPr>
  </w:style>
  <w:style w:type="paragraph" w:styleId="TOC8">
    <w:name w:val="TOC 8"/>
    <w:basedOn w:val="Normal"/>
    <w:next w:val="Normal"/>
    <w:pPr>
      <w:ind w:hanging="0" w:left="1680" w:right="0"/>
    </w:pPr>
    <w:rPr>
      <w:rFonts w:ascii="Calibri" w:hAnsi="Calibri" w:cs="Calibri"/>
      <w:sz w:val="20"/>
      <w:szCs w:val="20"/>
    </w:rPr>
  </w:style>
  <w:style w:type="paragraph" w:styleId="TOC7">
    <w:name w:val="TOC 7"/>
    <w:basedOn w:val="Normal"/>
    <w:next w:val="Normal"/>
    <w:pPr>
      <w:ind w:hanging="0" w:left="1400" w:right="0"/>
    </w:pPr>
    <w:rPr>
      <w:rFonts w:ascii="Calibri" w:hAnsi="Calibri" w:cs="Calibri"/>
      <w:sz w:val="20"/>
      <w:szCs w:val="20"/>
    </w:rPr>
  </w:style>
  <w:style w:type="paragraph" w:styleId="TOC6">
    <w:name w:val="TOC 6"/>
    <w:basedOn w:val="Normal"/>
    <w:next w:val="Normal"/>
    <w:pPr>
      <w:ind w:hanging="0" w:left="1120" w:right="0"/>
    </w:pPr>
    <w:rPr>
      <w:rFonts w:ascii="Calibri" w:hAnsi="Calibri" w:cs="Calibri"/>
      <w:sz w:val="20"/>
      <w:szCs w:val="20"/>
    </w:rPr>
  </w:style>
  <w:style w:type="paragraph" w:styleId="115">
    <w:name w:val="УРОВЕНЬ_1."/>
    <w:basedOn w:val="ListParagraph"/>
    <w:qFormat/>
    <w:pPr>
      <w:keepNext w:val="true"/>
      <w:keepLines/>
      <w:numPr>
        <w:ilvl w:val="0"/>
        <w:numId w:val="0"/>
      </w:numPr>
      <w:spacing w:lineRule="auto" w:line="276" w:before="240" w:after="120"/>
      <w:ind w:hanging="0" w:left="0" w:right="0"/>
      <w:contextualSpacing w:val="false"/>
      <w:jc w:val="both"/>
      <w:outlineLvl w:val="0"/>
    </w:pPr>
    <w:rPr>
      <w:caps/>
      <w:sz w:val="28"/>
      <w:szCs w:val="28"/>
      <w:lang w:eastAsia="en-US"/>
    </w:rPr>
  </w:style>
  <w:style w:type="paragraph" w:styleId="NormalWeb">
    <w:name w:val="Normal (Web)"/>
    <w:basedOn w:val="Normal"/>
    <w:qFormat/>
    <w:pPr>
      <w:spacing w:before="280" w:after="280"/>
    </w:pPr>
    <w:rPr>
      <w:sz w:val="24"/>
      <w:szCs w:val="24"/>
    </w:rPr>
  </w:style>
  <w:style w:type="paragraph" w:styleId="Style36">
    <w:name w:val="Таблица текст"/>
    <w:basedOn w:val="Normal"/>
    <w:qFormat/>
    <w:pPr>
      <w:spacing w:before="40" w:after="40"/>
      <w:ind w:hanging="0" w:left="57" w:right="57"/>
    </w:pPr>
    <w:rPr>
      <w:sz w:val="24"/>
      <w:szCs w:val="26"/>
    </w:rPr>
  </w:style>
  <w:style w:type="paragraph" w:styleId="25">
    <w:name w:val="Заголовок 2 КВВ"/>
    <w:basedOn w:val="Normal"/>
    <w:qFormat/>
    <w:pPr>
      <w:keepNext w:val="true"/>
      <w:numPr>
        <w:ilvl w:val="0"/>
        <w:numId w:val="5"/>
      </w:numPr>
      <w:spacing w:before="120" w:after="120"/>
      <w:jc w:val="both"/>
      <w:outlineLvl w:val="0"/>
    </w:pPr>
    <w:rPr>
      <w:b/>
      <w:kern w:val="2"/>
      <w:sz w:val="24"/>
      <w:szCs w:val="20"/>
      <w:lang w:eastAsia="x-none"/>
    </w:rPr>
  </w:style>
  <w:style w:type="paragraph" w:styleId="EndnoteText">
    <w:name w:val="Endnote Text"/>
    <w:basedOn w:val="Normal"/>
    <w:pPr/>
    <w:rPr>
      <w:sz w:val="20"/>
      <w:szCs w:val="20"/>
    </w:rPr>
  </w:style>
  <w:style w:type="paragraph" w:styleId="116">
    <w:name w:val="Стиль Заголовок 1 + по ширине"/>
    <w:basedOn w:val="Heading1"/>
    <w:qFormat/>
    <w:pPr>
      <w:keepLines/>
      <w:tabs>
        <w:tab w:val="clear" w:pos="709"/>
        <w:tab w:val="left" w:pos="567" w:leader="none"/>
      </w:tabs>
      <w:spacing w:before="480" w:after="240"/>
      <w:ind w:hanging="567" w:left="567" w:right="0"/>
      <w:jc w:val="both"/>
    </w:pPr>
    <w:rPr>
      <w:rFonts w:ascii="Arial" w:hAnsi="Arial" w:eastAsia="Times New Roman"/>
      <w:bCs/>
      <w:kern w:val="2"/>
      <w:sz w:val="40"/>
      <w:szCs w:val="20"/>
      <w:lang w:val="ru-RU" w:eastAsia="ru-RU"/>
    </w:rPr>
  </w:style>
  <w:style w:type="paragraph" w:styleId="Style37">
    <w:name w:val="УРОВЕНЬ_Подпись"/>
    <w:basedOn w:val="ListParagraph"/>
    <w:qFormat/>
    <w:pPr>
      <w:keepNext w:val="true"/>
      <w:numPr>
        <w:ilvl w:val="5"/>
        <w:numId w:val="4"/>
      </w:numPr>
      <w:spacing w:lineRule="exact" w:line="360" w:before="120" w:after="120"/>
      <w:contextualSpacing w:val="false"/>
      <w:jc w:val="right"/>
      <w:outlineLvl w:val="3"/>
    </w:pPr>
    <w:rPr>
      <w:sz w:val="26"/>
      <w:szCs w:val="28"/>
      <w:lang w:eastAsia="en-US"/>
    </w:rPr>
  </w:style>
  <w:style w:type="paragraph" w:styleId="34">
    <w:name w:val="УРОВЕНЬ_Абзац_тип3"/>
    <w:basedOn w:val="ListParagraph"/>
    <w:qFormat/>
    <w:pPr>
      <w:numPr>
        <w:ilvl w:val="7"/>
        <w:numId w:val="4"/>
      </w:numPr>
      <w:spacing w:lineRule="exact" w:line="360" w:before="120" w:after="0"/>
      <w:contextualSpacing w:val="false"/>
      <w:jc w:val="both"/>
    </w:pPr>
    <w:rPr>
      <w:sz w:val="26"/>
      <w:szCs w:val="28"/>
      <w:lang w:eastAsia="en-US"/>
    </w:rPr>
  </w:style>
  <w:style w:type="paragraph" w:styleId="26">
    <w:name w:val="УРОВЕНЬ_Абзац_тип2"/>
    <w:basedOn w:val="ListParagraph"/>
    <w:qFormat/>
    <w:pPr>
      <w:numPr>
        <w:ilvl w:val="6"/>
        <w:numId w:val="4"/>
      </w:numPr>
      <w:spacing w:lineRule="exact" w:line="360" w:before="120" w:after="0"/>
      <w:contextualSpacing w:val="false"/>
      <w:jc w:val="both"/>
    </w:pPr>
    <w:rPr>
      <w:sz w:val="26"/>
      <w:szCs w:val="28"/>
      <w:lang w:eastAsia="en-US"/>
    </w:rPr>
  </w:style>
  <w:style w:type="paragraph" w:styleId="-1">
    <w:name w:val="УРОВЕНЬ_-"/>
    <w:basedOn w:val="ListParagraph"/>
    <w:qFormat/>
    <w:pPr>
      <w:numPr>
        <w:ilvl w:val="4"/>
        <w:numId w:val="4"/>
      </w:numPr>
      <w:spacing w:lineRule="exact" w:line="360" w:before="120" w:after="0"/>
      <w:contextualSpacing w:val="false"/>
      <w:jc w:val="both"/>
      <w:outlineLvl w:val="4"/>
    </w:pPr>
    <w:rPr>
      <w:sz w:val="26"/>
      <w:szCs w:val="28"/>
      <w:lang w:eastAsia="en-US"/>
    </w:rPr>
  </w:style>
  <w:style w:type="paragraph" w:styleId="Style38">
    <w:name w:val="УРОВЕНЬ_(а)"/>
    <w:basedOn w:val="ListParagraph"/>
    <w:qFormat/>
    <w:pPr>
      <w:numPr>
        <w:ilvl w:val="3"/>
        <w:numId w:val="4"/>
      </w:numPr>
      <w:spacing w:lineRule="exact" w:line="360" w:before="120" w:after="0"/>
      <w:contextualSpacing w:val="false"/>
      <w:jc w:val="both"/>
      <w:outlineLvl w:val="3"/>
    </w:pPr>
    <w:rPr>
      <w:sz w:val="26"/>
      <w:szCs w:val="28"/>
      <w:lang w:eastAsia="en-US"/>
    </w:rPr>
  </w:style>
  <w:style w:type="paragraph" w:styleId="Style39">
    <w:name w:val="Подподпункт"/>
    <w:basedOn w:val="Style45"/>
    <w:qFormat/>
    <w:pPr>
      <w:tabs>
        <w:tab w:val="clear" w:pos="1134"/>
        <w:tab w:val="left" w:pos="5104" w:leader="none"/>
      </w:tabs>
      <w:snapToGrid w:val="true"/>
      <w:spacing w:lineRule="auto" w:line="240" w:before="120" w:after="0"/>
      <w:ind w:hanging="567" w:left="5104" w:right="0"/>
    </w:pPr>
    <w:rPr>
      <w:sz w:val="26"/>
      <w:szCs w:val="26"/>
      <w:lang w:val="ru-RU" w:eastAsia="ru-RU"/>
    </w:rPr>
  </w:style>
  <w:style w:type="paragraph" w:styleId="Style40">
    <w:name w:val="Таблица шапка"/>
    <w:basedOn w:val="Normal"/>
    <w:qFormat/>
    <w:pPr>
      <w:keepNext w:val="true"/>
      <w:spacing w:before="40" w:after="40"/>
      <w:ind w:hanging="0" w:left="57" w:right="57"/>
    </w:pPr>
    <w:rPr>
      <w:sz w:val="22"/>
      <w:szCs w:val="26"/>
    </w:rPr>
  </w:style>
  <w:style w:type="paragraph" w:styleId="Style41">
    <w:name w:val="Таблица"/>
    <w:basedOn w:val="Normal"/>
    <w:qFormat/>
    <w:pPr>
      <w:keepNext w:val="true"/>
      <w:spacing w:before="60" w:after="60"/>
      <w:jc w:val="center"/>
    </w:pPr>
    <w:rPr>
      <w:rFonts w:eastAsia="Calibri"/>
      <w:b/>
      <w:sz w:val="24"/>
      <w:szCs w:val="24"/>
      <w:lang w:val="x-none" w:eastAsia="x-none"/>
    </w:rPr>
  </w:style>
  <w:style w:type="paragraph" w:styleId="117">
    <w:name w:val="Абзац списка1"/>
    <w:basedOn w:val="Normal"/>
    <w:qFormat/>
    <w:pPr>
      <w:spacing w:lineRule="auto" w:line="276" w:before="0" w:after="200"/>
      <w:ind w:hanging="0" w:left="720" w:right="0"/>
      <w:contextualSpacing/>
    </w:pPr>
    <w:rPr>
      <w:rFonts w:ascii="Calibri" w:hAnsi="Calibri"/>
      <w:sz w:val="22"/>
      <w:szCs w:val="22"/>
      <w:lang w:eastAsia="en-US"/>
    </w:rPr>
  </w:style>
  <w:style w:type="paragraph" w:styleId="Style42">
    <w:name w:val="Пункт"/>
    <w:basedOn w:val="Normal"/>
    <w:qFormat/>
    <w:pPr>
      <w:widowControl w:val="false"/>
      <w:tabs>
        <w:tab w:val="clear" w:pos="709"/>
        <w:tab w:val="left" w:pos="1134" w:leader="none"/>
      </w:tabs>
      <w:spacing w:lineRule="auto" w:line="360" w:before="120" w:after="0"/>
      <w:ind w:hanging="1134" w:left="1134" w:right="800"/>
      <w:jc w:val="both"/>
    </w:pPr>
    <w:rPr>
      <w:rFonts w:ascii="Arial" w:hAnsi="Arial"/>
      <w:b/>
      <w:i/>
      <w:szCs w:val="20"/>
    </w:rPr>
  </w:style>
  <w:style w:type="paragraph" w:styleId="35">
    <w:name w:val="Знак Знак3 Знак Знак"/>
    <w:basedOn w:val="Normal"/>
    <w:qFormat/>
    <w:pPr>
      <w:spacing w:lineRule="exact" w:line="240" w:before="0" w:after="160"/>
      <w:jc w:val="both"/>
    </w:pPr>
    <w:rPr>
      <w:rFonts w:ascii="Verdana" w:hAnsi="Verdana" w:cs="Verdana"/>
      <w:sz w:val="22"/>
      <w:szCs w:val="22"/>
      <w:lang w:val="en-US" w:eastAsia="en-US"/>
    </w:rPr>
  </w:style>
  <w:style w:type="paragraph" w:styleId="27">
    <w:name w:val="Нумерованный список ур2"/>
    <w:basedOn w:val="Normal"/>
    <w:qFormat/>
    <w:pPr>
      <w:numPr>
        <w:ilvl w:val="1"/>
        <w:numId w:val="2"/>
      </w:numPr>
      <w:spacing w:before="120" w:after="0"/>
      <w:jc w:val="both"/>
    </w:pPr>
    <w:rPr>
      <w:rFonts w:ascii="Garamond" w:hAnsi="Garamond"/>
      <w:sz w:val="24"/>
      <w:szCs w:val="20"/>
    </w:rPr>
  </w:style>
  <w:style w:type="paragraph" w:styleId="313">
    <w:name w:val="Список 31"/>
    <w:basedOn w:val="Normal"/>
    <w:qFormat/>
    <w:pPr>
      <w:numPr>
        <w:ilvl w:val="0"/>
        <w:numId w:val="2"/>
      </w:numPr>
      <w:spacing w:before="120" w:after="0"/>
      <w:jc w:val="both"/>
    </w:pPr>
    <w:rPr>
      <w:rFonts w:ascii="Garamond" w:hAnsi="Garamond"/>
      <w:sz w:val="24"/>
      <w:szCs w:val="20"/>
    </w:rPr>
  </w:style>
  <w:style w:type="paragraph" w:styleId="36">
    <w:name w:val="Нумерованный список ур3"/>
    <w:basedOn w:val="Normal"/>
    <w:qFormat/>
    <w:pPr>
      <w:numPr>
        <w:ilvl w:val="2"/>
        <w:numId w:val="2"/>
      </w:numPr>
      <w:jc w:val="both"/>
    </w:pPr>
    <w:rPr>
      <w:rFonts w:ascii="Garamond" w:hAnsi="Garamond"/>
      <w:sz w:val="24"/>
      <w:szCs w:val="20"/>
    </w:rPr>
  </w:style>
  <w:style w:type="paragraph" w:styleId="E-mailSignature">
    <w:name w:val="E-mail Signature"/>
    <w:basedOn w:val="Normal"/>
    <w:qFormat/>
    <w:pPr/>
    <w:rPr>
      <w:rFonts w:eastAsia="Calibri"/>
      <w:sz w:val="24"/>
      <w:szCs w:val="24"/>
      <w:lang w:val="x-none" w:eastAsia="x-none"/>
    </w:rPr>
  </w:style>
  <w:style w:type="paragraph" w:styleId="IndexHeading">
    <w:name w:val="Index Heading"/>
    <w:basedOn w:val="Style24"/>
    <w:pPr>
      <w:suppressLineNumbers/>
      <w:ind w:hanging="0" w:left="0"/>
    </w:pPr>
    <w:rPr>
      <w:b/>
      <w:bCs/>
      <w:sz w:val="32"/>
      <w:szCs w:val="32"/>
    </w:rPr>
  </w:style>
  <w:style w:type="paragraph" w:styleId="TOCHeading">
    <w:name w:val="TOC Heading"/>
    <w:basedOn w:val="Heading1"/>
    <w:next w:val="Normal"/>
    <w:qFormat/>
    <w:pPr>
      <w:keepLines/>
      <w:spacing w:before="480" w:after="60"/>
      <w:outlineLvl w:val="9"/>
    </w:pPr>
    <w:rPr>
      <w:rFonts w:ascii="Cambria" w:hAnsi="Cambria"/>
      <w:bCs/>
      <w:color w:val="365F91"/>
    </w:rPr>
  </w:style>
  <w:style w:type="paragraph" w:styleId="IntenseQuote">
    <w:name w:val="Intense Quote"/>
    <w:basedOn w:val="Normal"/>
    <w:next w:val="Normal"/>
    <w:qFormat/>
    <w:pPr>
      <w:pBdr>
        <w:bottom w:val="single" w:sz="4" w:space="4" w:color="4F81BD"/>
      </w:pBdr>
      <w:spacing w:before="200" w:after="280"/>
      <w:ind w:hanging="0" w:left="936" w:right="936"/>
    </w:pPr>
    <w:rPr>
      <w:rFonts w:ascii="Calibri" w:hAnsi="Calibri" w:eastAsia="Calibri"/>
      <w:b/>
      <w:bCs/>
      <w:i/>
      <w:iCs/>
      <w:color w:val="4F81BD"/>
      <w:sz w:val="20"/>
      <w:szCs w:val="20"/>
      <w:lang w:val="x-none" w:eastAsia="x-none"/>
    </w:rPr>
  </w:style>
  <w:style w:type="paragraph" w:styleId="Quote">
    <w:name w:val="Quote"/>
    <w:basedOn w:val="Normal"/>
    <w:next w:val="Normal"/>
    <w:qFormat/>
    <w:pPr/>
    <w:rPr>
      <w:rFonts w:ascii="Calibri" w:hAnsi="Calibri" w:eastAsia="Calibri"/>
      <w:i/>
      <w:iCs/>
      <w:color w:val="000000"/>
      <w:sz w:val="20"/>
      <w:szCs w:val="20"/>
      <w:lang w:val="x-none" w:eastAsia="x-none"/>
    </w:rPr>
  </w:style>
  <w:style w:type="paragraph" w:styleId="Subtitle">
    <w:name w:val="Subtitle"/>
    <w:basedOn w:val="Normal"/>
    <w:next w:val="Normal"/>
    <w:qFormat/>
    <w:pPr>
      <w:ind w:firstLine="709" w:left="1066" w:right="0"/>
    </w:pPr>
    <w:rPr>
      <w:rFonts w:ascii="Cambria" w:hAnsi="Cambria"/>
      <w:i/>
      <w:iCs/>
      <w:color w:val="4F81BD"/>
      <w:spacing w:val="15"/>
      <w:sz w:val="24"/>
      <w:szCs w:val="24"/>
      <w:lang w:val="x-none" w:eastAsia="x-none"/>
    </w:rPr>
  </w:style>
  <w:style w:type="paragraph" w:styleId="Caption11111111">
    <w:name w:val="caption11111111"/>
    <w:basedOn w:val="Normal"/>
    <w:next w:val="Normal"/>
    <w:qFormat/>
    <w:pPr/>
    <w:rPr>
      <w:rFonts w:eastAsia="Calibri"/>
      <w:b/>
      <w:bCs/>
      <w:color w:val="4F81BD"/>
      <w:sz w:val="18"/>
      <w:szCs w:val="18"/>
    </w:rPr>
  </w:style>
  <w:style w:type="paragraph" w:styleId="NoSpacing">
    <w:name w:val="No Spacing"/>
    <w:basedOn w:val="Normal"/>
    <w:qFormat/>
    <w:pPr>
      <w:spacing w:lineRule="auto" w:line="360"/>
    </w:pPr>
    <w:rPr>
      <w:rFonts w:eastAsia="Calibri"/>
      <w:sz w:val="24"/>
      <w:szCs w:val="24"/>
    </w:rPr>
  </w:style>
  <w:style w:type="paragraph" w:styleId="28">
    <w:name w:val="Раздел положения 2"/>
    <w:basedOn w:val="Normal"/>
    <w:qFormat/>
    <w:pPr>
      <w:pageBreakBefore/>
      <w:numPr>
        <w:ilvl w:val="0"/>
        <w:numId w:val="0"/>
      </w:numPr>
      <w:jc w:val="both"/>
      <w:outlineLvl w:val="0"/>
    </w:pPr>
    <w:rPr>
      <w:b/>
    </w:rPr>
  </w:style>
  <w:style w:type="paragraph" w:styleId="TOC4">
    <w:name w:val="TOC 4"/>
    <w:basedOn w:val="Normal"/>
    <w:next w:val="Normal"/>
    <w:pPr>
      <w:ind w:hanging="0" w:left="560" w:right="0"/>
    </w:pPr>
    <w:rPr>
      <w:rFonts w:cs="Calibri"/>
      <w:sz w:val="20"/>
      <w:szCs w:val="20"/>
    </w:rPr>
  </w:style>
  <w:style w:type="paragraph" w:styleId="TOC5">
    <w:name w:val="TOC 5"/>
    <w:basedOn w:val="Normal"/>
    <w:next w:val="Normal"/>
    <w:pPr>
      <w:ind w:hanging="0" w:left="840" w:right="0"/>
    </w:pPr>
    <w:rPr>
      <w:rFonts w:ascii="Calibri" w:hAnsi="Calibri" w:cs="Calibri"/>
      <w:sz w:val="20"/>
      <w:szCs w:val="20"/>
    </w:rPr>
  </w:style>
  <w:style w:type="paragraph" w:styleId="TOC9">
    <w:name w:val="TOC 9"/>
    <w:basedOn w:val="Normal"/>
    <w:next w:val="Normal"/>
    <w:pPr>
      <w:ind w:hanging="0" w:left="1960" w:right="0"/>
    </w:pPr>
    <w:rPr>
      <w:rFonts w:ascii="Calibri" w:hAnsi="Calibri" w:cs="Calibri"/>
      <w:sz w:val="20"/>
      <w:szCs w:val="20"/>
    </w:rPr>
  </w:style>
  <w:style w:type="paragraph" w:styleId="118">
    <w:name w:val="Обычный (веб)1"/>
    <w:basedOn w:val="Normal"/>
    <w:qFormat/>
    <w:pPr>
      <w:spacing w:before="280" w:after="280"/>
    </w:pPr>
    <w:rPr>
      <w:rFonts w:ascii="Arial Unicode MS" w:hAnsi="Arial Unicode MS" w:eastAsia="Arial Unicode MS" w:cs="Arial Unicode MS"/>
      <w:sz w:val="24"/>
      <w:szCs w:val="24"/>
    </w:rPr>
  </w:style>
  <w:style w:type="paragraph" w:styleId="TOC2">
    <w:name w:val="TOC 2"/>
    <w:basedOn w:val="Normal"/>
    <w:next w:val="Normal"/>
    <w:pPr>
      <w:spacing w:before="240" w:after="0"/>
    </w:pPr>
    <w:rPr>
      <w:rFonts w:cs="Calibri"/>
      <w:b/>
      <w:bCs/>
      <w:sz w:val="20"/>
      <w:szCs w:val="20"/>
    </w:rPr>
  </w:style>
  <w:style w:type="paragraph" w:styleId="Style43">
    <w:name w:val="Приложение к регламенту"/>
    <w:basedOn w:val="Normal"/>
    <w:qFormat/>
    <w:pPr>
      <w:jc w:val="right"/>
    </w:pPr>
    <w:rPr/>
  </w:style>
  <w:style w:type="paragraph" w:styleId="Style44">
    <w:name w:val="Раздел регламента"/>
    <w:basedOn w:val="Normal"/>
    <w:qFormat/>
    <w:pPr/>
    <w:rPr/>
  </w:style>
  <w:style w:type="paragraph" w:styleId="TOC3">
    <w:name w:val="TOC 3"/>
    <w:basedOn w:val="Normal"/>
    <w:next w:val="Normal"/>
    <w:pPr>
      <w:ind w:hanging="0" w:left="280" w:right="0"/>
    </w:pPr>
    <w:rPr>
      <w:rFonts w:cs="Calibri"/>
      <w:sz w:val="20"/>
      <w:szCs w:val="20"/>
    </w:rPr>
  </w:style>
  <w:style w:type="paragraph" w:styleId="TOC1">
    <w:name w:val="TOC 1"/>
    <w:basedOn w:val="Normal"/>
    <w:next w:val="Normal"/>
    <w:pPr>
      <w:spacing w:before="120" w:after="0"/>
    </w:pPr>
    <w:rPr>
      <w:rFonts w:cs="Calibri Light (Заголовки)"/>
      <w:b/>
      <w:bCs/>
      <w:sz w:val="24"/>
      <w:szCs w:val="24"/>
    </w:rPr>
  </w:style>
  <w:style w:type="paragraph" w:styleId="29">
    <w:name w:val="Пункт2"/>
    <w:basedOn w:val="Normal"/>
    <w:qFormat/>
    <w:pPr>
      <w:keepNext w:val="true"/>
      <w:numPr>
        <w:ilvl w:val="0"/>
        <w:numId w:val="0"/>
      </w:numPr>
      <w:tabs>
        <w:tab w:val="clear" w:pos="709"/>
        <w:tab w:val="left" w:pos="1134" w:leader="none"/>
      </w:tabs>
      <w:snapToGrid w:val="false"/>
      <w:spacing w:before="240" w:after="120"/>
      <w:ind w:hanging="1134" w:left="1134" w:right="0"/>
      <w:outlineLvl w:val="2"/>
    </w:pPr>
    <w:rPr>
      <w:b/>
      <w:szCs w:val="20"/>
    </w:rPr>
  </w:style>
  <w:style w:type="paragraph" w:styleId="Style45">
    <w:name w:val="Подпункт"/>
    <w:basedOn w:val="Normal"/>
    <w:qFormat/>
    <w:pPr>
      <w:tabs>
        <w:tab w:val="clear" w:pos="709"/>
        <w:tab w:val="left" w:pos="1134" w:leader="none"/>
      </w:tabs>
      <w:snapToGrid w:val="false"/>
      <w:spacing w:lineRule="auto" w:line="360"/>
      <w:ind w:hanging="1134" w:left="1134" w:right="0"/>
      <w:jc w:val="both"/>
    </w:pPr>
    <w:rPr>
      <w:szCs w:val="20"/>
      <w:lang w:val="x-none" w:eastAsia="x-none"/>
    </w:rPr>
  </w:style>
  <w:style w:type="paragraph" w:styleId="BlockText">
    <w:name w:val="Block Text"/>
    <w:basedOn w:val="Normal"/>
    <w:qFormat/>
    <w:pPr>
      <w:ind w:hanging="0" w:left="-567" w:right="-766"/>
      <w:jc w:val="center"/>
    </w:pPr>
    <w:rPr>
      <w:b/>
      <w:bCs/>
      <w:sz w:val="24"/>
      <w:szCs w:val="20"/>
    </w:rPr>
  </w:style>
  <w:style w:type="paragraph" w:styleId="BodyTextIndent3">
    <w:name w:val="Body Text Indent 3"/>
    <w:basedOn w:val="Normal"/>
    <w:qFormat/>
    <w:pPr>
      <w:spacing w:before="0" w:after="120"/>
      <w:ind w:hanging="0" w:left="283" w:right="0"/>
    </w:pPr>
    <w:rPr>
      <w:sz w:val="16"/>
      <w:szCs w:val="16"/>
    </w:rPr>
  </w:style>
  <w:style w:type="paragraph" w:styleId="119">
    <w:name w:val="Название1"/>
    <w:basedOn w:val="Normal"/>
    <w:qFormat/>
    <w:pPr>
      <w:jc w:val="center"/>
    </w:pPr>
    <w:rPr>
      <w:szCs w:val="20"/>
      <w:lang w:val="x-none" w:eastAsia="x-none"/>
    </w:rPr>
  </w:style>
  <w:style w:type="paragraph" w:styleId="37">
    <w:name w:val="Шапка 3"/>
    <w:basedOn w:val="Normal"/>
    <w:qFormat/>
    <w:pPr>
      <w:pBdr>
        <w:bottom w:val="thickThinSmallGap" w:sz="24" w:space="1" w:color="000000"/>
      </w:pBdr>
      <w:spacing w:before="240" w:after="360"/>
      <w:jc w:val="center"/>
    </w:pPr>
    <w:rPr>
      <w:b/>
      <w:sz w:val="24"/>
      <w:szCs w:val="24"/>
    </w:rPr>
  </w:style>
  <w:style w:type="paragraph" w:styleId="210">
    <w:name w:val="Шапка 2"/>
    <w:basedOn w:val="Normal"/>
    <w:qFormat/>
    <w:pPr>
      <w:pBdr>
        <w:bottom w:val="thickThinSmallGap" w:sz="24" w:space="1" w:color="000000"/>
      </w:pBdr>
      <w:spacing w:before="0" w:after="120"/>
      <w:jc w:val="center"/>
    </w:pPr>
    <w:rPr>
      <w:b/>
      <w:sz w:val="22"/>
      <w:szCs w:val="22"/>
    </w:rPr>
  </w:style>
  <w:style w:type="paragraph" w:styleId="120">
    <w:name w:val="Шапка 1"/>
    <w:basedOn w:val="Normal"/>
    <w:qFormat/>
    <w:pPr>
      <w:pBdr>
        <w:bottom w:val="thickThinSmallGap" w:sz="24" w:space="1" w:color="000000"/>
      </w:pBdr>
      <w:spacing w:before="0" w:after="240"/>
      <w:jc w:val="center"/>
    </w:pPr>
    <w:rPr>
      <w:sz w:val="22"/>
      <w:szCs w:val="22"/>
    </w:rPr>
  </w:style>
  <w:style w:type="paragraph" w:styleId="Style46">
    <w:name w:val="Подраздел раздела положения"/>
    <w:basedOn w:val="Normal"/>
    <w:qFormat/>
    <w:pPr>
      <w:numPr>
        <w:ilvl w:val="1"/>
        <w:numId w:val="1"/>
      </w:numPr>
      <w:spacing w:before="80" w:after="80"/>
      <w:jc w:val="both"/>
    </w:pPr>
    <w:rPr/>
  </w:style>
  <w:style w:type="paragraph" w:styleId="Style47">
    <w:name w:val="Раздел положения"/>
    <w:basedOn w:val="Normal"/>
    <w:qFormat/>
    <w:pPr>
      <w:numPr>
        <w:ilvl w:val="0"/>
        <w:numId w:val="1"/>
      </w:numPr>
      <w:spacing w:before="80" w:after="80"/>
      <w:jc w:val="center"/>
    </w:pPr>
    <w:rPr>
      <w:b/>
      <w:sz w:val="32"/>
      <w:szCs w:val="32"/>
    </w:rPr>
  </w:style>
  <w:style w:type="paragraph" w:styleId="Style48">
    <w:name w:val="Название раздела инструкции"/>
    <w:basedOn w:val="Normal"/>
    <w:qFormat/>
    <w:pPr>
      <w:jc w:val="center"/>
    </w:pPr>
    <w:rPr>
      <w:b/>
    </w:rPr>
  </w:style>
  <w:style w:type="paragraph" w:styleId="Indexheading1111111">
    <w:name w:val="index heading1111111"/>
    <w:basedOn w:val="Title"/>
    <w:qFormat/>
    <w:pPr/>
    <w:rPr/>
  </w:style>
  <w:style w:type="paragraph" w:styleId="Caption1111111">
    <w:name w:val="caption1111111"/>
    <w:basedOn w:val="Normal"/>
    <w:qFormat/>
    <w:pPr>
      <w:suppressLineNumbers/>
      <w:spacing w:before="120" w:after="120"/>
    </w:pPr>
    <w:rPr>
      <w:i/>
      <w:iCs/>
      <w:sz w:val="24"/>
      <w:szCs w:val="24"/>
    </w:rPr>
  </w:style>
  <w:style w:type="paragraph" w:styleId="Indexheading111111">
    <w:name w:val="index heading111111"/>
    <w:basedOn w:val="Title"/>
    <w:qFormat/>
    <w:pPr/>
    <w:rPr/>
  </w:style>
  <w:style w:type="paragraph" w:styleId="Caption111111">
    <w:name w:val="caption111111"/>
    <w:basedOn w:val="Normal"/>
    <w:qFormat/>
    <w:pPr>
      <w:suppressLineNumbers/>
      <w:spacing w:before="120" w:after="120"/>
    </w:pPr>
    <w:rPr>
      <w:i/>
      <w:iCs/>
      <w:sz w:val="24"/>
      <w:szCs w:val="24"/>
    </w:rPr>
  </w:style>
  <w:style w:type="paragraph" w:styleId="Indexheading11111">
    <w:name w:val="index heading11111"/>
    <w:basedOn w:val="Title"/>
    <w:qFormat/>
    <w:pPr/>
    <w:rPr/>
  </w:style>
  <w:style w:type="paragraph" w:styleId="Caption11111">
    <w:name w:val="caption11111"/>
    <w:basedOn w:val="Normal"/>
    <w:qFormat/>
    <w:pPr>
      <w:suppressLineNumbers/>
      <w:spacing w:before="120" w:after="120"/>
    </w:pPr>
    <w:rPr>
      <w:i/>
      <w:iCs/>
      <w:sz w:val="24"/>
      <w:szCs w:val="24"/>
    </w:rPr>
  </w:style>
  <w:style w:type="paragraph" w:styleId="Indexheading1111">
    <w:name w:val="index heading1111"/>
    <w:basedOn w:val="Title"/>
    <w:qFormat/>
    <w:pPr/>
    <w:rPr/>
  </w:style>
  <w:style w:type="paragraph" w:styleId="Caption1111">
    <w:name w:val="caption1111"/>
    <w:basedOn w:val="Normal"/>
    <w:qFormat/>
    <w:pPr>
      <w:suppressLineNumbers/>
      <w:spacing w:before="120" w:after="120"/>
    </w:pPr>
    <w:rPr>
      <w:i/>
      <w:iCs/>
      <w:sz w:val="24"/>
      <w:szCs w:val="24"/>
    </w:rPr>
  </w:style>
  <w:style w:type="paragraph" w:styleId="Indexheading111">
    <w:name w:val="index heading111"/>
    <w:basedOn w:val="Title"/>
    <w:qFormat/>
    <w:pPr/>
    <w:rPr/>
  </w:style>
  <w:style w:type="paragraph" w:styleId="Caption111">
    <w:name w:val="caption111"/>
    <w:basedOn w:val="Normal"/>
    <w:qFormat/>
    <w:pPr>
      <w:suppressLineNumbers/>
      <w:spacing w:before="120" w:after="120"/>
    </w:pPr>
    <w:rPr>
      <w:i/>
      <w:iCs/>
      <w:sz w:val="24"/>
      <w:szCs w:val="24"/>
    </w:rPr>
  </w:style>
  <w:style w:type="paragraph" w:styleId="Indexheading11">
    <w:name w:val="index heading11"/>
    <w:basedOn w:val="Title"/>
    <w:qFormat/>
    <w:pPr/>
    <w:rPr/>
  </w:style>
  <w:style w:type="paragraph" w:styleId="Indexheading12">
    <w:name w:val="index heading12"/>
    <w:basedOn w:val="Title"/>
    <w:qFormat/>
    <w:pPr/>
    <w:rPr/>
  </w:style>
  <w:style w:type="paragraph" w:styleId="41">
    <w:name w:val="Маркированный список 41"/>
    <w:basedOn w:val="Normal"/>
    <w:qFormat/>
    <w:pPr>
      <w:spacing w:before="120" w:after="0"/>
      <w:jc w:val="both"/>
    </w:pPr>
    <w:rPr>
      <w:rFonts w:ascii="Garamond" w:hAnsi="Garamond"/>
      <w:sz w:val="24"/>
      <w:szCs w:val="20"/>
    </w:rPr>
  </w:style>
  <w:style w:type="paragraph" w:styleId="81">
    <w:name w:val="Оглавление 81"/>
    <w:basedOn w:val="Normal"/>
    <w:next w:val="Normal"/>
    <w:qFormat/>
    <w:pPr>
      <w:spacing w:lineRule="exact" w:line="240" w:before="0" w:after="0"/>
      <w:ind w:hanging="0" w:left="1680"/>
    </w:pPr>
    <w:rPr>
      <w:rFonts w:eastAsia="Times New Roman" w:cs="Calibri"/>
      <w:sz w:val="20"/>
      <w:szCs w:val="20"/>
      <w:lang w:eastAsia="ru-RU"/>
    </w:rPr>
  </w:style>
  <w:style w:type="paragraph" w:styleId="71">
    <w:name w:val="Оглавление 71"/>
    <w:basedOn w:val="Normal"/>
    <w:next w:val="Normal"/>
    <w:qFormat/>
    <w:pPr>
      <w:spacing w:lineRule="exact" w:line="240" w:before="0" w:after="0"/>
      <w:ind w:hanging="0" w:left="1400"/>
    </w:pPr>
    <w:rPr>
      <w:rFonts w:eastAsia="Times New Roman" w:cs="Calibri"/>
      <w:sz w:val="20"/>
      <w:szCs w:val="20"/>
      <w:lang w:eastAsia="ru-RU"/>
    </w:rPr>
  </w:style>
  <w:style w:type="paragraph" w:styleId="61">
    <w:name w:val="Оглавление 61"/>
    <w:basedOn w:val="Normal"/>
    <w:next w:val="Normal"/>
    <w:qFormat/>
    <w:pPr>
      <w:spacing w:lineRule="exact" w:line="240" w:before="0" w:after="0"/>
      <w:ind w:hanging="0" w:left="1120"/>
    </w:pPr>
    <w:rPr>
      <w:rFonts w:eastAsia="Times New Roman" w:cs="Calibri"/>
      <w:sz w:val="20"/>
      <w:szCs w:val="20"/>
      <w:lang w:eastAsia="ru-RU"/>
    </w:rPr>
  </w:style>
  <w:style w:type="paragraph" w:styleId="411">
    <w:name w:val="Оглавление 41"/>
    <w:basedOn w:val="Normal"/>
    <w:next w:val="Normal"/>
    <w:qFormat/>
    <w:pPr>
      <w:spacing w:lineRule="exact" w:line="240" w:before="0" w:after="0"/>
      <w:ind w:hanging="0" w:left="560"/>
    </w:pPr>
    <w:rPr>
      <w:rFonts w:ascii="Times New Roman" w:hAnsi="Times New Roman" w:eastAsia="Times New Roman" w:cs="Calibri"/>
      <w:sz w:val="20"/>
      <w:szCs w:val="20"/>
      <w:lang w:eastAsia="ru-RU"/>
    </w:rPr>
  </w:style>
  <w:style w:type="paragraph" w:styleId="51">
    <w:name w:val="Оглавление 51"/>
    <w:basedOn w:val="Normal"/>
    <w:next w:val="Normal"/>
    <w:qFormat/>
    <w:pPr>
      <w:spacing w:lineRule="exact" w:line="240" w:before="0" w:after="0"/>
      <w:ind w:hanging="0" w:left="840"/>
    </w:pPr>
    <w:rPr>
      <w:rFonts w:eastAsia="Times New Roman" w:cs="Calibri"/>
      <w:sz w:val="20"/>
      <w:szCs w:val="20"/>
      <w:lang w:eastAsia="ru-RU"/>
    </w:rPr>
  </w:style>
  <w:style w:type="paragraph" w:styleId="91">
    <w:name w:val="Оглавление 91"/>
    <w:basedOn w:val="Normal"/>
    <w:next w:val="Normal"/>
    <w:qFormat/>
    <w:pPr>
      <w:spacing w:lineRule="exact" w:line="240" w:before="0" w:after="0"/>
      <w:ind w:hanging="0" w:left="1960"/>
    </w:pPr>
    <w:rPr>
      <w:rFonts w:eastAsia="Times New Roman" w:cs="Calibri"/>
      <w:sz w:val="20"/>
      <w:szCs w:val="20"/>
      <w:lang w:eastAsia="ru-RU"/>
    </w:rPr>
  </w:style>
  <w:style w:type="paragraph" w:styleId="212">
    <w:name w:val="Оглавление 21"/>
    <w:basedOn w:val="Normal"/>
    <w:next w:val="Normal"/>
    <w:qFormat/>
    <w:pPr>
      <w:spacing w:lineRule="exact" w:line="240" w:before="240" w:after="0"/>
    </w:pPr>
    <w:rPr>
      <w:rFonts w:ascii="Times New Roman" w:hAnsi="Times New Roman" w:eastAsia="Times New Roman" w:cs="Calibri"/>
      <w:b/>
      <w:bCs/>
      <w:sz w:val="20"/>
      <w:szCs w:val="20"/>
      <w:lang w:eastAsia="ru-RU"/>
    </w:rPr>
  </w:style>
  <w:style w:type="paragraph" w:styleId="314">
    <w:name w:val="Оглавление 31"/>
    <w:basedOn w:val="Normal"/>
    <w:next w:val="Normal"/>
    <w:qFormat/>
    <w:pPr>
      <w:spacing w:lineRule="exact" w:line="240" w:before="0" w:after="0"/>
      <w:ind w:hanging="0" w:left="280"/>
    </w:pPr>
    <w:rPr>
      <w:rFonts w:ascii="Times New Roman" w:hAnsi="Times New Roman" w:eastAsia="Times New Roman" w:cs="Calibri"/>
      <w:sz w:val="20"/>
      <w:szCs w:val="20"/>
      <w:lang w:eastAsia="ru-RU"/>
    </w:rPr>
  </w:style>
  <w:style w:type="paragraph" w:styleId="Indexheading2">
    <w:name w:val="index heading2"/>
    <w:qFormat/>
    <w:pPr>
      <w:keepNext w:val="true"/>
      <w:widowControl/>
      <w:suppressAutoHyphens w:val="true"/>
      <w:bidi w:val="0"/>
      <w:spacing w:lineRule="exact" w:line="240" w:before="240" w:after="120"/>
      <w:jc w:val="left"/>
    </w:pPr>
    <w:rPr>
      <w:rFonts w:ascii="Liberation Sans" w:hAnsi="Liberation Sans" w:eastAsia="Arial Unicode MS" w:cs="Arial Unicode MS"/>
      <w:color w:val="auto"/>
      <w:kern w:val="0"/>
      <w:sz w:val="28"/>
      <w:szCs w:val="28"/>
      <w:lang w:val="ru-RU" w:eastAsia="ru-RU" w:bidi="ar-SA"/>
    </w:rPr>
  </w:style>
  <w:style w:type="paragraph" w:styleId="Index1">
    <w:name w:val="index 1"/>
    <w:basedOn w:val="Normal"/>
    <w:next w:val="Normal"/>
    <w:qFormat/>
    <w:pPr>
      <w:spacing w:lineRule="exact" w:line="240" w:before="0" w:after="0"/>
      <w:ind w:hanging="220" w:left="220"/>
    </w:pPr>
    <w:rPr/>
  </w:style>
  <w:style w:type="paragraph" w:styleId="Caption2">
    <w:name w:val="caption2"/>
    <w:basedOn w:val="Normal"/>
    <w:qFormat/>
    <w:pPr>
      <w:spacing w:lineRule="exact" w:line="240" w:before="120" w:after="120"/>
    </w:pPr>
    <w:rPr>
      <w:rFonts w:ascii="Times New Roman" w:hAnsi="Times New Roman" w:eastAsia="Times New Roman" w:cs="Times New Roman"/>
      <w:i/>
      <w:iCs/>
      <w:sz w:val="24"/>
      <w:szCs w:val="24"/>
      <w:lang w:eastAsia="ru-RU"/>
    </w:rPr>
  </w:style>
  <w:style w:type="numbering" w:styleId="NoList" w:default="1">
    <w:name w:val="No List"/>
    <w:uiPriority w:val="99"/>
    <w:semiHidden/>
    <w:unhideWhenUsed/>
    <w:qFormat/>
  </w:style>
  <w:style w:type="numbering" w:styleId="121">
    <w:name w:val="Стиль1"/>
    <w:qFormat/>
  </w:style>
  <w:style w:type="numbering" w:styleId="213">
    <w:name w:val="Стиль2"/>
    <w:qFormat/>
  </w:style>
  <w:style w:type="numbering" w:styleId="7794648401">
    <w:name w:val="7794648401"/>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886f7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login.consultant.ru/link/?req=doc&amp;base=PBI&amp;n=199978" TargetMode="External"/><Relationship Id="rId3" Type="http://schemas.openxmlformats.org/officeDocument/2006/relationships/hyperlink" Target="https://login.consultant.ru/link/?req=doc&amp;base=PBI&amp;n=37584&amp;dst=100032" TargetMode="External"/><Relationship Id="rId4" Type="http://schemas.openxmlformats.org/officeDocument/2006/relationships/hyperlink" Target="https://nbt.rushydro.ru/Planning/Program/View/375840?returnUrl=%2FPlanning%2FProgram%2FIndex_all%3Fnotnull%3DTrue%26page%3D1%26pageSize%3D50%26Filter.Index%3D2-&#1040;&#1061;&#1054;-2026-&#1050;&#1072;&#1084;&#1043;&#1069;&#1057;%26Filter.UserOrganizationType%3D2%26Filter.ExtendedFilterOpened%3DFalse%26Filter.UserOrganizationType%3D2%26Filter.tabIndex%3D0" TargetMode="External"/><Relationship Id="rId5" Type="http://schemas.openxmlformats.org/officeDocument/2006/relationships/hyperlink" Target="consultantplus://offline/ref=94D5CE8889791A29DE57299515463A9D6134D8237B999C803E6F853513x2A2P" TargetMode="External"/><Relationship Id="rId6" Type="http://schemas.openxmlformats.org/officeDocument/2006/relationships/hyperlink" Target="consultantplus://offline/ref=94D5CE8889791A29DE57299515463A9D6135D2287D929C803E6F853513x2A2P" TargetMode="External"/><Relationship Id="rId7" Type="http://schemas.openxmlformats.org/officeDocument/2006/relationships/hyperlink" Target="consultantplus://offline/ref=79440D5123ABA6A25F43346AB59DBAAC7032C8E1556DA64FAED62E167F76889C2B7C475C32EFC59BJ8rDH"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footnotes" Target="footnotes.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29469-CEFB-4C63-A023-2AFB44A96B18}">
  <ds:schemaRefs>
    <ds:schemaRef ds:uri="http://schemas.microsoft.com/sharepoint/v3/contenttype/forms"/>
  </ds:schemaRefs>
</ds:datastoreItem>
</file>

<file path=customXml/itemProps2.xml><?xml version="1.0" encoding="utf-8"?>
<ds:datastoreItem xmlns:ds="http://schemas.openxmlformats.org/officeDocument/2006/customXml" ds:itemID="{95CAEEA5-E2B6-4B76-A826-4F29FF9531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76085CE-3EE5-4257-A854-521088406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04BA3F3-68BB-444D-85B0-20D2FFA39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TotalTime>
  <Application>AlterOffice/2026.2.0.0$Linux_X86_64 LibreOffice_project/bc4ef1adf80b36c7a6365f8ed6cbf29021361edd</Application>
  <AppVersion>15.0000</AppVersion>
  <Pages>21</Pages>
  <Words>6932</Words>
  <Characters>49374</Characters>
  <CharactersWithSpaces>56195</CharactersWithSpaces>
  <Paragraphs>310</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Быстрова Дарья Андреевна</dc:creator>
  <dc:description/>
  <dc:language>ru-RU</dc:language>
  <cp:lastModifiedBy>bezmaternyheb@corp.gidroogk.com</cp:lastModifiedBy>
  <dcterms:modified xsi:type="dcterms:W3CDTF">2026-09-18T09:27:00Z</dcterms:modified>
  <cp:revision>123</cp:revision>
  <dc:subject/>
  <dc:title/>
</cp:coreProperties>
</file>

<file path=docProps/custom.xml><?xml version="1.0" encoding="utf-8"?>
<Properties xmlns="http://schemas.openxmlformats.org/officeDocument/2006/custom-properties" xmlns:vt="http://schemas.openxmlformats.org/officeDocument/2006/docPropsVTypes"/>
</file>