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Утверждаю: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Директор Центрального филиала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АО «ТК РусГидро»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М.В. Нешев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r>
        <w:rPr>
          <w:i w:val="false"/>
          <w:iCs w:val="false"/>
          <w:sz w:val="22"/>
          <w:szCs w:val="18"/>
        </w:rPr>
        <w:t>«____»______________2026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>ОКПД2 20.59.41.000 Поставка масел и спецжидкостей для</w:t>
      </w:r>
      <w:bookmarkStart w:id="0" w:name="_GoBack_Копия_1"/>
      <w:bookmarkEnd w:id="0"/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 xml:space="preserve"> грузовых транспортных средств и самоходных машин для нужд </w:t>
      </w: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>Загорского строительного участка</w:t>
      </w: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 xml:space="preserve"> Ц</w:t>
      </w: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>ентрального филиала</w:t>
      </w:r>
      <w:r>
        <w:rPr>
          <w:rFonts w:eastAsia="Calibri"/>
          <w:b/>
          <w:bCs/>
          <w:i w:val="false"/>
          <w:iCs w:val="false"/>
          <w:color w:val="000000"/>
          <w:sz w:val="24"/>
          <w:szCs w:val="24"/>
        </w:rPr>
        <w:t xml:space="preserve"> АО "ТК РусГидро"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b/>
          <w:bCs/>
          <w:i w:val="false"/>
          <w:iCs w:val="false"/>
          <w:color w:val="000000"/>
        </w:rPr>
      </w:r>
    </w:p>
    <w:p>
      <w:pPr>
        <w:pStyle w:val="Normal"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</w:rPr>
      </w:pPr>
      <w:r>
        <w:rPr>
          <w:rFonts w:eastAsia="Calibri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ЛОТ № </w:t>
      </w:r>
      <w:r>
        <w:rPr>
          <w:rFonts w:eastAsia="Calibr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______________________________________</w:t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3052_522137136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54_522137136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56_522137136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58_522137136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60_522137136">
            <w:r>
              <w:rPr>
                <w:webHidden/>
                <w:rStyle w:val="Style14"/>
                <w:vanish w:val="false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62_522137136">
            <w:r>
              <w:rPr>
                <w:webHidden/>
                <w:rStyle w:val="Style14"/>
                <w:vanish w:val="false"/>
              </w:rPr>
              <w:t>1.5. Иные требования и сведения общего характера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64_522137136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66_522137136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068_522137136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70_522137136"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072_522137136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74_522137136"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3076_522137136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78_522137136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3080_522137136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10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" w:name="__RefHeading___Toc3052_522137136"/>
      <w:bookmarkStart w:id="2" w:name="_Toc190866817"/>
      <w:bookmarkStart w:id="3" w:name="_Toc51339692"/>
      <w:bookmarkEnd w:id="1"/>
      <w:r>
        <w:rPr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4" w:name="__RefHeading___Toc3054_522137136"/>
      <w:bookmarkStart w:id="5" w:name="_Toc190866818"/>
      <w:bookmarkStart w:id="6" w:name="_Toc46743505"/>
      <w:bookmarkEnd w:id="4"/>
      <w:r>
        <w:rPr/>
        <w:t>Обозначения и сокращения</w:t>
      </w:r>
      <w:bookmarkEnd w:id="5"/>
      <w:bookmarkEnd w:id="6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35"/>
        <w:gridCol w:w="8144"/>
      </w:tblGrid>
      <w:tr>
        <w:trPr>
          <w:trHeight w:val="358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51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ГСМ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Горюче смазочные материалы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ГОСТ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ТУ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Технические условия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2" w:left="574"/>
        <w:rPr/>
      </w:pPr>
      <w:bookmarkStart w:id="7" w:name="__RefHeading___Toc3056_522137136"/>
      <w:bookmarkStart w:id="8" w:name="_Toc190866819"/>
      <w:bookmarkEnd w:id="7"/>
      <w:r>
        <w:rPr/>
        <w:t>Наименование закупаемой продукции</w:t>
      </w:r>
      <w:bookmarkEnd w:id="8"/>
    </w:p>
    <w:p>
      <w:pPr>
        <w:pStyle w:val="Normal"/>
        <w:jc w:val="both"/>
        <w:rPr/>
      </w:pPr>
      <w:r>
        <w:rPr>
          <w:rStyle w:val="Strong1"/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ОКПД2 20.59.41.000 Поставка масел и спецжидкостей для грузовых транспортных средств и самоходных машин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9" w:name="__RefHeading___Toc3058_522137136"/>
      <w:bookmarkStart w:id="10" w:name="_Toc190866820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  <w:r>
        <w:rPr>
          <w:lang w:val="ru-RU"/>
        </w:rPr>
        <w:t xml:space="preserve"> </w:t>
      </w:r>
    </w:p>
    <w:p>
      <w:pPr>
        <w:pStyle w:val="Normal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Проведение  </w:t>
      </w:r>
      <w:r>
        <w:rPr>
          <w:b w:val="false"/>
          <w:sz w:val="24"/>
          <w:szCs w:val="24"/>
        </w:rPr>
        <w:t xml:space="preserve">текущего ремонта и технического обслуживания транспортных средств Загорского строительного участка центрального филиала АО «ТК РусГидро»,  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2" w:name="__RefHeading___Toc3060_522137136"/>
      <w:bookmarkStart w:id="13" w:name="_Toc190866821"/>
      <w:bookmarkStart w:id="14" w:name="_Toc46743509"/>
      <w:bookmarkStart w:id="15" w:name="_Hlk49857604"/>
      <w:bookmarkEnd w:id="12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>1.4.1 Продукция поставляется Поставщиком партиями по заявкам Покупателя в течение всего срока действия договора.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>1.4.2 Продукция должна быть новая, не бывшая в употреблении. Продукция должна быть произведена не ранее 2026г. Не допускается поставка выставочных образцов.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 xml:space="preserve">1.4.3. Продукция (масла моторные, трансмиссионные, гидравлические; пластичная смазка; охлаждающая и тормозная жидкости) должна соответствовать требованиям ТР ТС 030/2012 «Технический регламент Таможенного союза «О требованиях к смазочным материалам, маслам и специальным жидкостям». 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 xml:space="preserve"> </w:t>
      </w:r>
      <w:r>
        <w:rPr>
          <w:rStyle w:val="Strong1"/>
          <w:b w:val="false"/>
          <w:sz w:val="24"/>
          <w:szCs w:val="24"/>
        </w:rPr>
        <w:t>1.4.4. Комплектность поставки должна обеспечить возможность использования продукции по прямому назначению.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 xml:space="preserve"> </w:t>
      </w:r>
      <w:r>
        <w:rPr>
          <w:rStyle w:val="Strong1"/>
          <w:b w:val="false"/>
          <w:sz w:val="24"/>
          <w:szCs w:val="24"/>
        </w:rPr>
        <w:t>1.4.5. 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Heading4"/>
        <w:numPr>
          <w:ilvl w:val="1"/>
          <w:numId w:val="3"/>
        </w:numPr>
        <w:ind w:hanging="432" w:left="574"/>
        <w:rPr/>
      </w:pPr>
      <w:bookmarkStart w:id="17" w:name="__RefHeading___Toc3062_522137136"/>
      <w:bookmarkStart w:id="18" w:name="_Toc190866822"/>
      <w:bookmarkEnd w:id="17"/>
      <w:r>
        <w:rPr/>
        <w:t>Иные требования и сведения общего характера</w:t>
      </w:r>
      <w:bookmarkEnd w:id="18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Перед поставкой, Поставщик предоставляет копии документов, подтверждающие качество поставляемой продукции (сертификаты соответствия ТР ТС 030/2012).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продукции. Упаковка продукции должна обеспечивать ее сохранность при транспортировке и хранении.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 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1.5.4 В случае получения продукции в дефектной упаковке Покупатель имеет право не принимать такую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  <w:lang w:val="ru-RU"/>
        </w:rPr>
      </w:pPr>
      <w:bookmarkStart w:id="19" w:name="__RefHeading___Toc3064_522137136"/>
      <w:bookmarkStart w:id="20" w:name="_Toc190866823"/>
      <w:bookmarkStart w:id="21" w:name="_Toc51339693"/>
      <w:bookmarkEnd w:id="19"/>
      <w:r>
        <w:rPr>
          <w:iCs/>
          <w:sz w:val="24"/>
          <w:szCs w:val="24"/>
        </w:rPr>
        <w:t>Требования к продукции</w:t>
      </w:r>
      <w:bookmarkEnd w:id="20"/>
      <w:bookmarkEnd w:id="21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22" w:name="__RefHeading___Toc3066_522137136"/>
      <w:bookmarkStart w:id="23" w:name="_Toc190866824"/>
      <w:bookmarkEnd w:id="22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3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4" w:name="__RefHeading___Toc3068_522137136"/>
      <w:bookmarkStart w:id="25" w:name="_Toc190866825"/>
      <w:bookmarkEnd w:id="24"/>
      <w:r>
        <w:rPr>
          <w:lang w:val="ru-RU"/>
        </w:rPr>
        <w:t>Перечень и объем закупаемой продукции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6" w:name="__RefHeading___Toc3070_522137136"/>
      <w:bookmarkStart w:id="27" w:name="_Toc190866826"/>
      <w:bookmarkStart w:id="28" w:name="_Toc51339695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8"/>
      <w:r>
        <w:rPr>
          <w:sz w:val="24"/>
          <w:szCs w:val="24"/>
          <w:lang w:val="ru-RU"/>
        </w:rPr>
        <w:t>и объем закупаемой продукции</w:t>
      </w:r>
      <w:bookmarkEnd w:id="27"/>
    </w:p>
    <w:tbl>
      <w:tblPr>
        <w:tblW w:w="9804" w:type="dxa"/>
        <w:jc w:val="left"/>
        <w:tblInd w:w="-17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730"/>
        <w:gridCol w:w="4972"/>
        <w:gridCol w:w="1990"/>
        <w:gridCol w:w="2111"/>
      </w:tblGrid>
      <w:tr>
        <w:trPr>
          <w:tblHeader w:val="true"/>
          <w:trHeight w:val="848" w:hRule="atLeast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Общее кол-во</w:t>
            </w:r>
          </w:p>
        </w:tc>
      </w:tr>
      <w:tr>
        <w:trPr>
          <w:trHeight w:val="300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Масло моторное  5w 30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164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Масло моторное 10w 40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12 095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Масло трансмиссионное 80w90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3 895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Масло гидравлическое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6 355</w:t>
            </w:r>
          </w:p>
        </w:tc>
      </w:tr>
      <w:tr>
        <w:trPr>
          <w:trHeight w:val="593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Трансмиссионная жидкость  ATF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Синтетическое трансмиссионное масло для АКПП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Трансмиссионное масло для вариаторных коробок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АНТИФРИЗ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3 140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Жидкость тормозная DOT-4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85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Смазка консистентная в тубах под шприц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4 283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Смазка универсальная проникающая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598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Смазка для направляющих тормозных суппортов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29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Смазка медная высокотемпературная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123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Очиститель тормозов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129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Мочевина. Жидкость для систем SCR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500</w:t>
            </w:r>
          </w:p>
        </w:tc>
      </w:tr>
      <w:tr>
        <w:trPr>
          <w:trHeight w:val="445" w:hRule="atLeast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49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Стеклоомывательная жидкость зимняя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Литр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2 000</w:t>
            </w:r>
          </w:p>
        </w:tc>
      </w:tr>
    </w:tbl>
    <w:p>
      <w:pPr>
        <w:pStyle w:val="Normal"/>
        <w:rPr>
          <w:lang w:val="en-US" w:eastAsia="x-none"/>
        </w:rPr>
      </w:pPr>
      <w:r>
        <w:rPr>
          <w:lang w:val="en-US" w:eastAsia="x-none"/>
        </w:rPr>
        <w:tab/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29" w:name="__RefHeading___Toc3072_522137136"/>
      <w:bookmarkStart w:id="30" w:name="_Toc190866827"/>
      <w:bookmarkStart w:id="31" w:name="_Toc51339696"/>
      <w:bookmarkEnd w:id="29"/>
      <w:r>
        <w:rPr>
          <w:sz w:val="24"/>
          <w:szCs w:val="24"/>
          <w:lang w:val="ru-RU"/>
        </w:rPr>
        <w:t xml:space="preserve">Требования </w:t>
      </w:r>
      <w:bookmarkEnd w:id="31"/>
      <w:r>
        <w:rPr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32" w:name="__RefHeading___Toc3074_522137136"/>
      <w:bookmarkStart w:id="33" w:name="_Toc190866828"/>
      <w:bookmarkStart w:id="34" w:name="_Toc50125127"/>
      <w:bookmarkStart w:id="35" w:name="_Toc51339697"/>
      <w:bookmarkStart w:id="36" w:name="_Toc50125126"/>
      <w:bookmarkEnd w:id="32"/>
      <w:bookmarkEnd w:id="3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37" w:name="_Hlk50465284"/>
      <w:r>
        <w:rPr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sz w:val="24"/>
          <w:szCs w:val="24"/>
          <w:lang w:val="ru-RU"/>
        </w:rPr>
        <w:t>поставки продукции</w:t>
      </w:r>
      <w:bookmarkEnd w:id="33"/>
      <w:r>
        <w:rPr>
          <w:sz w:val="24"/>
          <w:szCs w:val="24"/>
          <w:lang w:val="ru-RU"/>
        </w:rPr>
        <w:t xml:space="preserve"> </w:t>
      </w:r>
    </w:p>
    <w:tbl>
      <w:tblPr>
        <w:tblW w:w="10200" w:type="dxa"/>
        <w:jc w:val="left"/>
        <w:tblInd w:w="-12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959"/>
        <w:gridCol w:w="2971"/>
        <w:gridCol w:w="2970"/>
        <w:gridCol w:w="3299"/>
      </w:tblGrid>
      <w:tr>
        <w:trPr>
          <w:tblHeader w:val="true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Наименование продукции / партии продукции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началу срока поставки продукции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7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297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Срок действия Договора:</w:t>
            </w:r>
          </w:p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ОКПД2 20.59.41.000 Поставка масел и спецжидкостей для грузовых транспортных средств и самоходных машин для нужд Загорского строительного участка Центрального филиала АО "ТК РусГидро"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 даты заключения Договора поставки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течение 12 (двенадцати) месяцев, либо до исчерпания предельной суммы по Договору</w:t>
            </w:r>
          </w:p>
        </w:tc>
      </w:tr>
      <w:tr>
        <w:trPr/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297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Срок поставки Товара:</w:t>
            </w:r>
          </w:p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ОКПД2 20.59.41.000 Поставка масел и спецжидкостей для грузовых транспортных средств и самоходных машин для нужд Загорского строительного участка Центрального филиала АО "ТК РусГидро"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/>
              <w:suppressAutoHyphens w:val="true"/>
              <w:bidi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 даты предоставления Покупателем заявки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LineNumbers/>
              <w:suppressAutoHyphens w:val="true"/>
              <w:bidi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течение 7 (семи) календарных дней</w:t>
            </w:r>
          </w:p>
        </w:tc>
      </w:tr>
    </w:tbl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  <w:bookmarkStart w:id="38" w:name="_Toc46743510"/>
      <w:bookmarkStart w:id="39" w:name="_Toc46743510"/>
      <w:bookmarkEnd w:id="39"/>
    </w:p>
    <w:p>
      <w:pPr>
        <w:pStyle w:val="Heading4"/>
        <w:numPr>
          <w:ilvl w:val="1"/>
          <w:numId w:val="3"/>
        </w:numPr>
        <w:ind w:hanging="432" w:left="574"/>
        <w:rPr>
          <w:sz w:val="24"/>
          <w:szCs w:val="24"/>
        </w:rPr>
      </w:pPr>
      <w:bookmarkStart w:id="40" w:name="__RefHeading___Toc3076_522137136"/>
      <w:bookmarkStart w:id="41" w:name="_Toc51339698"/>
      <w:bookmarkStart w:id="42" w:name="_Toc190866829"/>
      <w:bookmarkStart w:id="43" w:name="_Toc46743511"/>
      <w:bookmarkEnd w:id="40"/>
      <w:r>
        <w:rPr>
          <w:sz w:val="24"/>
          <w:szCs w:val="24"/>
        </w:rPr>
        <w:t xml:space="preserve">Требования к </w:t>
      </w:r>
      <w:bookmarkEnd w:id="43"/>
      <w:r>
        <w:rPr>
          <w:sz w:val="24"/>
          <w:szCs w:val="24"/>
          <w:lang w:val="ru-RU"/>
        </w:rPr>
        <w:t>качеству продукции</w:t>
      </w:r>
      <w:bookmarkEnd w:id="4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44" w:name="__RefHeading___Toc3078_522137136"/>
      <w:bookmarkEnd w:id="44"/>
      <w:r>
        <w:rPr>
          <w:sz w:val="24"/>
          <w:szCs w:val="24"/>
        </w:rPr>
        <w:t xml:space="preserve"> </w:t>
      </w:r>
      <w:bookmarkStart w:id="45" w:name="_Toc1908668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5"/>
      <w:r>
        <w:rPr>
          <w:sz w:val="24"/>
          <w:szCs w:val="24"/>
        </w:rPr>
        <w:t xml:space="preserve"> </w:t>
      </w:r>
      <w:bookmarkEnd w:id="41"/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  <w:shd w:fill="auto" w:val="clear"/>
          <w:lang w:val="ru-RU" w:eastAsia="x-none"/>
        </w:rPr>
        <w:t>Наименование услуг/этапа услуг (позиция № 1-16 Таблицы 1.1):</w:t>
      </w:r>
      <w:r>
        <w:rPr>
          <w:sz w:val="24"/>
          <w:szCs w:val="24"/>
          <w:lang w:eastAsia="x-none"/>
        </w:rPr>
        <w:t xml:space="preserve"> ОКПД2 20.59.41.000 Поставка масел и спецжидкостей для грузовых транспортных средств и самоходных машин для нужд Загорского строительного участка Центрального филиала АО "ТК РусГидро"</w:t>
      </w:r>
    </w:p>
    <w:tbl>
      <w:tblPr>
        <w:tblStyle w:val="affff8"/>
        <w:tblW w:w="10200" w:type="dxa"/>
        <w:jc w:val="left"/>
        <w:tblInd w:w="-1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2261"/>
        <w:gridCol w:w="3231"/>
        <w:gridCol w:w="1535"/>
        <w:gridCol w:w="1351"/>
        <w:gridCol w:w="1253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13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3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49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4139" w:type="dxa"/>
            <w:gridSpan w:val="3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заявке согласие поставить продукцию, полностью соответствующую настоящим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техническим требованиям</w:t>
            </w:r>
          </w:p>
        </w:tc>
      </w:tr>
      <w:tr>
        <w:trPr/>
        <w:tc>
          <w:tcPr>
            <w:tcW w:w="568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226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</w:t>
            </w:r>
          </w:p>
        </w:tc>
        <w:tc>
          <w:tcPr>
            <w:tcW w:w="3231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Характеристика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Масло моторное  5w30</w:t>
            </w:r>
          </w:p>
        </w:tc>
        <w:tc>
          <w:tcPr>
            <w:tcW w:w="32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Класс вязкости по SAE: 5W-30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Классификация по API: SN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 API SN; ILSAC GF-5; ACEA A3/B3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застывания не выше -34°С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вспышки не ниже 238°C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общее щелочное число (TBN) не ниже 8,5 KOH/г.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Сульфатная зольность не выше 1%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Вязкость кинематическая при 100 °С  10-12 мм2/с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Масло моторное  10w40</w:t>
            </w:r>
          </w:p>
        </w:tc>
        <w:tc>
          <w:tcPr>
            <w:tcW w:w="32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Класс вязкости по SAE: 10w40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Классификация по API: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API CI-4/SL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API CI-4/SL, ACEA E7,  A3/B4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застывания не выше -36°С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вспышки не ниже 230°C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общее щелочное число (TBN) не ниже 10 KOH/г.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Сульфатная зольность не выше 1,4%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Вязкость кинематическая при 100 °С  14-16 мм2/с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61" w:type="dxa"/>
            <w:tcBorders/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Масло трансмиссионное 80w90</w:t>
            </w:r>
          </w:p>
        </w:tc>
        <w:tc>
          <w:tcPr>
            <w:tcW w:w="323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Класс вязкости по SAE: 80w90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Классификация по API: GL-5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 API GL-5, ZF TE-ML 07А, 08, 16D, ZF TE-ML 16C, MAN 342 Type M2, Scania STO 1:0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застывания не выше -32°С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вспышки не ниже 220°C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Вязкость кинематическая при 100 °С  14,3 -18 мм2/с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374" w:hRule="atLeast"/>
        </w:trPr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Масло гидравлическое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Класс вязкости по ISO:  32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Индекс вязкости : не ниже 145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Соответствие допускам:  DIN 51524 Part 3, Denison HF0,1, 2, Cincinnati Machine P-68, Eaton Vickers 35VQ25, Bosch Rexroth 90220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застывания не выше - 45°С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вспышки не ниже 190°C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Вязкость кинематическая при 100 °С не ниже 6,4  мм²/с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Трансмиссионная жидкость  ATF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 GM Dexron IIIH, ZF TE-ML 05L/09L/21L, Ford WSS-M2C-138CJ/WSS-M2C-166H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индекс вязкости не ниже 187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застывания не выше - 45°С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вспышки не ниже 231°C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Вязкость кинематическая при 100 °С не ниже 7,5  мм²/с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41" w:hRule="atLeast"/>
        </w:trPr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Синтетическое трансмиссионное масло для АКПП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Aisin Warner AW-1;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Ford Mercon LV;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GM Dexron VI;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Hyundai/KIA ATF SP-IV,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Mitsubishi ATF-J3, ATF-PA, SP-IV;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Nissan Matic Fluid S/W;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Toyota WS (JWS 3324);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индекс вязкости не ниже 157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застывания не выше - 45°С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вспышки не ниже 208</w:t>
            </w:r>
            <w:r>
              <w:rPr>
                <w:rFonts w:eastAsia="Times New Roman" w:cs="Times New Roman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ru-RU" w:bidi="ar-SA"/>
              </w:rPr>
              <w:t>- Вязкость кинематическая при 100 °С не ниже 5,8 мм²/с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Трансмиссионное масло для вариаторных коробок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Toyota, JASO 1A (Japanese Automotive Standards Organization)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Классификация: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ISO 7298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Допустимо для применения в вариаторных коробках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Aisin K311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автомобилей Toyota.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АНТИФРИЗ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 VW TL 774-D/F (G12/G12+);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DAF MAT 74002;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MTU MTL 5048;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Fiat-Iveco 55523/1;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Ford WSS-M97B44-D;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Renault RVI 41-01-001;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Deutz 0199-99-1115;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ASTM D3306, ASTM D4985, SAE J1034, ГОСТ 28084-89.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замерзания: не выше −40 °С;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кипения: не ниже +110 °С;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цвет — красный;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Жидкость тормозная DOT-4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допускам: FMVSS 116, ISO 4925, SAE J1703, SAE J1704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кипения «сухой» жидкости не ниже +239 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кипения «увлажнённой» жидкости не ниже +155 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вязкость при –40 °C не выше 1572 сСт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Смазка консистентная в тубах под шприц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Тара: туба для шприца 390 - 400 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соответствие классу NLGI 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диапазон рабочих температур: не менее диапазона от -30 °C до +120 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каплепадения не ниже 190 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Вязкость базового масла при 40 °С не ниже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150 мм²/c.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Смазка универсальная проникающая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тип смазки: универсальная проникающая смазка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Тара: аэрозольный баллон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объемом не менее 400 мл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В комплекте с трубочкой-насадкой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Обладать свойствами: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растворять ржавчину,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вытеснять влагу, смазывать, защищать от коррозии.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Смазка для направляющих тормозных суппортов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Тара: объем не менее 0,02л / не менее 20г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Рабочий диапазон температур не менее чем от -40°С до +200°С. °С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Совместимость с резиновыми пыльниками и уплотнительными манжетам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- Водостойкость и устойчивость к воздействию тормозной жидкости и дорожных реагентов.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Смазка медная высокотемпературная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Тара: аэрозольный баллон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объемом не менее 500 мл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Термостойкость в диапазоне температур не менее чем от –30°C до +1100°C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14" w:hRule="atLeast"/>
        </w:trPr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Очиститель тормозов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Тара:  аэрозольный баллон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объемом не менее 500 мл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Мочевина. Жидкость для систем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Соответствие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международному стандарту ISO 22241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- плотность при 20 °C — 1,087–1,093 г/см³;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замерзания не выше −11,5 °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Стеклоомывательная жидкость зимняя</w:t>
            </w:r>
          </w:p>
        </w:tc>
        <w:tc>
          <w:tcPr>
            <w:tcW w:w="323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Тара:  не менее 5л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температура замерзания: не выше -30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Соответствие  </w:t>
            </w:r>
            <w:r>
              <w:rPr>
                <w:rStyle w:val="Strong4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ГОСТ Р 702.3.006-2022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Доставка продукции осуществляется до места поставки силами, средствами и за счет Поставщика. Место поставки: Московская область, Сергиево-Посадский городской округ,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пгт. Богородское.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549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Маркировка, упаковка должны соответствовать требованиям ГОСТ 1510-2022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88" w:hRule="atLeast"/>
        </w:trPr>
        <w:tc>
          <w:tcPr>
            <w:tcW w:w="568" w:type="dxa"/>
            <w:tcBorders/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549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12 месяцев с момента поставки.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549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5492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4139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rPr>
          <w:sz w:val="24"/>
          <w:szCs w:val="24"/>
        </w:rPr>
      </w:pPr>
      <w:bookmarkStart w:id="46" w:name="__RefHeading___Toc3080_522137136"/>
      <w:bookmarkStart w:id="47" w:name="_Toc190866831"/>
      <w:bookmarkEnd w:id="46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47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i w:val="false"/>
          <w:iCs w:val="false"/>
          <w:sz w:val="24"/>
          <w:szCs w:val="24"/>
          <w:shd w:fill="auto" w:val="clear"/>
        </w:rPr>
        <w:t>В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обоснование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стоимости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своей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заявки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Участник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предоставляет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Коммерческое</w:t>
      </w:r>
      <w:r>
        <w:rPr>
          <w:i w:val="false"/>
          <w:iCs w:val="false"/>
          <w:spacing w:val="-57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предложение по форме (с учетом прилагаемой к ней инструкции по заполнению),</w:t>
      </w:r>
      <w:r>
        <w:rPr>
          <w:i w:val="false"/>
          <w:iCs w:val="false"/>
          <w:spacing w:val="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приведенной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в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Документации</w:t>
      </w:r>
      <w:r>
        <w:rPr>
          <w:i w:val="false"/>
          <w:iCs w:val="false"/>
          <w:spacing w:val="-1"/>
          <w:sz w:val="24"/>
          <w:szCs w:val="24"/>
          <w:shd w:fill="auto" w:val="clear"/>
        </w:rPr>
        <w:t xml:space="preserve"> </w:t>
      </w:r>
      <w:r>
        <w:rPr>
          <w:i w:val="false"/>
          <w:iCs w:val="false"/>
          <w:sz w:val="24"/>
          <w:szCs w:val="24"/>
          <w:shd w:fill="auto" w:val="clear"/>
        </w:rPr>
        <w:t>о закупке.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bidi w:val="0"/>
        <w:spacing w:lineRule="auto" w:line="240" w:before="120" w:after="0"/>
        <w:ind w:hanging="0" w:left="0" w:right="0"/>
        <w:contextualSpacing w:val="false"/>
        <w:jc w:val="both"/>
        <w:rPr>
          <w:i w:val="false"/>
          <w:i w:val="false"/>
          <w:iCs w:val="false"/>
          <w:highlight w:val="none"/>
          <w:shd w:fill="auto" w:val="clear"/>
        </w:rPr>
      </w:pPr>
      <w:r>
        <w:rPr>
          <w:i w:val="false"/>
          <w:iCs w:val="false"/>
          <w:shd w:fill="auto" w:val="clear"/>
        </w:rPr>
        <w:t>3.2. Дополнительные</w:t>
      </w:r>
      <w:r>
        <w:rPr>
          <w:i w:val="false"/>
          <w:iCs w:val="false"/>
          <w:spacing w:val="-4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документы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по</w:t>
      </w:r>
      <w:r>
        <w:rPr>
          <w:i w:val="false"/>
          <w:iCs w:val="false"/>
          <w:spacing w:val="-2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ценообразованию</w:t>
      </w:r>
      <w:r>
        <w:rPr>
          <w:i w:val="false"/>
          <w:iCs w:val="false"/>
          <w:spacing w:val="2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в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состав</w:t>
      </w:r>
      <w:r>
        <w:rPr>
          <w:i w:val="false"/>
          <w:iCs w:val="false"/>
          <w:spacing w:val="-4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заявки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не</w:t>
      </w:r>
      <w:r>
        <w:rPr>
          <w:i w:val="false"/>
          <w:iCs w:val="false"/>
          <w:spacing w:val="-3"/>
          <w:shd w:fill="auto" w:val="clear"/>
        </w:rPr>
        <w:t xml:space="preserve"> </w:t>
      </w:r>
      <w:r>
        <w:rPr>
          <w:i w:val="false"/>
          <w:iCs w:val="false"/>
          <w:shd w:fill="auto" w:val="clear"/>
        </w:rPr>
        <w:t>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Разработал: Зам. руководителя  ТГ Загорского СУ______________________Кулёмин С.Ф.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true"/>
      <w:bidi w:val="0"/>
      <w:spacing w:before="0" w:after="0"/>
      <w:jc w:val="both"/>
      <w:rPr>
        <w:rStyle w:val="Strong1"/>
        <w:b w:val="false"/>
        <w:sz w:val="24"/>
        <w:szCs w:val="24"/>
      </w:rPr>
    </w:pPr>
    <w:r>
      <w:rPr>
        <w:rStyle w:val="Strong1"/>
        <w:rFonts w:eastAsia="Times New Roman" w:cs="Times New Roman"/>
        <w:b w:val="false"/>
        <w:color w:val="auto"/>
        <w:kern w:val="0"/>
        <w:sz w:val="28"/>
        <w:szCs w:val="28"/>
        <w:lang w:val="ru-RU" w:eastAsia="ru-RU" w:bidi="ar-SA"/>
      </w:rPr>
      <w:fldChar w:fldCharType="begin"/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instrText xml:space="preserve"> PAGE </w:instrText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fldChar w:fldCharType="separate"/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t>10</w:t>
    </w:r>
    <w:r>
      <w:rPr>
        <w:rStyle w:val="Strong1"/>
        <w:sz w:val="28"/>
        <w:b w:val="false"/>
        <w:kern w:val="0"/>
        <w:szCs w:val="28"/>
        <w:rFonts w:eastAsia="Times New Roman" w:cs="Times New Roman"/>
        <w:color w:val="auto"/>
        <w:lang w:val="ru-RU" w:eastAsia="ru-RU" w:bidi="ar-SA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82578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82578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2">
    <w:name w:val="Strong2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e318d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[РГ] Текст"/>
    <w:basedOn w:val="Normal"/>
    <w:qFormat/>
    <w:rsid w:val="00c82578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8D5D6-4E4E-401A-9660-D6263050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4415</TotalTime>
  <Application>AlterOffice/2026.2.0.0$Linux_X86_64 LibreOffice_project/bc4ef1adf80b36c7a6365f8ed6cbf29021361edd</Application>
  <AppVersion>15.0000</AppVersion>
  <Pages>10</Pages>
  <Words>1688</Words>
  <Characters>10349</Characters>
  <CharactersWithSpaces>11739</CharactersWithSpaces>
  <Paragraphs>313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2024-08-06T06:52:00Z</dcterms:created>
  <dc:creator>Быстров Олег Геннадьевич</dc:creator>
  <dc:description/>
  <dc:language>ru-RU</dc:language>
  <cp:lastModifiedBy>petrovai@corp.gidroogk.com</cp:lastModifiedBy>
  <cp:lastPrinted>2025-01-28T10:13:00Z</cp:lastPrinted>
  <dcterms:modified xsi:type="dcterms:W3CDTF">2026-09-18T13:19:58Z</dcterms:modified>
  <cp:revision>240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