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4962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«УТВЕРЖДАЮ»</w:t>
      </w:r>
    </w:p>
    <w:p>
      <w:pPr>
        <w:pStyle w:val="Normal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Д</w:t>
      </w:r>
      <w:r>
        <w:rPr>
          <w:rFonts w:eastAsia="Calibri"/>
          <w:sz w:val="26"/>
          <w:szCs w:val="26"/>
        </w:rPr>
        <w:t>иректор Центрального филиала</w:t>
      </w:r>
    </w:p>
    <w:p>
      <w:pPr>
        <w:pStyle w:val="Normal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АО «ТК РусГидро»</w:t>
      </w:r>
    </w:p>
    <w:p>
      <w:pPr>
        <w:pStyle w:val="Normal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</w:t>
      </w:r>
      <w:r>
        <w:rPr>
          <w:rFonts w:eastAsia="Calibri"/>
          <w:sz w:val="26"/>
          <w:szCs w:val="26"/>
        </w:rPr>
        <w:t>М.В. Нешев</w:t>
      </w:r>
    </w:p>
    <w:p>
      <w:pPr>
        <w:pStyle w:val="Normal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«___» _______________ 2026 год</w:t>
      </w:r>
    </w:p>
    <w:p>
      <w:pPr>
        <w:pStyle w:val="Normal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  <w:bookmarkStart w:id="0" w:name="_Toc1375545841"/>
      <w:bookmarkStart w:id="1" w:name="_Toc1416967041"/>
      <w:bookmarkStart w:id="2" w:name="_Toc1398562871"/>
      <w:bookmarkStart w:id="3" w:name="_Toc1375545841"/>
      <w:bookmarkStart w:id="4" w:name="_Toc1416967041"/>
      <w:bookmarkStart w:id="5" w:name="_Toc1398562871"/>
      <w:bookmarkEnd w:id="3"/>
      <w:bookmarkEnd w:id="4"/>
      <w:bookmarkEnd w:id="5"/>
    </w:p>
    <w:p>
      <w:pPr>
        <w:pStyle w:val="Normal"/>
        <w:keepNext w:val="true"/>
        <w:keepLine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keepNext w:val="true"/>
        <w:keepLines/>
        <w:jc w:val="center"/>
        <w:rPr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  <w:sz w:val="26"/>
          <w:szCs w:val="26"/>
        </w:rPr>
        <w:t>ОКПД2: 49.41.20.000. Оказание транспортных услуг дорожно-строительной техникой с предоставлением экипажа для нужд Загорского строительного участка Центрального филиала АО «ТК РусГидро».</w:t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eastAsia="Calibri" w:cs="Times New Roman"/>
          <w:b/>
          <w:bCs/>
          <w:color w:val="auto"/>
          <w:kern w:val="0"/>
          <w:sz w:val="26"/>
          <w:szCs w:val="26"/>
          <w:lang w:val="ru-RU" w:eastAsia="ru-RU" w:bidi="ar-SA"/>
        </w:rPr>
      </w:pPr>
      <w:r>
        <w:rPr>
          <w:rFonts w:eastAsia="Calibri" w:cs="Times New Roman"/>
          <w:b/>
          <w:bCs/>
          <w:color w:val="auto"/>
          <w:kern w:val="0"/>
          <w:sz w:val="26"/>
          <w:szCs w:val="26"/>
          <w:lang w:val="ru-RU" w:eastAsia="ru-RU" w:bidi="ar-SA"/>
        </w:rPr>
        <w:t>ЛОТ:  _________________________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center"/>
        <w:rPr/>
      </w:pPr>
      <w:r>
        <w:rPr>
          <w:rFonts w:eastAsia="Calibri"/>
          <w:sz w:val="26"/>
          <w:szCs w:val="26"/>
        </w:rPr>
        <w:br/>
      </w:r>
    </w:p>
    <w:p>
      <w:pPr>
        <w:pStyle w:val="Normal"/>
        <w:jc w:val="center"/>
        <w:rPr>
          <w:rFonts w:eastAsia="Calibri"/>
          <w:color w:val="000000"/>
          <w:sz w:val="26"/>
          <w:szCs w:val="26"/>
          <w:shd w:fill="FFFFFF" w:val="clear"/>
        </w:rPr>
      </w:pPr>
      <w:r>
        <w:rPr>
          <w:rFonts w:eastAsia="Calibri"/>
          <w:color w:val="000000"/>
          <w:sz w:val="26"/>
          <w:szCs w:val="26"/>
          <w:shd w:fill="FFFFFF" w:val="clear"/>
        </w:rPr>
      </w:r>
    </w:p>
    <w:p>
      <w:pPr>
        <w:pStyle w:val="Normal"/>
        <w:jc w:val="center"/>
        <w:rPr>
          <w:rFonts w:eastAsia="Calibri"/>
          <w:sz w:val="26"/>
          <w:szCs w:val="26"/>
          <w:shd w:fill="FFFF00" w:val="clear"/>
        </w:rPr>
      </w:pPr>
      <w:r>
        <w:rPr>
          <w:rFonts w:eastAsia="Calibri"/>
          <w:sz w:val="26"/>
          <w:szCs w:val="26"/>
          <w:shd w:fill="FFFF00" w:val="clear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jc w:val="center"/>
        <w:rPr/>
      </w:pPr>
      <w:r>
        <w:rPr/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10194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b w:val="false"/>
              <w:bCs w:val="false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b w:val="false"/>
              <w:bCs w:val="false"/>
              <w:vanish w:val="false"/>
            </w:rPr>
            <w:fldChar w:fldCharType="separate"/>
          </w:r>
          <w:hyperlink w:anchor="_Toc190946759">
            <w:r>
              <w:rPr>
                <w:webHidden/>
                <w:rStyle w:val="Style14"/>
                <w:b w:val="false"/>
                <w:bCs w:val="false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_Toc190946759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 w:val="false"/>
                <w:bCs w:val="false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90946760">
            <w:r>
              <w:rPr>
                <w:webHidden/>
                <w:rStyle w:val="Style14"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_Toc190946760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90946761">
            <w:r>
              <w:rPr>
                <w:webHidden/>
                <w:rStyle w:val="Style14"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_Toc190946761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90946763">
            <w:r>
              <w:rPr>
                <w:webHidden/>
                <w:rStyle w:val="Style14"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оказания услуг</w:t>
            </w:r>
          </w:hyperlink>
          <w:hyperlink w:anchor="_Toc19094676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_Toc190946764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194" w:leader="dot"/>
            </w:tabs>
            <w:rPr/>
          </w:pPr>
          <w:hyperlink w:anchor="_Toc19094676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_Toc190946765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b w:val="false"/>
                <w:bCs w:val="false"/>
                <w:vanish w:val="false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10194" w:leader="dot"/>
            </w:tabs>
            <w:rPr/>
          </w:pPr>
          <w:hyperlink w:anchor="_Toc190946766">
            <w:r>
              <w:rPr>
                <w:webHidden/>
                <w:rStyle w:val="Style14"/>
                <w:b w:val="false"/>
                <w:bCs w:val="false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_Toc190946766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 w:val="false"/>
                <w:bCs w:val="false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90946767">
            <w:r>
              <w:rPr>
                <w:webHidden/>
                <w:rStyle w:val="Style14"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_Toc190946767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10194" w:leader="dot"/>
            </w:tabs>
            <w:rPr/>
          </w:pPr>
          <w:hyperlink w:anchor="_Toc190946768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_Toc190946768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перечню и объему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194" w:leader="dot"/>
            </w:tabs>
            <w:rPr/>
          </w:pPr>
          <w:hyperlink w:anchor="_Toc19094676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_Toc190946769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b w:val="false"/>
                <w:bCs w:val="false"/>
                <w:vanish w:val="false"/>
              </w:rPr>
              <w:t>Таблица 2. Перечень и объем оказываемых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10194" w:leader="dot"/>
            </w:tabs>
            <w:rPr/>
          </w:pPr>
          <w:hyperlink w:anchor="_Toc190946771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_Toc190946771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срокам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194" w:leader="dot"/>
            </w:tabs>
            <w:rPr/>
          </w:pPr>
          <w:hyperlink w:anchor="_Toc19094677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_Toc190946772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b w:val="false"/>
                <w:bCs w:val="false"/>
                <w:vanish w:val="false"/>
              </w:rPr>
              <w:t>Таблица 3. Требования к срокам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90946773">
            <w:r>
              <w:rPr>
                <w:webHidden/>
                <w:rStyle w:val="Style14"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_Toc190946773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194" w:leader="dot"/>
            </w:tabs>
            <w:rPr/>
          </w:pPr>
          <w:hyperlink w:anchor="_Toc19094677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_Toc190946774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b w:val="false"/>
                <w:bCs w:val="false"/>
                <w:vanish w:val="false"/>
              </w:rPr>
              <w:t>Таблица 4. 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194" w:leader="dot"/>
            </w:tabs>
            <w:rPr/>
          </w:pPr>
          <w:hyperlink w:anchor="_Toc19094677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_Toc190946775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b w:val="false"/>
                <w:bCs w:val="false"/>
                <w:vanish w:val="false"/>
              </w:rPr>
              <w:t>3. Требования к документации по ценообразованию на этапе заключения (исполнения) договора</w:t>
              <w:tab/>
              <w:t>9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b w:val="false"/>
              <w:bCs w:val="false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10204" w:leader="dot"/>
        </w:tabs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OC1"/>
        <w:tabs>
          <w:tab w:val="clear" w:pos="708"/>
          <w:tab w:val="right" w:pos="10204" w:leader="dot"/>
        </w:tabs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OC1"/>
        <w:tabs>
          <w:tab w:val="clear" w:pos="708"/>
          <w:tab w:val="left" w:pos="560" w:leader="none"/>
          <w:tab w:val="right" w:pos="10194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tabs>
          <w:tab w:val="clear" w:pos="0"/>
        </w:tabs>
        <w:ind w:left="0" w:hanging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b w:val="false"/>
        </w:rPr>
      </w:pPr>
      <w:bookmarkStart w:id="6" w:name="_Toc190946759"/>
      <w:bookmarkStart w:id="7" w:name="_Toc150444132"/>
      <w:r>
        <w:rPr>
          <w:b w:val="false"/>
          <w:lang w:val="ru-RU"/>
        </w:rPr>
        <w:t>Общие сведения</w:t>
      </w:r>
      <w:bookmarkEnd w:id="6"/>
      <w:bookmarkEnd w:id="7"/>
    </w:p>
    <w:p>
      <w:pPr>
        <w:pStyle w:val="Heading4"/>
        <w:numPr>
          <w:ilvl w:val="1"/>
          <w:numId w:val="3"/>
        </w:numPr>
        <w:ind w:left="1141" w:hanging="432"/>
        <w:rPr>
          <w:b w:val="false"/>
          <w:bCs w:val="false"/>
        </w:rPr>
      </w:pPr>
      <w:bookmarkStart w:id="8" w:name="_Toc190946760"/>
      <w:bookmarkStart w:id="9" w:name="_Toc150444133"/>
      <w:bookmarkStart w:id="10" w:name="_Toc46743505"/>
      <w:bookmarkStart w:id="11" w:name="_Toc130396882"/>
      <w:r>
        <w:rPr>
          <w:b w:val="false"/>
          <w:bCs w:val="false"/>
        </w:rPr>
        <w:t>Обозначения и сокращения</w:t>
      </w:r>
      <w:bookmarkEnd w:id="8"/>
      <w:bookmarkEnd w:id="9"/>
      <w:bookmarkEnd w:id="10"/>
      <w:bookmarkEnd w:id="11"/>
    </w:p>
    <w:tbl>
      <w:tblPr>
        <w:tblW w:w="992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676"/>
        <w:gridCol w:w="7244"/>
      </w:tblGrid>
      <w:tr>
        <w:trPr>
          <w:cantSplit w:val="true"/>
        </w:trPr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spacing w:val="-2"/>
              </w:rPr>
              <w:t>РФ</w:t>
            </w: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spacing w:val="-2"/>
              </w:rPr>
              <w:t>Российская Федерация</w:t>
            </w:r>
          </w:p>
        </w:tc>
      </w:tr>
      <w:tr>
        <w:trPr>
          <w:cantSplit w:val="true"/>
        </w:trPr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/>
              <w:t>АО «ТК РусГидро»</w:t>
            </w: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spacing w:val="-2"/>
              </w:rPr>
              <w:t>Акционерное общество «Транспортная компания РусГидро»</w:t>
            </w:r>
          </w:p>
        </w:tc>
      </w:tr>
      <w:tr>
        <w:trPr>
          <w:cantSplit w:val="true"/>
        </w:trPr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120"/>
              <w:jc w:val="both"/>
              <w:rPr/>
            </w:pPr>
            <w:r>
              <w:rPr>
                <w:spacing w:val="-2"/>
              </w:rPr>
              <w:t>Минтранс РФ</w:t>
            </w: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120"/>
              <w:jc w:val="both"/>
              <w:rPr/>
            </w:pPr>
            <w:r>
              <w:rPr>
                <w:spacing w:val="-2"/>
              </w:rPr>
              <w:t>Министерство транспорта Российской Федерации</w:t>
            </w:r>
          </w:p>
        </w:tc>
      </w:tr>
      <w:tr>
        <w:trPr>
          <w:cantSplit w:val="true"/>
        </w:trPr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120"/>
              <w:jc w:val="both"/>
              <w:rPr/>
            </w:pPr>
            <w:r>
              <w:rPr>
                <w:spacing w:val="-2"/>
              </w:rPr>
              <w:t>ФЗ</w:t>
            </w:r>
          </w:p>
        </w:tc>
        <w:tc>
          <w:tcPr>
            <w:tcW w:w="7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120"/>
              <w:jc w:val="both"/>
              <w:rPr/>
            </w:pPr>
            <w:r>
              <w:rPr>
                <w:spacing w:val="-2"/>
              </w:rPr>
              <w:t>Федеральный закон</w:t>
            </w:r>
          </w:p>
        </w:tc>
      </w:tr>
      <w:tr>
        <w:trPr>
          <w:cantSplit w:val="true"/>
        </w:trPr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spacing w:val="-2"/>
              </w:rPr>
              <w:t>СНиП</w:t>
            </w: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120"/>
              <w:jc w:val="both"/>
              <w:rPr/>
            </w:pPr>
            <w:r>
              <w:rPr>
                <w:spacing w:val="-2"/>
              </w:rPr>
              <w:t>Строительные нормы и правила</w:t>
            </w:r>
          </w:p>
        </w:tc>
      </w:tr>
      <w:tr>
        <w:trPr>
          <w:cantSplit w:val="true"/>
        </w:trPr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spacing w:val="-2"/>
              </w:rPr>
              <w:t>ГОСТ</w:t>
            </w: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120"/>
              <w:jc w:val="both"/>
              <w:rPr/>
            </w:pPr>
            <w:r>
              <w:rPr>
                <w:spacing w:val="-2"/>
              </w:rPr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/>
              <w:t>ДТП</w:t>
            </w: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120"/>
              <w:jc w:val="both"/>
              <w:rPr/>
            </w:pPr>
            <w:r>
              <w:rPr/>
              <w:t>Дорожно-транспортное происшествие</w:t>
            </w:r>
          </w:p>
        </w:tc>
      </w:tr>
    </w:tbl>
    <w:p>
      <w:pPr>
        <w:pStyle w:val="Normal"/>
        <w:ind w:left="1141" w:hanging="432"/>
        <w:rPr/>
      </w:pPr>
      <w:r>
        <w:rPr/>
      </w:r>
    </w:p>
    <w:p>
      <w:pPr>
        <w:pStyle w:val="Heading4"/>
        <w:numPr>
          <w:ilvl w:val="1"/>
          <w:numId w:val="3"/>
        </w:numPr>
        <w:ind w:left="1141" w:hanging="432"/>
        <w:rPr/>
      </w:pPr>
      <w:bookmarkStart w:id="12" w:name="_Toc190946761"/>
      <w:bookmarkStart w:id="13" w:name="_Toc150444134"/>
      <w:bookmarkStart w:id="14" w:name="_Toc130396883"/>
      <w:bookmarkStart w:id="15" w:name="_Toc46743506"/>
      <w:r>
        <w:rPr>
          <w:sz w:val="26"/>
          <w:szCs w:val="26"/>
        </w:rPr>
        <w:t>Наименование закупаемой продукции</w:t>
      </w:r>
      <w:bookmarkEnd w:id="12"/>
      <w:bookmarkEnd w:id="13"/>
      <w:bookmarkEnd w:id="14"/>
      <w:bookmarkEnd w:id="15"/>
    </w:p>
    <w:p>
      <w:pPr>
        <w:pStyle w:val="Heading4"/>
        <w:tabs>
          <w:tab w:val="clear" w:pos="0"/>
        </w:tabs>
        <w:ind w:left="0" w:hanging="0"/>
        <w:rPr>
          <w:b w:val="false"/>
          <w:bCs w:val="false"/>
        </w:rPr>
      </w:pPr>
      <w:r>
        <w:rPr>
          <w:b w:val="false"/>
          <w:bCs w:val="false"/>
          <w:sz w:val="26"/>
          <w:szCs w:val="26"/>
          <w:lang w:val="ru-RU"/>
        </w:rPr>
        <w:t>ОКПД2: 49.41.20.000. Оказание транспортных услуг дорожно-строительной техникой с предоставлением экипажа для нужд Загорского строительного участка Центрального филиала АО «ТК РусГидро».</w:t>
      </w:r>
      <w:bookmarkStart w:id="16" w:name="_Toc150444135"/>
      <w:bookmarkStart w:id="17" w:name="_Toc130396884"/>
    </w:p>
    <w:p>
      <w:pPr>
        <w:pStyle w:val="Heading4"/>
        <w:numPr>
          <w:ilvl w:val="1"/>
          <w:numId w:val="3"/>
        </w:numPr>
        <w:ind w:left="1141" w:hanging="432"/>
        <w:rPr/>
      </w:pPr>
      <w:bookmarkStart w:id="18" w:name="_Toc190946763"/>
      <w:bookmarkStart w:id="19" w:name="_Toc46743507"/>
      <w:r>
        <w:rPr/>
        <w:t xml:space="preserve">Цель </w:t>
      </w:r>
      <w:bookmarkEnd w:id="19"/>
      <w:r>
        <w:rPr>
          <w:sz w:val="26"/>
          <w:szCs w:val="26"/>
        </w:rPr>
        <w:t>оказания</w:t>
      </w:r>
      <w:r>
        <w:rPr/>
        <w:t xml:space="preserve"> услуг</w:t>
      </w:r>
      <w:bookmarkEnd w:id="16"/>
      <w:bookmarkEnd w:id="17"/>
      <w:bookmarkEnd w:id="18"/>
      <w:r>
        <w:rPr/>
        <w:t xml:space="preserve"> 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b w:val="false"/>
        </w:rPr>
      </w:pPr>
      <w:bookmarkStart w:id="20" w:name="__RefHeading___Toc7977_238034913"/>
      <w:bookmarkStart w:id="21" w:name="_Toc150444137"/>
      <w:bookmarkEnd w:id="20"/>
      <w:r>
        <w:rPr>
          <w:b w:val="false"/>
          <w:sz w:val="26"/>
          <w:szCs w:val="26"/>
          <w:lang w:val="ru-RU"/>
        </w:rPr>
        <w:tab/>
      </w:r>
      <w:bookmarkStart w:id="22" w:name="_Toc190946764"/>
      <w:r>
        <w:rPr>
          <w:b w:val="false"/>
          <w:sz w:val="26"/>
          <w:szCs w:val="26"/>
          <w:lang w:val="ru-RU"/>
        </w:rPr>
        <w:t>Целью является оказание услуг для исполнения обязательств по договорам, заключенным между АО «ТК РусГидро» и АО «Загорская ГАЭС-2».</w:t>
      </w:r>
      <w:bookmarkEnd w:id="22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bCs/>
        </w:rPr>
      </w:pPr>
      <w:bookmarkStart w:id="23" w:name="_Toc190946765"/>
      <w:r>
        <w:rPr>
          <w:bCs/>
          <w:sz w:val="24"/>
          <w:szCs w:val="24"/>
        </w:rPr>
        <w:t>Таблица 1</w:t>
      </w:r>
      <w:r>
        <w:rPr>
          <w:bCs/>
          <w:sz w:val="24"/>
          <w:szCs w:val="24"/>
          <w:lang w:val="ru-RU"/>
        </w:rPr>
        <w:t>.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ru-RU"/>
        </w:rPr>
        <w:t>Перечень объектов заказчика</w:t>
      </w:r>
      <w:bookmarkEnd w:id="21"/>
      <w:bookmarkEnd w:id="23"/>
    </w:p>
    <w:tbl>
      <w:tblPr>
        <w:tblW w:w="10344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17"/>
        <w:gridCol w:w="2864"/>
        <w:gridCol w:w="2126"/>
        <w:gridCol w:w="2537"/>
        <w:gridCol w:w="2000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Расположение объекта </w:t>
              <w:br/>
              <w:t>(место оказания услуг)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4"/>
              <w:widowControl w:val="false"/>
              <w:tabs>
                <w:tab w:val="clear" w:pos="0"/>
              </w:tabs>
              <w:spacing w:before="120" w:after="60"/>
              <w:ind w:left="0" w:hanging="0"/>
              <w:jc w:val="left"/>
              <w:rPr>
                <w:b w:val="false"/>
              </w:rPr>
            </w:pPr>
            <w:r>
              <w:rPr>
                <w:b w:val="false"/>
              </w:rPr>
              <w:t>ОКПД2: 49.41.20.000. Оказание транспортных услуг дорожно-строительной техникой с предоставлением экипажа для нужд Загорского строительного участка Центрального филиала АО «ТК РусГидро».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eastAsia="zh-CN"/>
              </w:rPr>
              <w:t>Загорская гидроаккумулирующая электростанция (АО «Загорская ГАЭС-2»). Российская Федерация, Московская область, г. Сергиев Посад, рабочий поселок Богородское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Сооружения нижнего аккумулирующего бассейна Загорской ГАЭС-2 (комплекс работ по 2.01. этапу строительства)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 выполняются для нужд АО «Загорская ГАЭС-2»</w:t>
            </w:r>
          </w:p>
        </w:tc>
      </w:tr>
    </w:tbl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b/>
          <w:bCs/>
          <w:i w:val="false"/>
          <w:i w:val="false"/>
          <w:iCs w:val="false"/>
        </w:rPr>
      </w:pPr>
      <w:bookmarkStart w:id="24" w:name="_Toc190946766"/>
      <w:bookmarkStart w:id="25" w:name="_Toc51339693"/>
      <w:bookmarkStart w:id="26" w:name="_Toc150444138"/>
      <w:r>
        <w:rPr>
          <w:b/>
          <w:bCs/>
          <w:i w:val="false"/>
          <w:iCs w:val="false"/>
          <w:lang w:val="ru-RU"/>
        </w:rPr>
        <w:t>Требования</w:t>
      </w:r>
      <w:r>
        <w:rPr>
          <w:b/>
          <w:bCs/>
          <w:i w:val="false"/>
          <w:iCs w:val="false"/>
        </w:rPr>
        <w:t xml:space="preserve"> к продукции</w:t>
      </w:r>
      <w:bookmarkEnd w:id="24"/>
      <w:bookmarkEnd w:id="25"/>
      <w:bookmarkEnd w:id="26"/>
    </w:p>
    <w:p>
      <w:pPr>
        <w:pStyle w:val="Heading4"/>
        <w:numPr>
          <w:ilvl w:val="1"/>
          <w:numId w:val="3"/>
        </w:numPr>
        <w:ind w:left="1141" w:hanging="432"/>
        <w:rPr/>
      </w:pPr>
      <w:bookmarkStart w:id="27" w:name="_Toc190946767"/>
      <w:bookmarkStart w:id="28" w:name="_Toc130396890"/>
      <w:bookmarkStart w:id="29" w:name="_Toc150444139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7"/>
      <w:bookmarkEnd w:id="28"/>
      <w:bookmarkEnd w:id="29"/>
    </w:p>
    <w:p>
      <w:pPr>
        <w:pStyle w:val="Heading3"/>
        <w:numPr>
          <w:ilvl w:val="2"/>
          <w:numId w:val="3"/>
        </w:numPr>
        <w:rPr>
          <w:bCs/>
        </w:rPr>
      </w:pPr>
      <w:bookmarkStart w:id="30" w:name="_Toc130396891"/>
      <w:bookmarkStart w:id="31" w:name="_Toc150444140"/>
      <w:bookmarkStart w:id="32" w:name="_Toc190946768"/>
      <w:r>
        <w:rPr>
          <w:bCs/>
          <w:lang w:val="ru-RU"/>
        </w:rPr>
        <w:t>Требования к перечню и объему услуг</w:t>
      </w:r>
      <w:bookmarkEnd w:id="30"/>
      <w:bookmarkEnd w:id="31"/>
      <w:bookmarkEnd w:id="32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bCs/>
        </w:rPr>
      </w:pPr>
      <w:r>
        <w:rPr>
          <w:bCs/>
          <w:sz w:val="24"/>
          <w:szCs w:val="24"/>
        </w:rPr>
        <w:t xml:space="preserve">     </w:t>
      </w:r>
      <w:bookmarkStart w:id="33" w:name="_Toc190946769"/>
      <w:bookmarkStart w:id="34" w:name="_Toc150444141"/>
      <w:bookmarkStart w:id="35" w:name="_Toc54643705"/>
      <w:bookmarkStart w:id="36" w:name="_Toc51339695"/>
      <w:r>
        <w:rPr>
          <w:bCs/>
          <w:sz w:val="24"/>
          <w:szCs w:val="24"/>
        </w:rPr>
        <w:t xml:space="preserve">Таблица </w:t>
      </w:r>
      <w:r>
        <w:rPr>
          <w:bCs/>
          <w:sz w:val="24"/>
          <w:szCs w:val="24"/>
          <w:lang w:val="ru-RU"/>
        </w:rPr>
        <w:t>2.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ru-RU"/>
        </w:rPr>
        <w:t xml:space="preserve">Перечень </w:t>
      </w:r>
      <w:bookmarkEnd w:id="36"/>
      <w:r>
        <w:rPr>
          <w:bCs/>
          <w:sz w:val="24"/>
          <w:szCs w:val="24"/>
          <w:lang w:val="ru-RU"/>
        </w:rPr>
        <w:t>и объем оказываемых услуг</w:t>
      </w:r>
      <w:bookmarkEnd w:id="33"/>
      <w:bookmarkEnd w:id="34"/>
      <w:bookmarkEnd w:id="35"/>
    </w:p>
    <w:tbl>
      <w:tblPr>
        <w:tblW w:w="10370" w:type="dxa"/>
        <w:jc w:val="left"/>
        <w:tblInd w:w="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792"/>
        <w:gridCol w:w="3812"/>
        <w:gridCol w:w="1681"/>
        <w:gridCol w:w="2028"/>
        <w:gridCol w:w="2057"/>
      </w:tblGrid>
      <w:tr>
        <w:trPr/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ТС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Объем продукции*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(час, усл)</w:t>
            </w:r>
          </w:p>
        </w:tc>
      </w:tr>
      <w:tr>
        <w:trPr/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Оказание услуг с экипажем экскаватором гусеничным, объем ковша не менее 1,6 м3</w:t>
            </w:r>
          </w:p>
        </w:tc>
        <w:tc>
          <w:tcPr>
            <w:tcW w:w="1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t>1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>час</w:t>
            </w:r>
          </w:p>
        </w:tc>
        <w:tc>
          <w:tcPr>
            <w:tcW w:w="2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3090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Доставка техники (экскаватора ) до объекта и обратно</w:t>
            </w:r>
          </w:p>
        </w:tc>
        <w:tc>
          <w:tcPr>
            <w:tcW w:w="1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t>2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>усл</w:t>
            </w:r>
          </w:p>
        </w:tc>
        <w:tc>
          <w:tcPr>
            <w:tcW w:w="2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Оказание услуг с экипажем бульдозером мощностью не менее 200 л.с </w:t>
            </w:r>
          </w:p>
        </w:tc>
        <w:tc>
          <w:tcPr>
            <w:tcW w:w="1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t>1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>час</w:t>
            </w:r>
          </w:p>
        </w:tc>
        <w:tc>
          <w:tcPr>
            <w:tcW w:w="2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3090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Доставка техники (бульдозера) до объекта и обратно</w:t>
            </w:r>
          </w:p>
        </w:tc>
        <w:tc>
          <w:tcPr>
            <w:tcW w:w="16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t>2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>час</w:t>
            </w:r>
          </w:p>
        </w:tc>
        <w:tc>
          <w:tcPr>
            <w:tcW w:w="2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>
      <w:pPr>
        <w:pStyle w:val="Heading3"/>
        <w:rPr>
          <w:b w:val="false"/>
          <w:lang w:val="ru-RU"/>
        </w:rPr>
      </w:pPr>
      <w:bookmarkStart w:id="37" w:name="__RefHeading___Toc7989_238034913_Копия_1"/>
      <w:bookmarkEnd w:id="37"/>
      <w:r>
        <w:rPr>
          <w:b w:val="false"/>
          <w:lang w:val="ru-RU"/>
        </w:rPr>
        <w:t xml:space="preserve">* Объем продукции является ориентировочным, и Заказчик не несет ответственность за неполную выборку продукции на общую сумму договора. </w:t>
      </w:r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bidi w:val="0"/>
        <w:spacing w:before="120" w:after="60"/>
        <w:ind w:left="283" w:hanging="0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x-none" w:bidi="ar-SA"/>
        </w:rPr>
      </w:pPr>
      <w:bookmarkStart w:id="38" w:name="__RefHeading___Toc7991_238034913"/>
      <w:bookmarkStart w:id="39" w:name="_Toc190946771"/>
      <w:bookmarkStart w:id="40" w:name="_Toc130396892"/>
      <w:bookmarkStart w:id="41" w:name="_Toc150444142"/>
      <w:bookmarkStart w:id="42" w:name="_Toc51339696"/>
      <w:bookmarkEnd w:id="38"/>
      <w:r>
        <w:rPr>
          <w:rFonts w:eastAsia="Calibri" w:cs="Times New Roman"/>
          <w:color w:val="auto"/>
          <w:kern w:val="0"/>
          <w:sz w:val="24"/>
          <w:szCs w:val="24"/>
          <w:lang w:val="ru-RU" w:eastAsia="x-none" w:bidi="ar-SA"/>
        </w:rPr>
        <w:t xml:space="preserve">Требования </w:t>
      </w:r>
      <w:bookmarkEnd w:id="42"/>
      <w:r>
        <w:rPr>
          <w:rFonts w:eastAsia="Calibri" w:cs="Times New Roman"/>
          <w:color w:val="auto"/>
          <w:kern w:val="0"/>
          <w:sz w:val="24"/>
          <w:szCs w:val="24"/>
          <w:lang w:val="ru-RU" w:eastAsia="x-none" w:bidi="ar-SA"/>
        </w:rPr>
        <w:t>к срокам оказания услуг</w:t>
      </w:r>
      <w:bookmarkEnd w:id="39"/>
      <w:bookmarkEnd w:id="40"/>
      <w:bookmarkEnd w:id="41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b/>
          <w:bCs/>
        </w:rPr>
      </w:pPr>
      <w:r>
        <w:rPr>
          <w:b/>
          <w:bCs/>
          <w:sz w:val="24"/>
          <w:szCs w:val="24"/>
        </w:rPr>
        <w:t xml:space="preserve">    </w:t>
      </w:r>
      <w:bookmarkStart w:id="43" w:name="_Toc150444143"/>
      <w:bookmarkStart w:id="44" w:name="_Toc190946772"/>
      <w:bookmarkStart w:id="45" w:name="_Toc51339697"/>
      <w:bookmarkStart w:id="46" w:name="_Toc50125127"/>
      <w:r>
        <w:rPr>
          <w:b/>
          <w:bCs/>
          <w:sz w:val="24"/>
          <w:szCs w:val="24"/>
        </w:rPr>
        <w:t xml:space="preserve">Таблица </w:t>
      </w:r>
      <w:r>
        <w:rPr>
          <w:b/>
          <w:bCs/>
          <w:sz w:val="24"/>
          <w:szCs w:val="24"/>
          <w:lang w:val="ru-RU"/>
        </w:rPr>
        <w:t>3</w:t>
      </w:r>
      <w:r>
        <w:rPr>
          <w:b/>
          <w:bCs/>
          <w:sz w:val="24"/>
          <w:szCs w:val="24"/>
        </w:rPr>
        <w:t xml:space="preserve">. </w:t>
      </w:r>
      <w:bookmarkStart w:id="47" w:name="_Hlk50465284"/>
      <w:r>
        <w:rPr>
          <w:b/>
          <w:bCs/>
          <w:sz w:val="24"/>
          <w:szCs w:val="24"/>
        </w:rPr>
        <w:t xml:space="preserve">Требования </w:t>
      </w:r>
      <w:r>
        <w:rPr>
          <w:b/>
          <w:bCs/>
          <w:sz w:val="24"/>
          <w:szCs w:val="24"/>
          <w:lang w:val="ru-RU"/>
        </w:rPr>
        <w:t>к</w:t>
      </w:r>
      <w:r>
        <w:rPr>
          <w:b/>
          <w:bCs/>
          <w:sz w:val="24"/>
          <w:szCs w:val="24"/>
        </w:rPr>
        <w:t xml:space="preserve"> срокам </w:t>
      </w:r>
      <w:bookmarkEnd w:id="45"/>
      <w:bookmarkEnd w:id="46"/>
      <w:bookmarkEnd w:id="47"/>
      <w:r>
        <w:rPr>
          <w:b/>
          <w:bCs/>
          <w:sz w:val="24"/>
          <w:szCs w:val="24"/>
          <w:lang w:val="ru-RU"/>
        </w:rPr>
        <w:t>оказания услуг</w:t>
      </w:r>
      <w:bookmarkEnd w:id="43"/>
      <w:bookmarkEnd w:id="44"/>
    </w:p>
    <w:tbl>
      <w:tblPr>
        <w:tblW w:w="10320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17"/>
        <w:gridCol w:w="3007"/>
        <w:gridCol w:w="3130"/>
        <w:gridCol w:w="3465"/>
      </w:tblGrid>
      <w:tr>
        <w:trPr/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left="0" w:right="57" w:hanging="0"/>
              <w:contextualSpacing/>
              <w:jc w:val="left"/>
              <w:rPr/>
            </w:pPr>
            <w:r>
              <w:rPr/>
              <w:t>1.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;Times;serif" w:hAnsi="Times New Roman;Times;serif"/>
                <w:sz w:val="24"/>
                <w:szCs w:val="24"/>
              </w:rPr>
              <w:t>ОКПД2: 49.41.20.000. Оказание транспортных услуг дорожно-строительной техникой с предоставлением экипажа для нужд Загорского строительного участка Центрального филиала АО «ТК РусГидро».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С даты заключения договора 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MS Mincho"/>
                <w:sz w:val="24"/>
                <w:szCs w:val="24"/>
                <w:lang w:eastAsia="ja-JP"/>
              </w:rPr>
              <w:t>31.12.2027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851" w:right="851" w:gutter="0" w:header="680" w:top="737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ind w:left="1141" w:hanging="432"/>
        <w:rPr/>
      </w:pPr>
      <w:bookmarkStart w:id="48" w:name="_Toc190946773"/>
      <w:bookmarkStart w:id="49" w:name="_Toc150444144"/>
      <w:bookmarkStart w:id="50" w:name="_Toc130396894"/>
      <w:r>
        <w:rPr>
          <w:lang w:val="ru-RU"/>
        </w:rPr>
        <w:t xml:space="preserve">Требования </w:t>
      </w:r>
      <w:r>
        <w:rPr/>
        <w:t xml:space="preserve">к </w:t>
      </w:r>
      <w:r>
        <w:rPr>
          <w:lang w:val="ru-RU"/>
        </w:rPr>
        <w:t>качеству услуг</w:t>
      </w:r>
      <w:bookmarkEnd w:id="48"/>
      <w:bookmarkEnd w:id="49"/>
      <w:bookmarkEnd w:id="50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bCs/>
        </w:rPr>
      </w:pPr>
      <w:bookmarkStart w:id="51" w:name="_Toc190946774"/>
      <w:bookmarkStart w:id="52" w:name="_Toc150444145"/>
      <w:r>
        <w:rPr>
          <w:bCs/>
          <w:sz w:val="24"/>
          <w:szCs w:val="24"/>
        </w:rPr>
        <w:t>Таблица </w:t>
      </w:r>
      <w:r>
        <w:rPr>
          <w:bCs/>
          <w:sz w:val="24"/>
          <w:szCs w:val="24"/>
          <w:lang w:val="ru-RU"/>
        </w:rPr>
        <w:t>4</w:t>
      </w:r>
      <w:r>
        <w:rPr>
          <w:bCs/>
          <w:sz w:val="24"/>
          <w:szCs w:val="24"/>
        </w:rPr>
        <w:t xml:space="preserve">. Требования к </w:t>
      </w:r>
      <w:r>
        <w:rPr>
          <w:bCs/>
          <w:sz w:val="24"/>
          <w:szCs w:val="24"/>
          <w:lang w:val="ru-RU"/>
        </w:rPr>
        <w:t>качеству услуг</w:t>
      </w:r>
      <w:bookmarkEnd w:id="51"/>
      <w:bookmarkEnd w:id="52"/>
      <w:r>
        <w:rPr>
          <w:bCs/>
          <w:sz w:val="24"/>
          <w:szCs w:val="24"/>
        </w:rPr>
        <w:t xml:space="preserve"> </w:t>
      </w:r>
    </w:p>
    <w:p>
      <w:pPr>
        <w:pStyle w:val="Normal"/>
        <w:jc w:val="both"/>
        <w:rPr/>
      </w:pPr>
      <w:r>
        <w:rPr>
          <w:b/>
          <w:bCs/>
          <w:sz w:val="24"/>
          <w:szCs w:val="24"/>
        </w:rPr>
        <w:t>Наименование услуг/этапа услуг: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 w:val="false"/>
          <w:bCs w:val="false"/>
          <w:color w:val="000000"/>
          <w:sz w:val="24"/>
          <w:szCs w:val="24"/>
        </w:rPr>
        <w:t>ОКПД2: 49.41.20.000. Оказание транспортных услуг дорожно-строительной техникой с предоставлением экипажа для нужд Загорского строительного участка Центрального филиала АО «ТК РусГидро».</w:t>
      </w:r>
    </w:p>
    <w:tbl>
      <w:tblPr>
        <w:tblW w:w="15450" w:type="dxa"/>
        <w:jc w:val="left"/>
        <w:tblInd w:w="3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noVBand="1" w:val="04a0" w:noHBand="0" w:lastColumn="0" w:firstColumn="1" w:lastRow="0" w:firstRow="1"/>
      </w:tblPr>
      <w:tblGrid>
        <w:gridCol w:w="1021"/>
        <w:gridCol w:w="4011"/>
        <w:gridCol w:w="68"/>
        <w:gridCol w:w="5608"/>
        <w:gridCol w:w="4741"/>
      </w:tblGrid>
      <w:tr>
        <w:trPr/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</w:rPr>
              <w:t xml:space="preserve">№ </w:t>
            </w:r>
            <w:r>
              <w:rPr>
                <w:sz w:val="20"/>
              </w:rPr>
              <w:t>п/п</w:t>
            </w:r>
          </w:p>
        </w:tc>
        <w:tc>
          <w:tcPr>
            <w:tcW w:w="4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</w:rPr>
              <w:t>Наименование параметра</w:t>
            </w:r>
          </w:p>
        </w:tc>
        <w:tc>
          <w:tcPr>
            <w:tcW w:w="56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</w:rPr>
              <w:t>Требование Заказчика</w:t>
            </w:r>
          </w:p>
        </w:tc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10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676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bookmarkStart w:id="53" w:name="_Toc53499667"/>
            <w:r>
              <w:rPr>
                <w:sz w:val="20"/>
              </w:rPr>
              <w:t>1</w:t>
            </w:r>
            <w:bookmarkEnd w:id="53"/>
          </w:p>
        </w:tc>
        <w:tc>
          <w:tcPr>
            <w:tcW w:w="40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</w:rPr>
              <w:t>2</w:t>
            </w:r>
          </w:p>
        </w:tc>
        <w:tc>
          <w:tcPr>
            <w:tcW w:w="567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</w:rPr>
              <w:t>3</w:t>
            </w:r>
          </w:p>
        </w:tc>
        <w:tc>
          <w:tcPr>
            <w:tcW w:w="4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</w:rPr>
              <w:t>4</w:t>
            </w:r>
          </w:p>
        </w:tc>
      </w:tr>
      <w:tr>
        <w:trPr>
          <w:trHeight w:val="239" w:hRule="atLeast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eastAsia="Calibri"/>
                <w:b/>
                <w:bCs/>
                <w:sz w:val="20"/>
                <w:szCs w:val="20"/>
                <w:lang w:eastAsia="x-none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x-none"/>
              </w:rPr>
              <w:t>1.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Требования к оказанию услуг</w:t>
            </w:r>
          </w:p>
        </w:tc>
        <w:tc>
          <w:tcPr>
            <w:tcW w:w="474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sz w:val="20"/>
              </w:rPr>
              <w:t>Участник должен предоставить в заявке согласие оказать услуги, полностью соответствующие настоящим техническим требованиям.</w:t>
            </w:r>
          </w:p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Общие требования к оказанию услуг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/>
            </w:pPr>
            <w:r>
              <w:rPr/>
            </w:r>
          </w:p>
        </w:tc>
      </w:tr>
      <w:tr>
        <w:trPr>
          <w:trHeight w:val="87" w:hRule="atLeast"/>
        </w:trPr>
        <w:tc>
          <w:tcPr>
            <w:tcW w:w="102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60" w:after="60"/>
              <w:ind w:left="1077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Экскаватор гусеничный 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ковша не менее 1,6м3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87" w:hRule="atLeast"/>
        </w:trPr>
        <w:tc>
          <w:tcPr>
            <w:tcW w:w="10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60" w:after="60"/>
              <w:ind w:left="1077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07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Бульдозер </w:t>
            </w:r>
          </w:p>
        </w:tc>
        <w:tc>
          <w:tcPr>
            <w:tcW w:w="560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Мощность не менее 200 л.с 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left="0" w:right="57" w:hanging="0"/>
              <w:contextualSpacing/>
              <w:jc w:val="center"/>
              <w:rPr>
                <w:rFonts w:eastAsia="Calibri"/>
                <w:sz w:val="20"/>
                <w:szCs w:val="20"/>
                <w:lang w:eastAsia="x-none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-SA"/>
              </w:rPr>
              <w:t>1.1.2.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Услуги оказываются на объектах строительства Загорской ГАЭС-2: 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/>
              <w:contextualSpacing/>
              <w:jc w:val="center"/>
              <w:rPr>
                <w:rFonts w:eastAsia="Calibri"/>
                <w:sz w:val="20"/>
                <w:szCs w:val="20"/>
                <w:lang w:eastAsia="x-none"/>
              </w:rPr>
            </w:pPr>
            <w:r>
              <w:rPr>
                <w:rFonts w:eastAsia="Calibri"/>
                <w:sz w:val="20"/>
                <w:szCs w:val="20"/>
                <w:lang w:eastAsia="x-none"/>
              </w:rPr>
              <w:t>1.1.3.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 w:val="20"/>
              </w:rPr>
              <w:t xml:space="preserve">При выполнении услуг необходимо руководствоваться действующим законодательством Российской Федерации: </w:t>
            </w:r>
            <w:r>
              <w:rPr>
                <w:b/>
                <w:bCs/>
                <w:color w:val="000000"/>
                <w:sz w:val="20"/>
              </w:rPr>
              <w:t>Федеральным законом от 08.11.2007 № 259-ФЗ «Устав автомобильного транспорта и городского наземного электрического транспорта».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b/>
                <w:bCs/>
                <w:color w:val="000000"/>
                <w:sz w:val="20"/>
              </w:rPr>
              <w:t>Постановлением Правительства РФ от 23.10.1993 N 1090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движения"). Федеральным законом от 21.07.1997 N 116-ФЗ "О промышленной безопасности опасных производственных объектов".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 w:val="20"/>
              </w:rPr>
              <w:t>Постановлением Правительства Российской Федерации от 21.12.2020 № 2200 "Об утверждении Правил перевозок грузов автомобильным транспортом и о внесении измен</w:t>
            </w:r>
            <w:r>
              <w:rPr>
                <w:sz w:val="20"/>
              </w:rPr>
              <w:t>ений в пункт 2.1.1 Правил дорожного движения Российской Федерации".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sz w:val="20"/>
              </w:rPr>
              <w:t>Постановление Госстроя России от 17.09.2002 N 123 "О принятии строительных норм и правил Российской Федерации "Безопасность труда в строительстве. Часть 2. Строительное производство. СНиП 12-04-2002"</w:t>
            </w:r>
          </w:p>
          <w:p>
            <w:pPr>
              <w:pStyle w:val="Normal"/>
              <w:widowControl w:val="false"/>
              <w:bidi w:val="0"/>
              <w:spacing w:lineRule="atLeast" w:line="100" w:before="0" w:after="0"/>
              <w:ind w:left="0" w:right="0" w:hanging="0"/>
              <w:jc w:val="left"/>
              <w:rPr/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0"/>
                <w:sz w:val="20"/>
                <w:u w:val="none"/>
                <w:em w:val="none"/>
              </w:rPr>
              <w:t>"ГОСТ 25646-95. Эксплуатация строительных машин. Общие требования" (введен в действие Постановлением Госстандарта РФ от 17.02.1997 N 57)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ind w:hanging="0"/>
              <w:contextualSpacing/>
              <w:jc w:val="center"/>
              <w:rPr>
                <w:rFonts w:eastAsia="Calibri"/>
                <w:sz w:val="20"/>
                <w:szCs w:val="20"/>
                <w:lang w:eastAsia="x-none"/>
              </w:rPr>
            </w:pPr>
            <w:r>
              <w:rPr>
                <w:rFonts w:eastAsia="Calibri"/>
                <w:sz w:val="20"/>
                <w:szCs w:val="20"/>
                <w:lang w:eastAsia="x-none"/>
              </w:rPr>
              <w:t>1.1.4.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ind w:right="41" w:hanging="0"/>
              <w:jc w:val="both"/>
              <w:rPr/>
            </w:pPr>
            <w:r>
              <w:rPr>
                <w:sz w:val="20"/>
              </w:rPr>
              <w:t>Исполнитель должен руководствоваться нормативными (правовыми) актами на данный вид деятельности, предусмотренными законодательством РФ, в том числе:</w:t>
            </w:r>
          </w:p>
          <w:p>
            <w:pPr>
              <w:pStyle w:val="Normal"/>
              <w:widowControl w:val="false"/>
              <w:ind w:right="41" w:hanging="0"/>
              <w:jc w:val="both"/>
              <w:rPr/>
            </w:pPr>
            <w:r>
              <w:rPr>
                <w:sz w:val="20"/>
              </w:rPr>
              <w:t>Федеральным законом от 10.12.1995 № 196-ФЗ «О безопасности дорожного движения».</w:t>
            </w:r>
          </w:p>
          <w:p>
            <w:pPr>
              <w:pStyle w:val="Normal"/>
              <w:widowControl w:val="false"/>
              <w:ind w:right="41" w:hanging="0"/>
              <w:jc w:val="both"/>
              <w:rPr>
                <w:strike/>
                <w:sz w:val="20"/>
                <w:shd w:fill="FFFF00" w:val="clear"/>
              </w:rPr>
            </w:pPr>
            <w:r>
              <w:rPr>
                <w:sz w:val="20"/>
              </w:rPr>
              <w:t>Решением Комиссии Таможенного союза от 09.12.2011 № 877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</w:tr>
      <w:tr>
        <w:trPr/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ind w:hanging="0"/>
              <w:contextualSpacing/>
              <w:jc w:val="center"/>
              <w:rPr>
                <w:rFonts w:eastAsia="Calibri"/>
                <w:sz w:val="20"/>
                <w:szCs w:val="20"/>
                <w:lang w:eastAsia="x-none"/>
              </w:rPr>
            </w:pPr>
            <w:r>
              <w:rPr>
                <w:rFonts w:eastAsia="Calibri"/>
                <w:sz w:val="20"/>
                <w:szCs w:val="20"/>
                <w:lang w:eastAsia="x-none"/>
              </w:rPr>
              <w:t>1.1.5</w:t>
            </w:r>
          </w:p>
        </w:tc>
        <w:tc>
          <w:tcPr>
            <w:tcW w:w="9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0"/>
              </w:rPr>
              <w:t>Оказание услуг должно осуществляться с соблюдением требований технической документации по эксплуатации автотранспорта, с соблюдением требований Правил дорожного движения РФ, Правил перевозки грузов автомобильным транспортом и других действующих нормативно-правовых актов РФ, связанных с оказанием услуг по перевозке грузов.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ind w:hanging="0"/>
              <w:contextualSpacing/>
              <w:jc w:val="center"/>
              <w:rPr>
                <w:b w:val="false"/>
                <w:bCs w:val="false"/>
              </w:rPr>
            </w:pPr>
            <w:r>
              <w:rPr>
                <w:rFonts w:eastAsia="Calibri"/>
                <w:b w:val="false"/>
                <w:bCs w:val="false"/>
                <w:sz w:val="20"/>
                <w:szCs w:val="20"/>
                <w:lang w:eastAsia="x-none"/>
              </w:rPr>
              <w:t>1.1.6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0"/>
              </w:rPr>
              <w:t>Услуги, оказываемые Исполнителем, должны соответствовать ГОСТ Р 51005-96. Государственный стандарт Российской Федерации. Услуги транспортные. Перевозки грузов. Номенклатура показателей качества" (принят и введен в действие Постановлением Госстандарта РФ от 25.12.1996 N 702) Исполнитель обязуется обеспечить перевозку и передачу груза с должным качеством, без потерь, повреждений, порчи, в сроки и в соответствии с технологией организации и осуществления перевозок.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1.1.7.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Cs/>
                <w:sz w:val="20"/>
              </w:rPr>
              <w:t>Используемая техника должна соответствовать требованиям безопасности, общим требованиям, установленным "ГОСТ 25646-95. Эксплуатация строительных машин. Общие требования" (введен в действие Постановлением Госстандарта РФ от 17.02.1997 N 57)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1.1.8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0"/>
              </w:rPr>
              <w:t>Качество услуг должно соответствовать действующим нормативным документам РФ, определяющим порядок перевозки грузов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транспорта»,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>
              <w:rPr>
                <w:sz w:val="20"/>
              </w:rPr>
              <w:t>Постановлением Правительства Российской Федерации от 21.12.2020 № 2200 "Об утверждении Правил перевозок грузов автомобильным транспортом и о внесении изменений в пункт 2.1.1 Правил дорожного движения Российской Федерации".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1.1.9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0"/>
                <w:szCs w:val="20"/>
              </w:rPr>
              <w:t>Исполнитель по требованию Заказчика должен предоставить копии документов, подтверждающих права собственности/владения автотранспортной техники.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9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процедурам оказания услуг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1.2.1.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Исполнитель должен оказать услуги с применением экипажа спецтехники для выполнения строительных работ в соответствии с требованиями, изложенными в настоящих Технических требованиях.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</w:tr>
      <w:tr>
        <w:trPr>
          <w:trHeight w:val="534" w:hRule="atLeast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1.2.2.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Исполнитель оказывает услуги: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спецтехникой и грузоподъемными механизмами согласно поступившим заявкам, согласно п. 3.1. Договора.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1.2.4.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Услуги оказываются персоналом Исполнителя с использованием дорожно-строительной техники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1.2.5.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Исполнитель обязан обеспечить своевременное и надлежащее оформление в установленном порядке путевой документации.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1.2.6.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(мойка (по мере необходимости), техническое обслуживание и все виды ремонта, в том числе приобретение запасных частей, шин, расходных материалов, заправка топливом и смазочными материалами спецтехники  осуществляется силами и средствами Исполнителя, в том числе все виды обязательного страхования, предусмотренные законодательством РФ для оказания вышеперечисленных услуг.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90" w:hRule="atLeast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1.2.7.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Допускается выпускать на линию технически исправную технику, прошедшую в установленном порядке государственный технический осмотр, и принадлежащую Исполнителю на праве собственности или переданную ему во временное владение и пользование по договору аренды или иным гражданско-правовым договорам.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90" w:hRule="atLeast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Исполнитель производит страхование техники, несет ответственность за возможный ущерб, причиненный Заказчику в случае ненадлежащей эксплуатации Исполнителем дорожно-строительной техники.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90" w:hRule="atLeast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1.2.9.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Исполнитель оказывает услуги в соответствии с потребностью Заказчика, на основании соответствующей заявки. Объем оказываемых услуг является приблизительным и не подлежит обязательному принятию. Заказчик вправе производить принятие услуг в объемах в соответствии с собственными потребностями.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90" w:hRule="atLeast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1.2.10.</w:t>
            </w:r>
          </w:p>
        </w:tc>
        <w:tc>
          <w:tcPr>
            <w:tcW w:w="9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Исполнитель, в случае ДТП, неисправности, невыхода на линию спецтехники или по иной любой причине предоставляет Заказчику аналогичную резервную технику с экипажем в течение 2 часов в пределах региона оказания услуг.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ind w:left="25" w:hanging="0"/>
              <w:contextualSpacing/>
              <w:jc w:val="center"/>
              <w:rPr>
                <w:rFonts w:eastAsia="Calibri"/>
                <w:b/>
                <w:bCs/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</w:rPr>
              <w:t>1.2.11</w:t>
            </w:r>
            <w:r>
              <w:rPr>
                <w:rFonts w:eastAsia="Calibri"/>
                <w:b/>
                <w:bCs/>
                <w:sz w:val="20"/>
                <w:szCs w:val="20"/>
                <w:lang w:eastAsia="x-none"/>
              </w:rPr>
              <w:t>.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случае применения контролирующими органами штрафных санкций к Заказчику по фактам нарушения Исполнителем требований охраны труда, электробезопасности, пожарной и промышленной безопасности, природоохранного законодательства или иных нормативных правовых актов, возмещать Заказчику расходы по уплате таких штрафов в течение 10 (десяти) рабочих дней с даты получения соответствующего письменного требования.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1.2.12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эксплуатации  дорожно-строительной не должен превышать 12 лет.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1.2.13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Исполнитель предоставляет Заказчику технику оборудованную системой передачи данных (системой мониторинга), обеспечивающую сбор и обработку в электронном виде данных с ТС и предоставление доступа Заказчику к этим данным с целью контроля перемещения.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1.3.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персоналу исполнителя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1.3.1.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Исполнитель должен обеспечить наличие у персонала необходимых допусков и разрешений для управления техникой в соответствии с Постановлением Правительства Российской Федерации от 23.10.1993 № 1090 «О правилах дорожного движения» и Постановлением Правительства РФ от 12.07.1999 № 796 "Об утверждении Правил допуска к управлению самоходными машинами и выдачи удостоверений тракториста-машиниста (тракториста)", соблюдение установленных на объекте режимных требований при входе и выходе персонала, въезде, выезде спецтехники и ввозе материалов согласно положений о пропускном и внутриобъектовом режимах, условий конфиденциальности, а также других требований, описанных в данном техническом задании.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0"/>
                <w:szCs w:val="20"/>
              </w:rPr>
              <w:t>1.3.2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Допускать к управлению дорожно-строительной техникой машинистов, имеющих соответствующую квалификацию, прошедших стажировку и медицинское освидетельствование, предрейсовый, межсменный, послерейсовый медосмотр собственным лицензированным медицинским работником или при наличии договора на данный вид услуг медицинским учреждением согласно рекомендациям Минздрава РФ и Минтранса РФ и требованиями ФЗ от 10.12.1995 № 196-ФЗ «О безопасности дорожного движения». Продолжительность рабочего времени водителей не может превышать 40 часов в неделю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Исполнитель обязан обеспечивать в месте оказания Услуг порядок и чистоту, накапливать строительный и бытовой мусор в предназначенных для этого и указанных Заказчиком местах, не допуская переполнения мест накопления.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1.3.4</w:t>
            </w:r>
          </w:p>
        </w:tc>
        <w:tc>
          <w:tcPr>
            <w:tcW w:w="9687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Режим работы: Односменный (8 часов по рабочим дням, 1 час – обеденное время), полуторасменный (12 часов по рабочим дням, 1 час – обеденное время) двухсменный (с 7:00 — 18:00 — дневная смена, 1 час – обеденное время, 19:00–6:00 — ночная смен, 1 час – обеденное время) – в зависимости от объема и сроков выполнения строительного-монтажных работ с применением спецтехники и механизмов. Заказчик вправе изменить время режима работы в рабочие дни, а также (в случае необходимости и по предварительному согласованию с Исполнителем) запросить оказание услуги в нерабочие дни (выходные и праздничные)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1.4.</w:t>
            </w:r>
          </w:p>
        </w:tc>
        <w:tc>
          <w:tcPr>
            <w:tcW w:w="9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47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1.4.1.</w:t>
            </w:r>
          </w:p>
        </w:tc>
        <w:tc>
          <w:tcPr>
            <w:tcW w:w="9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окончании оказания Услуг по Заявке Исполнитель в течение 2 (двух) рабочих дней предоставляет Заказчику подписанные со своей стороны в 2 (двух) экземплярах: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Универсальный передаточный документ (УПД)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Справку о выполненных работах (услугах) по форме № ЭСМ-7 в 2 (двух) экземплярах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Рапорты о работе строительной техники в (двух) экземплярах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Копии путевых листов строительной машины — форма ЭСМ-2 с подписью уполномоченного представителем Заказчика.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</w:t>
            </w:r>
          </w:p>
        </w:tc>
        <w:tc>
          <w:tcPr>
            <w:tcW w:w="9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Учет времени эксплуатации техники производится по факту отработанного времени/выполненного объема перевозок, указанного в путевых листах, подписанных уполномоченным представителем Заказчика.</w:t>
            </w:r>
          </w:p>
        </w:tc>
        <w:tc>
          <w:tcPr>
            <w:tcW w:w="474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  <w:r>
        <w:br w:type="page"/>
      </w:r>
    </w:p>
    <w:p>
      <w:pPr>
        <w:pStyle w:val="Heading1"/>
        <w:keepLines/>
        <w:ind w:left="1247" w:hanging="0"/>
        <w:jc w:val="center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Heading1"/>
        <w:keepLines/>
        <w:ind w:left="0" w:hanging="0"/>
        <w:jc w:val="center"/>
        <w:rPr>
          <w:bCs/>
          <w:sz w:val="24"/>
          <w:szCs w:val="24"/>
        </w:rPr>
      </w:pPr>
      <w:bookmarkStart w:id="54" w:name="__RefHeading___Toc8011_238034913"/>
      <w:bookmarkStart w:id="55" w:name="_Toc190946775"/>
      <w:bookmarkEnd w:id="54"/>
      <w:r>
        <w:rPr>
          <w:bCs/>
          <w:sz w:val="24"/>
          <w:szCs w:val="24"/>
          <w:lang w:val="ru-RU"/>
        </w:rPr>
        <w:t xml:space="preserve">3. </w:t>
      </w:r>
      <w:bookmarkStart w:id="56" w:name="_Toc54281228"/>
      <w:bookmarkStart w:id="57" w:name="_Toc150444158"/>
      <w:r>
        <w:rPr>
          <w:bCs/>
          <w:sz w:val="24"/>
          <w:szCs w:val="24"/>
          <w:lang w:val="ru-RU"/>
        </w:rPr>
        <w:t>Требования к документации по ценообразованию на этапе заключения (исполнения) договора</w:t>
      </w:r>
      <w:bookmarkEnd w:id="55"/>
      <w:bookmarkEnd w:id="56"/>
      <w:bookmarkEnd w:id="57"/>
    </w:p>
    <w:p>
      <w:pPr>
        <w:pStyle w:val="Normal"/>
        <w:keepNext w:val="true"/>
        <w:keepLines/>
        <w:numPr>
          <w:ilvl w:val="0"/>
          <w:numId w:val="0"/>
        </w:numPr>
        <w:suppressAutoHyphens w:val="false"/>
        <w:spacing w:before="120" w:after="60"/>
        <w:ind w:left="357" w:hanging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60"/>
        <w:ind w:left="0" w:hanging="0"/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3.1. В обоснование стоимости своей заявки Участник предоставляет Коммерческое предложение.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60"/>
        <w:ind w:left="0" w:hanging="0"/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ab/>
        <w:t>3.2.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60"/>
        <w:ind w:left="0" w:hanging="0"/>
        <w:jc w:val="both"/>
        <w:outlineLvl w:val="3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ab/>
        <w:t>3.3. Дополнительные документы по ценообразованию в состав заявки Участника не включаются.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60"/>
        <w:ind w:left="0" w:hanging="0"/>
        <w:jc w:val="both"/>
        <w:outlineLvl w:val="3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ab/>
        <w:t>3.4. Цена остается фиксированной и не подлежит изменению и на все время действия договора.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60"/>
        <w:ind w:left="0" w:hanging="0"/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lang w:val="x-none"/>
        </w:rPr>
      </w:pPr>
      <w:r>
        <w:rPr>
          <w:lang w:val="x-none"/>
        </w:rPr>
      </w:r>
    </w:p>
    <w:p>
      <w:pPr>
        <w:pStyle w:val="Normal"/>
        <w:suppressAutoHyphens w:val="false"/>
        <w:spacing w:lineRule="auto" w:line="276" w:before="0" w:after="20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uppressAutoHyphens w:val="false"/>
        <w:spacing w:lineRule="auto" w:line="276" w:before="0" w:after="200"/>
        <w:jc w:val="center"/>
        <w:rPr>
          <w:sz w:val="24"/>
          <w:szCs w:val="24"/>
        </w:rPr>
      </w:pPr>
      <w:r>
        <w:rPr>
          <w:sz w:val="24"/>
          <w:szCs w:val="24"/>
        </w:rPr>
        <w:t>Начальник Загорского строительного участка ___________________ Ш.Б. Гамзатов</w:t>
      </w:r>
    </w:p>
    <w:p>
      <w:pPr>
        <w:pStyle w:val="Normal"/>
        <w:suppressAutoHyphens w:val="false"/>
        <w:spacing w:lineRule="auto" w:line="276" w:before="0" w:after="20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uppressAutoHyphens w:val="false"/>
        <w:spacing w:lineRule="auto" w:line="276" w:before="0" w:after="200"/>
        <w:jc w:val="right"/>
        <w:rPr/>
      </w:pPr>
      <w:r>
        <w:rPr/>
      </w:r>
    </w:p>
    <w:p>
      <w:pPr>
        <w:pStyle w:val="Normal"/>
        <w:suppressAutoHyphens w:val="false"/>
        <w:spacing w:lineRule="auto" w:line="276" w:before="0" w:after="200"/>
        <w:jc w:val="right"/>
        <w:rPr/>
      </w:pPr>
      <w:r>
        <w:rPr/>
      </w:r>
    </w:p>
    <w:p>
      <w:pPr>
        <w:pStyle w:val="Normal"/>
        <w:suppressAutoHyphens w:val="false"/>
        <w:spacing w:lineRule="auto" w:line="276" w:before="0" w:after="200"/>
        <w:jc w:val="right"/>
        <w:rPr/>
      </w:pPr>
      <w:r>
        <w:rPr/>
      </w:r>
    </w:p>
    <w:p>
      <w:pPr>
        <w:pStyle w:val="Normal"/>
        <w:suppressAutoHyphens w:val="false"/>
        <w:spacing w:lineRule="auto" w:line="276" w:before="0" w:after="200"/>
        <w:jc w:val="right"/>
        <w:rPr/>
      </w:pPr>
      <w:r>
        <w:rPr/>
      </w:r>
    </w:p>
    <w:p>
      <w:pPr>
        <w:pStyle w:val="Normal"/>
        <w:suppressAutoHyphens w:val="false"/>
        <w:spacing w:lineRule="auto" w:line="276" w:before="0" w:after="200"/>
        <w:jc w:val="right"/>
        <w:rPr/>
      </w:pPr>
      <w:r>
        <w:rPr/>
      </w:r>
    </w:p>
    <w:p>
      <w:pPr>
        <w:pStyle w:val="Normal"/>
        <w:suppressAutoHyphens w:val="false"/>
        <w:spacing w:lineRule="auto" w:line="276" w:before="0" w:after="200"/>
        <w:jc w:val="right"/>
        <w:rPr/>
      </w:pPr>
      <w:r>
        <w:rPr/>
      </w:r>
    </w:p>
    <w:p>
      <w:pPr>
        <w:pStyle w:val="Normal"/>
        <w:suppressAutoHyphens w:val="false"/>
        <w:spacing w:lineRule="auto" w:line="276" w:before="0" w:after="200"/>
        <w:jc w:val="right"/>
        <w:rPr/>
      </w:pPr>
      <w:r>
        <w:rPr/>
      </w:r>
    </w:p>
    <w:p>
      <w:pPr>
        <w:pStyle w:val="Normal"/>
        <w:suppressAutoHyphens w:val="false"/>
        <w:spacing w:lineRule="auto" w:line="276" w:before="0" w:after="200"/>
        <w:jc w:val="right"/>
        <w:rPr/>
      </w:pPr>
      <w:r>
        <w:rPr/>
      </w:r>
    </w:p>
    <w:p>
      <w:pPr>
        <w:pStyle w:val="Normal"/>
        <w:suppressAutoHyphens w:val="false"/>
        <w:spacing w:lineRule="auto" w:line="276" w:before="0" w:after="200"/>
        <w:jc w:val="right"/>
        <w:rPr/>
      </w:pPr>
      <w:r>
        <w:rPr/>
      </w:r>
    </w:p>
    <w:p>
      <w:pPr>
        <w:pStyle w:val="Normal"/>
        <w:suppressAutoHyphens w:val="false"/>
        <w:spacing w:lineRule="auto" w:line="276" w:before="0" w:after="200"/>
        <w:jc w:val="right"/>
        <w:rPr/>
      </w:pPr>
      <w:r>
        <w:rPr/>
      </w:r>
    </w:p>
    <w:p>
      <w:pPr>
        <w:pStyle w:val="Normal"/>
        <w:suppressAutoHyphens w:val="false"/>
        <w:spacing w:lineRule="auto" w:line="276" w:before="0" w:after="200"/>
        <w:jc w:val="right"/>
        <w:rPr/>
      </w:pPr>
      <w:r>
        <w:rPr/>
      </w:r>
    </w:p>
    <w:p>
      <w:pPr>
        <w:pStyle w:val="Normal"/>
        <w:suppressAutoHyphens w:val="false"/>
        <w:spacing w:lineRule="auto" w:line="276" w:before="0" w:after="200"/>
        <w:jc w:val="right"/>
        <w:rPr>
          <w:color w:val="666666"/>
          <w:sz w:val="20"/>
          <w:szCs w:val="20"/>
        </w:rPr>
      </w:pPr>
      <w:r>
        <w:rPr>
          <w:color w:val="666666"/>
          <w:sz w:val="20"/>
          <w:szCs w:val="20"/>
        </w:rPr>
      </w:r>
    </w:p>
    <w:p>
      <w:pPr>
        <w:pStyle w:val="Normal"/>
        <w:suppressAutoHyphens w:val="false"/>
        <w:spacing w:lineRule="auto" w:line="276" w:before="0" w:after="200"/>
        <w:jc w:val="right"/>
        <w:rPr>
          <w:color w:val="808080"/>
          <w:sz w:val="18"/>
          <w:szCs w:val="18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851" w:right="851" w:gutter="0" w:header="680" w:top="737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altName w:val="Times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44E18B3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44E18B34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 xml:space="preserve">  </w: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11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7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d0ba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283" w:hanging="0"/>
      <w:jc w:val="both"/>
      <w:outlineLvl w:val="2"/>
    </w:pPr>
    <w:rPr>
      <w:rFonts w:eastAsia="Calibri"/>
      <w:b/>
      <w:bCs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ind w:left="1141" w:hanging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9a3ad7"/>
    <w:rPr>
      <w:color w:val="0563C1" w:themeColor="hyperlink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13" w:customStyle="1">
    <w:name w:val="Номер строки1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14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14"/>
    <w:qFormat/>
    <w:pPr/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14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14"/>
    <w:qFormat/>
    <w:pPr/>
    <w:rPr/>
  </w:style>
  <w:style w:type="paragraph" w:styleId="Caption111111" w:customStyle="1">
    <w:name w:val="caption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8f0d34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paragraph" w:styleId="Default" w:customStyle="1">
    <w:name w:val="Default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7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7CD88-F08D-42F2-B758-5686A9893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6791</TotalTime>
  <Application>AlterOffice/3.4.0.9$Linux_X86_64 LibreOffice_project/b8daf9e823b1a5463a2f48435ddc2e8696e7d4fc</Application>
  <AppVersion>15.0000</AppVersion>
  <Pages>9</Pages>
  <Words>1754</Words>
  <Characters>12352</Characters>
  <CharactersWithSpaces>13927</CharactersWithSpaces>
  <Paragraphs>213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2025-02-20T02:26:00Z</dcterms:created>
  <dc:creator>Быстров Олег Геннадьевич</dc:creator>
  <dc:description/>
  <dc:language>ru-RU</dc:language>
  <cp:lastModifiedBy>tolpyginanv@corp.gidroogk.com</cp:lastModifiedBy>
  <cp:lastPrinted>2026-05-28T14:35:55Z</cp:lastPrinted>
  <dcterms:modified xsi:type="dcterms:W3CDTF">2026-09-18T15:53:38Z</dcterms:modified>
  <cp:revision>81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