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numPr>
          <w:ilvl w:val="0"/>
        </w:numPr>
        <w:tabs>
          <w:tab w:val="clear" w:pos="709"/>
          <w:tab w:val="left" w:pos="567" w:leader="none"/>
        </w:tabs>
        <w:overflowPunct w:val="false"/>
        <w:spacing w:before="0" w:after="0"/>
        <w:ind w:left="0" w:right="0" w:firstLine="708"/>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left="0" w:firstLine="709"/>
        <w:jc w:val="both"/>
        <w:rPr/>
      </w:pPr>
      <w:r>
        <w:rPr>
          <w:highlight w:val="lightGray"/>
        </w:rPr>
        <w: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в том числе имеющих разрешения, членства и аттестаты, необходимые для оказания Услуг.</w:t>
      </w:r>
    </w:p>
    <w:p>
      <w:pPr>
        <w:pStyle w:val="ListParagraph"/>
        <w:numPr>
          <w:ilvl w:val="2"/>
          <w:numId w:val="17"/>
        </w:numPr>
        <w:shd w:val="clear" w:color="auto" w:fill="FFFFFF"/>
        <w:tabs>
          <w:tab w:val="clear" w:pos="709"/>
          <w:tab w:val="left" w:pos="1418" w:leader="none"/>
        </w:tabs>
        <w:ind w:left="0" w:firstLine="709"/>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7"/>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left="0" w:firstLine="709"/>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left="0" w:firstLine="709"/>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left="709" w:hanging="0"/>
        <w:jc w:val="both"/>
        <w:rPr/>
      </w:pPr>
      <w:r>
        <w:rPr/>
      </w:r>
    </w:p>
    <w:p>
      <w:pPr>
        <w:pStyle w:val="ListParagraph"/>
        <w:numPr>
          <w:ilvl w:val="1"/>
          <w:numId w:val="17"/>
        </w:numPr>
        <w:shd w:val="clear" w:color="auto" w:fill="FFFFFF"/>
        <w:tabs>
          <w:tab w:val="clear" w:pos="709"/>
          <w:tab w:val="left" w:pos="1134" w:leader="none"/>
        </w:tabs>
        <w:ind w:left="0" w:firstLine="709"/>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2"/>
          <w:numId w:val="17"/>
        </w:numPr>
        <w:tabs>
          <w:tab w:val="clear" w:pos="709"/>
          <w:tab w:val="left" w:pos="1418" w:leader="none"/>
        </w:tabs>
        <w:ind w:left="0" w:firstLine="709"/>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r>
        <w:rPr>
          <w:rStyle w:val="FootnoteReference"/>
          <w:bCs/>
          <w:highlight w:val="lightGray"/>
        </w:rPr>
        <w:footnoteReference w:id="3"/>
      </w:r>
      <w:r>
        <w:rPr>
          <w:bCs/>
        </w:rPr>
        <w:t>.</w:t>
      </w:r>
    </w:p>
    <w:p>
      <w:pPr>
        <w:pStyle w:val="ListParagraph"/>
        <w:numPr>
          <w:ilvl w:val="1"/>
          <w:numId w:val="17"/>
        </w:numPr>
        <w:shd w:val="clear" w:color="auto" w:fill="FFFFFF"/>
        <w:tabs>
          <w:tab w:val="clear" w:pos="709"/>
          <w:tab w:val="left" w:pos="1134" w:leader="none"/>
        </w:tabs>
        <w:ind w:left="0" w:firstLine="709"/>
        <w:jc w:val="both"/>
        <w:rPr>
          <w:bCs/>
          <w:highlight w:val="lightGray"/>
          <w:u w:val="single"/>
        </w:rPr>
      </w:pPr>
      <w:r>
        <w:rPr>
          <w:bCs/>
          <w:highlight w:val="lightGray"/>
          <w:u w:val="single"/>
        </w:rPr>
        <w:t>Иные права и обязанности Сторон</w:t>
      </w:r>
      <w:r>
        <w:rPr>
          <w:rStyle w:val="FootnoteReference"/>
          <w:highlight w:val="lightGray"/>
          <w:u w:val="single"/>
        </w:rPr>
        <w:footnoteReference w:id="4"/>
      </w:r>
      <w:r>
        <w:rPr>
          <w:bCs/>
          <w:highlight w:val="lightGray"/>
          <w:u w:val="single"/>
        </w:rPr>
        <w:t>:</w:t>
      </w:r>
    </w:p>
    <w:p>
      <w:pPr>
        <w:pStyle w:val="ListParagraph"/>
        <w:numPr>
          <w:ilvl w:val="2"/>
          <w:numId w:val="17"/>
        </w:numPr>
        <w:shd w:val="clear" w:color="auto" w:fill="FFFFFF"/>
        <w:tabs>
          <w:tab w:val="left" w:pos="709" w:leader="none"/>
          <w:tab w:val="left" w:pos="851" w:leader="none"/>
          <w:tab w:val="left" w:pos="1418" w:leader="none"/>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Style6"/>
          <w:highlight w:val="lightGray"/>
        </w:rPr>
        <w:t xml:space="preserve"> </w:t>
      </w:r>
    </w:p>
    <w:p>
      <w:pPr>
        <w:pStyle w:val="ListParagraph"/>
        <w:numPr>
          <w:ilvl w:val="2"/>
          <w:numId w:val="17"/>
        </w:numPr>
        <w:tabs>
          <w:tab w:val="left" w:pos="709" w:leader="none"/>
          <w:tab w:val="left" w:pos="851" w:leader="none"/>
          <w:tab w:val="left" w:pos="1418" w:leader="none"/>
        </w:tabs>
        <w:ind w:left="0" w:firstLine="709"/>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17"/>
        </w:numPr>
        <w:tabs>
          <w:tab w:val="left" w:pos="709" w:leader="none"/>
          <w:tab w:val="left" w:pos="851" w:leader="none"/>
          <w:tab w:val="left" w:pos="1418" w:leader="none"/>
        </w:tabs>
        <w:ind w:left="0" w:firstLine="709"/>
        <w:jc w:val="both"/>
        <w:rPr>
          <w:highlight w:val="lightGray"/>
        </w:rPr>
      </w:pPr>
      <w:r>
        <w:rPr>
          <w:highlight w:val="lightGray"/>
        </w:rPr>
        <w:t xml:space="preserve">Исполнитель не позднее дня, следующего за днем заключения договора </w:t>
        <w:br/>
        <w:t xml:space="preserve">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5 к Договору</w:t>
      </w:r>
      <w:r>
        <w:rPr>
          <w:rStyle w:val="FootnoteReference"/>
          <w:highlight w:val="lightGray"/>
        </w:rPr>
        <w:footnoteReference w:id="5"/>
      </w:r>
      <w:r>
        <w:rPr>
          <w:highlight w:val="lightGray"/>
        </w:rPr>
        <w:t>.</w:t>
      </w:r>
    </w:p>
    <w:p>
      <w:pPr>
        <w:pStyle w:val="ListParagraph"/>
        <w:numPr>
          <w:ilvl w:val="1"/>
          <w:numId w:val="17"/>
        </w:numPr>
        <w:tabs>
          <w:tab w:val="left" w:pos="709" w:leader="none"/>
          <w:tab w:val="left" w:pos="851" w:leader="none"/>
          <w:tab w:val="left" w:pos="1418" w:leader="none"/>
        </w:tabs>
        <w:ind w:left="0" w:firstLine="709"/>
        <w:jc w:val="both"/>
        <w:rPr>
          <w:highlight w:val="lightGray"/>
        </w:rPr>
      </w:pPr>
      <w:r>
        <w:rPr>
          <w:highlight w:val="lightGray"/>
        </w:rPr>
        <w:t xml:space="preserve">В случае нарушения Исполнителем условий, предусмотренных пунктами 2.4.4,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2"/>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16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18"/>
        </w:numPr>
        <w:tabs>
          <w:tab w:val="clear" w:pos="709"/>
          <w:tab w:val="left" w:pos="1418" w:leader="none"/>
        </w:tabs>
        <w:ind w:left="0" w:firstLine="709"/>
        <w:jc w:val="both"/>
        <w:rPr/>
      </w:pPr>
      <w:r>
        <w:rPr/>
        <w:t>подтверждает Исполнителю согласие с Расчетом стоимости;</w:t>
      </w:r>
    </w:p>
    <w:p>
      <w:pPr>
        <w:pStyle w:val="ListParagraph"/>
        <w:numPr>
          <w:ilvl w:val="0"/>
          <w:numId w:val="18"/>
        </w:numPr>
        <w:tabs>
          <w:tab w:val="clear" w:pos="709"/>
          <w:tab w:val="left" w:pos="1418" w:leader="none"/>
        </w:tabs>
        <w:ind w:left="0" w:firstLine="709"/>
        <w:jc w:val="both"/>
        <w:rPr/>
      </w:pPr>
      <w: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16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19"/>
        </w:numPr>
        <w:shd w:val="clear" w:color="auto" w:fill="FFFFFF"/>
        <w:tabs>
          <w:tab w:val="clear" w:pos="709"/>
          <w:tab w:val="left" w:pos="1134" w:leader="none"/>
        </w:tabs>
        <w:ind w:left="0" w:firstLine="709"/>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11"/>
        <w:numPr>
          <w:ilvl w:val="1"/>
          <w:numId w:val="19"/>
        </w:numPr>
        <w:tabs>
          <w:tab w:val="clear" w:pos="709"/>
          <w:tab w:val="left" w:pos="0" w:leader="none"/>
          <w:tab w:val="left" w:pos="1134" w:leader="none"/>
        </w:tabs>
        <w:ind w:left="0" w:firstLine="709"/>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left="0" w:hanging="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 xml:space="preserve">4.1. Стоимость Услуг по Договору (Цена Договора) </w:t>
      </w:r>
      <w:r>
        <w:rPr>
          <w:highlight w:val="lightGray"/>
          <w:lang w:val="ru-RU"/>
        </w:rPr>
        <w:t>в соответствии с Расчетом стоимости Услуг (Приложение № 3 к Договору)</w:t>
      </w:r>
      <w:r>
        <w:rPr>
          <w:rStyle w:val="FootnoteReference"/>
          <w:highlight w:val="lightGray"/>
          <w:lang w:val="ru-RU"/>
        </w:rPr>
        <w:footnoteReference w:id="6"/>
      </w:r>
      <w:r>
        <w:rPr>
          <w:lang w:val="ru-RU"/>
        </w:rPr>
        <w:t xml:space="preserve"> </w:t>
      </w:r>
      <w:r>
        <w:rPr>
          <w:bCs/>
          <w:lang w:val="ru-RU"/>
        </w:rPr>
        <w:t>является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left="0" w:firstLine="709"/>
        <w:jc w:val="both"/>
        <w:rPr/>
      </w:pPr>
      <w: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left="0" w:firstLine="709"/>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r>
        <w:rPr>
          <w:highlight w:val="lightGray"/>
        </w:rPr>
        <w:t>20 (двадцати) календарных дней</w:t>
      </w:r>
      <w:r>
        <w:rPr>
          <w:rStyle w:val="FootnoteReference"/>
          <w:highlight w:val="lightGray"/>
        </w:rPr>
        <w:footnoteReference w:id="7"/>
      </w:r>
      <w:r>
        <w:rPr>
          <w:highlight w:val="lightGray"/>
        </w:rPr>
        <w:t xml:space="preserve"> / 45 (сорока пяти) календарных дней</w:t>
      </w:r>
      <w:r>
        <w:rPr>
          <w:rStyle w:val="FootnoteReference"/>
          <w:highlight w:val="lightGray"/>
        </w:rPr>
        <w:footnoteReference w:id="8"/>
      </w:r>
      <w:r>
        <w:rPr>
          <w:highlight w:val="lightGray"/>
        </w:rPr>
        <w:t xml:space="preserve"> / 7 (семи) рабочих дней</w:t>
      </w:r>
      <w:r>
        <w:rPr>
          <w:rStyle w:val="FootnoteReference"/>
          <w:highlight w:val="lightGray"/>
        </w:rPr>
        <w:footnoteReference w:id="9"/>
      </w:r>
      <w:r>
        <w:rP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20"/>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left="0" w:firstLine="709"/>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left="0" w:firstLine="709"/>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left="709" w:hanging="0"/>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left="0" w:hanging="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s>
        <w:ind w:left="0" w:hanging="0"/>
        <w:jc w:val="both"/>
        <w:rPr>
          <w:bCs/>
        </w:rPr>
      </w:pPr>
      <w:r>
        <w:rPr>
          <w:bCs/>
        </w:rPr>
      </w:r>
    </w:p>
    <w:p>
      <w:pPr>
        <w:pStyle w:val="ListParagraph"/>
        <w:numPr>
          <w:ilvl w:val="0"/>
          <w:numId w:val="14"/>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22"/>
        </w:numPr>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left="0" w:firstLine="709"/>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highlight w:val="lightGray"/>
          <w:shd w:fill="auto" w:val="clear"/>
        </w:rPr>
        <w:footnoteReference w:id="10"/>
      </w:r>
      <w:r>
        <w:rPr>
          <w:bCs/>
        </w:rPr>
        <w:t xml:space="preserve">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pPr>
        <w:pStyle w:val="ListParagraph"/>
        <w:numPr>
          <w:ilvl w:val="1"/>
          <w:numId w:val="22"/>
        </w:numPr>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left="0" w:firstLine="709"/>
        <w:jc w:val="both"/>
        <w:rPr>
          <w:b/>
          <w:bCs/>
        </w:rPr>
      </w:pPr>
      <w:r>
        <w:rPr>
          <w:b/>
          <w:bCs/>
        </w:rPr>
      </w:r>
    </w:p>
    <w:p>
      <w:pPr>
        <w:pStyle w:val="ListParagraph"/>
        <w:numPr>
          <w:ilvl w:val="0"/>
          <w:numId w:val="2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left="0" w:firstLine="709"/>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left="0" w:hanging="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left="0" w:firstLine="709"/>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709" w:hanging="0"/>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left="0" w:hanging="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left="0" w:firstLine="709"/>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w:t>
      </w:r>
      <w:bookmarkStart w:id="12" w:name="_GoBack"/>
      <w:bookmarkEnd w:id="12"/>
      <w:r>
        <w:rPr/>
        <w:t xml:space="preserve">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left="0" w:hanging="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highlight w:val="lightGray"/>
        </w:rPr>
      </w:pPr>
      <w:r>
        <w:rPr>
          <w:highlight w:val="lightGray"/>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s>
        <w:ind w:left="0" w:hanging="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2"/>
        </w:numPr>
        <w:snapToGrid w:val="false"/>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11"/>
      </w:r>
      <w:r>
        <w:rPr>
          <w:highlight w:val="lightGray"/>
          <w:lang w:val="ru-RU" w:eastAsia="en-US"/>
        </w:rPr>
        <w:t>.</w:t>
      </w:r>
    </w:p>
    <w:p>
      <w:pPr>
        <w:pStyle w:val="ListParagraph"/>
        <w:numPr>
          <w:ilvl w:val="1"/>
          <w:numId w:val="22"/>
        </w:numPr>
        <w:shd w:val="clear" w:color="auto" w:fill="FFFFFF"/>
        <w:tabs>
          <w:tab w:val="left" w:pos="426" w:leader="none"/>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rPr/>
        <w:t xml:space="preserve"> Договора. </w:t>
      </w:r>
    </w:p>
    <w:p>
      <w:pPr>
        <w:pStyle w:val="ListParagraph"/>
        <w:numPr>
          <w:ilvl w:val="1"/>
          <w:numId w:val="22"/>
        </w:numPr>
        <w:shd w:val="clear" w:color="auto" w:fill="FFFFFF"/>
        <w:tabs>
          <w:tab w:val="left" w:pos="426" w:leader="none"/>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left" w:pos="426" w:leader="none"/>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rPr/>
        <w:t xml:space="preserve"> Договора. </w:t>
      </w:r>
    </w:p>
    <w:p>
      <w:pPr>
        <w:pStyle w:val="ListParagraph"/>
        <w:numPr>
          <w:ilvl w:val="1"/>
          <w:numId w:val="22"/>
        </w:numPr>
        <w:shd w:val="clear" w:color="auto" w:fill="FFFFFF"/>
        <w:tabs>
          <w:tab w:val="left" w:pos="426" w:leader="none"/>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14.8.2.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14.8.1, 14.8.2</w:t>
      </w:r>
      <w:r>
        <w:rPr>
          <w:bCs/>
        </w:rPr>
        <w:t xml:space="preserve"> Договора. </w:t>
      </w:r>
    </w:p>
    <w:p>
      <w:pPr>
        <w:pStyle w:val="ListParagraph"/>
        <w:numPr>
          <w:ilvl w:val="1"/>
          <w:numId w:val="22"/>
        </w:numPr>
        <w:shd w:val="clear" w:color="auto" w:fill="FFFFFF"/>
        <w:tabs>
          <w:tab w:val="left" w:pos="709"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left="0" w:firstLine="709"/>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left="0" w:firstLine="709"/>
        <w:jc w:val="both"/>
        <w:rPr>
          <w:bCs/>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2"/>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Приложение № 3 –</w:t>
      </w:r>
      <w:r>
        <w:rPr>
          <w:highlight w:val="lightGray"/>
          <w:lang w:val="ru-RU" w:eastAsia="en-US"/>
        </w:rPr>
        <w:t xml:space="preserve"> Расчет стоимости Услуг</w:t>
      </w:r>
      <w:r>
        <w:rPr>
          <w:lang w:val="ru-RU" w:eastAsia="en-US"/>
        </w:rPr>
        <w:t>;</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p>
    <w:p>
      <w:pPr>
        <w:pStyle w:val="Normal"/>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108"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lang w:val="ru-RU"/>
              </w:rPr>
            </w:pPr>
            <w:r>
              <w:rPr>
                <w:lang w:val="ru-RU"/>
              </w:rPr>
              <w:t>АО «ТК РусГидро»</w:t>
            </w:r>
          </w:p>
          <w:p>
            <w:pPr>
              <w:pStyle w:val="Normal"/>
              <w:widowControl w:val="false"/>
              <w:rPr>
                <w:lang w:val="ru-RU"/>
              </w:rPr>
            </w:pPr>
            <w:r>
              <w:rPr>
                <w:lang w:val="ru-RU"/>
              </w:rPr>
              <w:t>Юридический адрес: 655619, Российская Федерация, Республика Хакасия, г.Саяногорск, рп. Черемушки, дом № 101</w:t>
            </w:r>
          </w:p>
          <w:p>
            <w:pPr>
              <w:pStyle w:val="Normal"/>
              <w:widowControl w:val="false"/>
              <w:rPr>
                <w:lang w:val="ru-RU"/>
              </w:rPr>
            </w:pPr>
            <w:r>
              <w:rPr>
                <w:lang w:val="ru-RU"/>
              </w:rPr>
              <w:t>Центральный филиал АО «ТК РусГидро»</w:t>
            </w:r>
          </w:p>
          <w:p>
            <w:pPr>
              <w:pStyle w:val="Normal"/>
              <w:widowControl w:val="false"/>
              <w:rPr>
                <w:lang w:val="ru-RU"/>
              </w:rPr>
            </w:pPr>
            <w:r>
              <w:rPr>
                <w:lang w:val="ru-RU"/>
              </w:rPr>
              <w:t>Место нахождения и почтовый адрес:</w:t>
            </w:r>
          </w:p>
          <w:p>
            <w:pPr>
              <w:pStyle w:val="Normal"/>
              <w:widowControl w:val="false"/>
              <w:rPr>
                <w:lang w:val="ru-RU"/>
              </w:rPr>
            </w:pPr>
            <w:r>
              <w:rPr>
                <w:lang w:val="ru-RU"/>
              </w:rPr>
              <w:t>141342, Московская область, Сергиево-Посадский городской округ, пгт. Богородское, стр. 101,</w:t>
            </w:r>
          </w:p>
          <w:p>
            <w:pPr>
              <w:pStyle w:val="Normal"/>
              <w:widowControl w:val="false"/>
              <w:rPr>
                <w:lang w:val="ru-RU"/>
              </w:rPr>
            </w:pPr>
            <w:r>
              <w:rPr>
                <w:lang w:val="ru-RU"/>
              </w:rPr>
              <w:t>Р\с 40702810940020015572</w:t>
            </w:r>
          </w:p>
          <w:p>
            <w:pPr>
              <w:pStyle w:val="Normal"/>
              <w:widowControl w:val="false"/>
              <w:rPr>
                <w:lang w:val="ru-RU"/>
              </w:rPr>
            </w:pPr>
            <w:r>
              <w:rPr>
                <w:lang w:val="ru-RU"/>
              </w:rPr>
              <w:t>в ПАО «Сбербанк России», г. Москва</w:t>
            </w:r>
          </w:p>
          <w:p>
            <w:pPr>
              <w:pStyle w:val="Normal"/>
              <w:widowControl w:val="false"/>
              <w:rPr>
                <w:lang w:val="ru-RU"/>
              </w:rPr>
            </w:pPr>
            <w:r>
              <w:rPr>
                <w:lang w:val="ru-RU"/>
              </w:rPr>
              <w:t>к/с 30101810400000000225</w:t>
            </w:r>
          </w:p>
          <w:p>
            <w:pPr>
              <w:pStyle w:val="Normal"/>
              <w:widowControl w:val="false"/>
              <w:rPr>
                <w:lang w:val="ru-RU"/>
              </w:rPr>
            </w:pPr>
            <w:r>
              <w:rPr>
                <w:lang w:val="ru-RU"/>
              </w:rPr>
              <w:t>БИК 044525225</w:t>
            </w:r>
          </w:p>
          <w:p>
            <w:pPr>
              <w:pStyle w:val="Normal"/>
              <w:widowControl w:val="false"/>
              <w:rPr>
                <w:lang w:val="ru-RU"/>
              </w:rPr>
            </w:pPr>
            <w:r>
              <w:rPr>
                <w:lang w:val="ru-RU"/>
              </w:rPr>
              <w:t>ИНН: 1902018248</w:t>
            </w:r>
          </w:p>
          <w:p>
            <w:pPr>
              <w:pStyle w:val="Normal"/>
              <w:widowControl w:val="false"/>
              <w:rPr>
                <w:lang w:val="ru-RU"/>
              </w:rPr>
            </w:pPr>
            <w:r>
              <w:rPr>
                <w:lang w:val="ru-RU"/>
              </w:rPr>
              <w:t>КПП: 504 243 001</w:t>
            </w:r>
          </w:p>
          <w:p>
            <w:pPr>
              <w:pStyle w:val="Normal"/>
              <w:widowControl w:val="false"/>
              <w:rPr>
                <w:lang w:val="ru-RU"/>
              </w:rPr>
            </w:pPr>
            <w:r>
              <w:rPr>
                <w:lang w:val="ru-RU"/>
              </w:rPr>
              <w:t>ОГРН:1031900676356</w:t>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left="0" w:firstLine="709"/>
        <w:rPr/>
      </w:pPr>
      <w:r>
        <w:rPr/>
        <w:t>Виды услуг:</w:t>
      </w:r>
    </w:p>
    <w:p>
      <w:pPr>
        <w:pStyle w:val="ListParagraph"/>
        <w:numPr>
          <w:ilvl w:val="0"/>
          <w:numId w:val="15"/>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5"/>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5"/>
        </w:numPr>
        <w:tabs>
          <w:tab w:val="clear" w:pos="709"/>
          <w:tab w:val="left" w:pos="1134" w:leader="none"/>
        </w:tabs>
        <w:ind w:left="0" w:firstLine="709"/>
        <w:rPr>
          <w:highlight w:val="lightGray"/>
        </w:rPr>
      </w:pPr>
      <w:r>
        <w:rPr>
          <w:highlight w:val="lightGray"/>
        </w:rPr>
        <w:t>Качество:</w:t>
      </w:r>
    </w:p>
    <w:p>
      <w:pPr>
        <w:pStyle w:val="ListParagraph"/>
        <w:numPr>
          <w:ilvl w:val="0"/>
          <w:numId w:val="15"/>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5"/>
        </w:numPr>
        <w:tabs>
          <w:tab w:val="clear" w:pos="709"/>
          <w:tab w:val="left" w:pos="1134" w:leader="none"/>
        </w:tabs>
        <w:ind w:left="0" w:firstLine="709"/>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167" w:type="dxa"/>
        <w:tblLayout w:type="fixed"/>
        <w:tblCellMar>
          <w:top w:w="0" w:type="dxa"/>
          <w:left w:w="108" w:type="dxa"/>
          <w:bottom w:w="0" w:type="dxa"/>
          <w:right w:w="108" w:type="dxa"/>
        </w:tblCellMar>
        <w:tblLook w:noVBand="0" w:val="01e0" w:noHBand="0" w:lastColumn="1" w:firstColumn="1" w:lastRow="1" w:firstRow="1"/>
      </w:tblPr>
      <w:tblGrid>
        <w:gridCol w:w="1111"/>
        <w:gridCol w:w="776"/>
        <w:gridCol w:w="670"/>
        <w:gridCol w:w="1211"/>
        <w:gridCol w:w="2297"/>
        <w:gridCol w:w="1354"/>
        <w:gridCol w:w="2170"/>
        <w:gridCol w:w="651"/>
      </w:tblGrid>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3"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before="0" w:after="0"/>
        <w:ind w:left="57" w:right="0" w:hanging="0"/>
        <w:jc w:val="both"/>
        <w:rPr>
          <w:sz w:val="20"/>
          <w:szCs w:val="20"/>
        </w:rPr>
      </w:pPr>
      <w:r>
        <w:rPr>
          <w:b w:val="false"/>
          <w:bCs w:val="false"/>
          <w:i/>
          <w:iCs/>
          <w:sz w:val="20"/>
          <w:szCs w:val="20"/>
          <w:u w:val="none"/>
          <w:shd w:fill="auto" w:val="clear"/>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b w:val="false"/>
          <w:bCs w:val="false"/>
          <w:sz w:val="20"/>
          <w:szCs w:val="20"/>
          <w:u w:val="none"/>
          <w:lang w:val="ru-RU"/>
        </w:rPr>
        <w:t xml:space="preserve"> </w:t>
      </w:r>
    </w:p>
    <w:p>
      <w:pPr>
        <w:pStyle w:val="Normal"/>
        <w:rPr>
          <w:sz w:val="20"/>
          <w:szCs w:val="20"/>
          <w:lang w:val="ru-RU"/>
        </w:rPr>
      </w:pPr>
      <w:r>
        <w:rPr>
          <w:sz w:val="20"/>
          <w:szCs w:val="20"/>
          <w:lang w:val="ru-RU"/>
        </w:rPr>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r>
        <w:rPr>
          <w:rStyle w:val="FootnoteReference"/>
          <w:b/>
          <w:bCs/>
          <w:iCs/>
          <w:szCs w:val="24"/>
        </w:rPr>
        <w:footnoteReference w:id="13"/>
      </w:r>
    </w:p>
    <w:p>
      <w:pPr>
        <w:pStyle w:val="Title"/>
        <w:rPr>
          <w:iCs/>
        </w:rPr>
      </w:pPr>
      <w:r>
        <w:rPr>
          <w:iCs/>
        </w:rPr>
      </w:r>
    </w:p>
    <w:tbl>
      <w:tblPr>
        <w:tblW w:w="9627" w:type="dxa"/>
        <w:jc w:val="left"/>
        <w:tblInd w:w="113"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spacing w:lineRule="auto" w:line="240"/>
              <w:ind w:left="0" w:right="0" w:hanging="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val="false"/>
                <w:bCs w:val="false"/>
                <w:lang w:val="ru-RU"/>
              </w:rPr>
            </w:pPr>
            <w:r>
              <w:rPr>
                <w:b w:val="false"/>
                <w:bCs w:val="false"/>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 xml:space="preserve">_______________ / _______________ </w:t>
            </w:r>
          </w:p>
        </w:tc>
      </w:tr>
    </w:tbl>
    <w:p>
      <w:pPr>
        <w:pStyle w:val="Normal"/>
        <w:ind w:left="4820" w:hanging="0"/>
        <w:rPr>
          <w:lang w:val="ru-RU"/>
        </w:rPr>
      </w:pPr>
      <w:r>
        <w:rPr>
          <w:lang w:val="ru-RU"/>
        </w:rPr>
        <w:t xml:space="preserve"> </w:t>
      </w:r>
    </w:p>
    <w:tbl>
      <w:tblPr>
        <w:tblW w:w="13751"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4961"/>
        <w:gridCol w:w="8789"/>
      </w:tblGrid>
      <w:tr>
        <w:trPr/>
        <w:tc>
          <w:tcPr>
            <w:tcW w:w="4961" w:type="dxa"/>
            <w:tcBorders/>
          </w:tcPr>
          <w:p>
            <w:pPr>
              <w:pStyle w:val="Normal"/>
              <w:widowControl w:val="false"/>
              <w:rPr>
                <w:b/>
              </w:rPr>
            </w:pPr>
            <w:r>
              <w:rPr>
                <w:b/>
              </w:rPr>
            </w:r>
          </w:p>
        </w:tc>
        <w:tc>
          <w:tcPr>
            <w:tcW w:w="8789" w:type="dxa"/>
            <w:tcBorders/>
          </w:tcPr>
          <w:p>
            <w:pPr>
              <w:pStyle w:val="Normal"/>
              <w:widowControl w:val="false"/>
              <w:rPr>
                <w:b/>
              </w:rPr>
            </w:pPr>
            <w:r>
              <w:rPr>
                <w:b/>
              </w:rPr>
            </w:r>
          </w:p>
        </w:tc>
      </w:tr>
      <w:tr>
        <w:trPr/>
        <w:tc>
          <w:tcPr>
            <w:tcW w:w="4961" w:type="dxa"/>
            <w:tcBorders/>
          </w:tcPr>
          <w:p>
            <w:pPr>
              <w:pStyle w:val="Normal"/>
              <w:widowControl w:val="false"/>
              <w:rPr>
                <w:sz w:val="22"/>
                <w:szCs w:val="22"/>
              </w:rPr>
            </w:pPr>
            <w:r>
              <w:rPr>
                <w:sz w:val="22"/>
                <w:szCs w:val="22"/>
              </w:rPr>
            </w:r>
          </w:p>
        </w:tc>
        <w:tc>
          <w:tcPr>
            <w:tcW w:w="8789" w:type="dxa"/>
            <w:tcBorders/>
          </w:tcPr>
          <w:p>
            <w:pPr>
              <w:pStyle w:val="Normal"/>
              <w:widowControl w:val="false"/>
              <w:rPr>
                <w:sz w:val="22"/>
                <w:szCs w:val="22"/>
              </w:rPr>
            </w:pPr>
            <w:r>
              <w:rPr>
                <w:sz w:val="22"/>
                <w:szCs w:val="22"/>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ind w:firstLine="709"/>
        <w:jc w:val="right"/>
        <w:rPr>
          <w:sz w:val="22"/>
          <w:szCs w:val="22"/>
          <w:lang w:val="ru-RU"/>
        </w:rPr>
      </w:pPr>
      <w:r>
        <w:rPr>
          <w:sz w:val="22"/>
          <w:szCs w:val="22"/>
          <w:lang w:val="ru-RU"/>
        </w:rPr>
        <w:t>Приложение № 5</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lang w:val="ru-RU"/>
        </w:rPr>
      </w:pPr>
      <w:r>
        <w:rPr>
          <w:sz w:val="22"/>
          <w:szCs w:val="22"/>
          <w:lang w:val="ru-RU"/>
        </w:rPr>
        <w:t xml:space="preserve">                                                                                                               </w:t>
      </w:r>
      <w:r>
        <w:rPr>
          <w:sz w:val="22"/>
          <w:szCs w:val="22"/>
          <w:lang w:val="ru-RU"/>
        </w:rPr>
        <w:t>от «____» ________ 20 _ г. №_______</w:t>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noVBand="1" w:val="04a0" w:noHBand="0" w:lastColumn="0" w:firstColumn="1" w:lastRow="0" w:firstRow="1"/>
      </w:tblPr>
      <w:tblGrid>
        <w:gridCol w:w="279"/>
        <w:gridCol w:w="825"/>
        <w:gridCol w:w="1219"/>
        <w:gridCol w:w="1456"/>
        <w:gridCol w:w="2473"/>
        <w:gridCol w:w="3056"/>
        <w:gridCol w:w="2913"/>
        <w:gridCol w:w="1019"/>
        <w:gridCol w:w="2178"/>
      </w:tblGrid>
      <w:tr>
        <w:trPr>
          <w:trHeight w:val="1327"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4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14" w:type="dxa"/>
        <w:tblLayout w:type="fixed"/>
        <w:tblCellMar>
          <w:top w:w="0" w:type="dxa"/>
          <w:left w:w="28" w:type="dxa"/>
          <w:bottom w:w="0" w:type="dxa"/>
          <w:right w:w="28" w:type="dxa"/>
        </w:tblCellMar>
        <w:tblLook w:noVBand="1" w:val="04a0" w:noHBand="0" w:lastColumn="0" w:firstColumn="1" w:lastRow="0" w:firstRow="1"/>
      </w:tblPr>
      <w:tblGrid>
        <w:gridCol w:w="1474"/>
        <w:gridCol w:w="1762"/>
        <w:gridCol w:w="1175"/>
        <w:gridCol w:w="1173"/>
        <w:gridCol w:w="1322"/>
        <w:gridCol w:w="2205"/>
        <w:gridCol w:w="1909"/>
        <w:gridCol w:w="1329"/>
        <w:gridCol w:w="3069"/>
      </w:tblGrid>
      <w:tr>
        <w:trPr>
          <w:trHeight w:val="1289" w:hRule="atLeast"/>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4"/>
              <w:t></w:t>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3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14" w:type="dxa"/>
        <w:tblLayout w:type="fixed"/>
        <w:tblCellMar>
          <w:top w:w="0" w:type="dxa"/>
          <w:left w:w="28" w:type="dxa"/>
          <w:bottom w:w="0" w:type="dxa"/>
          <w:right w:w="28" w:type="dxa"/>
        </w:tblCellMar>
        <w:tblLook w:noVBand="1" w:val="04a0" w:noHBand="0" w:lastColumn="0" w:firstColumn="1" w:lastRow="0" w:firstRow="1"/>
      </w:tblPr>
      <w:tblGrid>
        <w:gridCol w:w="1537"/>
        <w:gridCol w:w="1849"/>
        <w:gridCol w:w="1232"/>
        <w:gridCol w:w="1229"/>
        <w:gridCol w:w="1386"/>
        <w:gridCol w:w="1231"/>
        <w:gridCol w:w="2003"/>
        <w:gridCol w:w="1077"/>
        <w:gridCol w:w="1231"/>
        <w:gridCol w:w="922"/>
        <w:gridCol w:w="769"/>
        <w:gridCol w:w="953"/>
      </w:tblGrid>
      <w:tr>
        <w:trPr>
          <w:trHeight w:val="566"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pStyle w:val="Normal"/>
        <w:jc w:val="center"/>
        <w:rPr>
          <w:i/>
          <w:i/>
          <w:color w:val="FF0000"/>
          <w:lang w:val="ru-RU"/>
        </w:rPr>
      </w:pPr>
      <w:r>
        <w:rPr>
          <w:i/>
          <w:color w:val="FF0000"/>
          <w:lang w:val="ru-RU"/>
        </w:rPr>
      </w:r>
    </w:p>
    <w:p>
      <w:pPr>
        <w:pStyle w:val="Normal"/>
        <w:rPr>
          <w:i/>
          <w:i/>
          <w:color w:val="FF0000"/>
          <w:lang w:val="ru-RU"/>
        </w:rPr>
      </w:pPr>
      <w:r>
        <w:rPr/>
      </w:r>
    </w:p>
    <w:sectPr>
      <w:headerReference w:type="default" r:id="rId8"/>
      <w:headerReference w:type="first" r:id="rId9"/>
      <w:footerReference w:type="default" r:id="rId10"/>
      <w:footerReference w:type="first" r:id="rId11"/>
      <w:footnotePr>
        <w:numFmt w:val="decimal"/>
      </w:footnotePr>
      <w:type w:val="nextPage"/>
      <w:pgSz w:orient="landscape" w:w="16838" w:h="11906"/>
      <w:pgMar w:left="567" w:right="851" w:gutter="0" w:header="567" w:top="992" w:footer="709"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19</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highlight w:val="lightGray"/>
          <w:lang w:val="ru-RU"/>
        </w:rPr>
        <w:t xml:space="preserve"> </w:t>
      </w:r>
      <w:r>
        <w:rPr>
          <w:highlight w:val="lightGray"/>
          <w:lang w:val="ru-RU"/>
        </w:rPr>
        <w:t>Пункт 2.4.4 включается в Договор в случае, если цена Договора превышает 100 000 000 (сто миллионов) рублей без учета НДС (включительно)</w:t>
      </w:r>
      <w:r>
        <w:rPr>
          <w:lang w:val="ru-RU"/>
        </w:rPr>
        <w:t>.</w:t>
      </w:r>
    </w:p>
  </w:footnote>
  <w:footnote w:id="4">
    <w:p>
      <w:pPr>
        <w:pStyle w:val="FootnoteText"/>
        <w:jc w:val="both"/>
        <w:rPr>
          <w:lang w:val="ru-RU"/>
        </w:rPr>
      </w:pPr>
      <w:r>
        <w:rPr>
          <w:rStyle w:val="Style6"/>
        </w:rPr>
        <w:footnoteRef/>
      </w:r>
      <w:r>
        <w:rPr>
          <w:highlight w:val="lightGray"/>
          <w:lang w:val="ru-RU"/>
        </w:rPr>
        <w:t xml:space="preserve"> </w:t>
      </w:r>
      <w:r>
        <w:rPr>
          <w:highlight w:val="lightGray"/>
          <w:lang w:val="ru-RU"/>
        </w:rPr>
        <w:t>Пункты включаются в Договоры в случае, если параметрами закупки, утвержденной в составе ГКПЗ Заказчика, установлена обязанность Исполнителя при оказании Услуг привлекать Субисполнителей, относящихся к субъектам МСП.</w:t>
      </w:r>
    </w:p>
  </w:footnote>
  <w:footnote w:id="5">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6">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7">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8">
    <w:p>
      <w:pPr>
        <w:pStyle w:val="FootnoteText"/>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9">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p>
      <w:pPr>
        <w:pStyle w:val="FootnoteText"/>
        <w:rPr>
          <w:lang w:val="ru-RU"/>
        </w:rPr>
      </w:pPr>
      <w:r>
        <w:rPr/>
      </w:r>
    </w:p>
  </w:footnote>
  <w:footnote w:id="12">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3">
    <w:p>
      <w:pPr>
        <w:pStyle w:val="FootnoteText"/>
        <w:rPr/>
      </w:pPr>
      <w:r>
        <w:rPr>
          <w:rStyle w:val="Style6"/>
        </w:rPr>
        <w:footnoteRef/>
      </w:r>
      <w:r>
        <w:rPr/>
        <w:t xml:space="preserve"> </w:t>
      </w:r>
      <w:r>
        <w:rPr/>
        <w:t>Применяется, если не используется УПД.</w:t>
      </w:r>
    </w:p>
  </w:footnote>
  <w:footnote w:id="14">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10"/>
  <w:trackRevisions/>
  <w:embedSystemFonts/>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character" w:styleId="Linenumber1">
    <w:name w:val="line number1"/>
    <w:qFormat/>
    <w:rPr/>
  </w:style>
  <w:style w:type="character" w:styleId="Linenumber11">
    <w:name w:val="line number11"/>
    <w:qForma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Caption111">
    <w:name w:val="caption111"/>
    <w:basedOn w:val="Normal"/>
    <w:next w:val="Normal"/>
    <w:qFormat/>
    <w:pPr>
      <w:widowControl w:val="false"/>
      <w:spacing w:before="120" w:after="120"/>
      <w:jc w:val="both"/>
      <w:textAlignment w:val="baseline"/>
    </w:pPr>
    <w:rPr>
      <w:b/>
      <w:bCs/>
      <w:lang w:val="ru-RU"/>
    </w:rPr>
  </w:style>
  <w:style w:type="paragraph" w:styleId="13">
    <w:name w:val="Заголовок1"/>
    <w:basedOn w:val="Normal"/>
    <w:qFormat/>
    <w:pPr>
      <w:widowControl w:val="false"/>
      <w:spacing w:before="0" w:after="120"/>
      <w:jc w:val="center"/>
      <w:textAlignment w:val="baseline"/>
    </w:pPr>
    <w:rPr>
      <w:b/>
      <w:bCs/>
      <w:sz w:val="32"/>
      <w:szCs w:val="20"/>
      <w:lang w:val="ru-RU"/>
    </w:rPr>
  </w:style>
  <w:style w:type="paragraph" w:styleId="Caption11">
    <w:name w:val="caption11"/>
    <w:basedOn w:val="Normal"/>
    <w:qFormat/>
    <w:pPr>
      <w:spacing w:before="120" w:after="120"/>
    </w:pPr>
    <w:rPr>
      <w:i/>
      <w:iCs/>
    </w:rPr>
  </w:style>
  <w:style w:type="paragraph" w:styleId="Indexheading">
    <w:name w:val="index heading"/>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Relationship Id="rId22" Type="http://schemas.openxmlformats.org/officeDocument/2006/relationships/customXml" Target="../customXml/item6.xml"/><Relationship Id="rId2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customXml/itemProps2.xml><?xml version="1.0" encoding="utf-8"?>
<ds:datastoreItem xmlns:ds="http://schemas.openxmlformats.org/officeDocument/2006/customXml" ds:itemID="{B3A07530-EC96-481A-9B71-55037AFBAC4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77B6389B-6094-4E3B-8A16-BDA8DD08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Application>AlterOffice/3.4.0.9$Linux_X86_64 LibreOffice_project/b8daf9e823b1a5463a2f48435ddc2e8696e7d4fc</Application>
  <AppVersion>15.0000</AppVersion>
  <Pages>25</Pages>
  <Words>8337</Words>
  <Characters>58899</Characters>
  <CharactersWithSpaces>67166</CharactersWithSpaces>
  <Paragraphs>469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UK VoHEC</dc:creator>
  <dc:description/>
  <dc:language>ru-RU</dc:language>
  <cp:lastModifiedBy>tolpyginanv@corp.gidroogk.com</cp:lastModifiedBy>
  <cp:lastPrinted>2016-12-15T13:00:00Z</cp:lastPrinted>
  <dcterms:modified xsi:type="dcterms:W3CDTF">2026-09-18T15:51:34Z</dcterms:modified>
  <cp:revision>16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