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hanging="0" w:left="6095" w:right="0"/>
        <w:contextualSpacing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«УТВЕРЖДАЮ»</w:t>
      </w:r>
    </w:p>
    <w:p>
      <w:pPr>
        <w:pStyle w:val="Normal"/>
        <w:spacing w:lineRule="auto" w:line="276" w:before="0" w:after="200"/>
        <w:ind w:hanging="0" w:left="6095" w:right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Директору Центрального</w:t>
      </w:r>
    </w:p>
    <w:p>
      <w:pPr>
        <w:pStyle w:val="Normal"/>
        <w:spacing w:lineRule="auto" w:line="276" w:before="0" w:after="200"/>
        <w:ind w:hanging="0" w:left="6095" w:right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Филиала АО «ТК РусГидро»</w:t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/>
        <w:t xml:space="preserve">____________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М.В. Нешев</w:t>
      </w:r>
      <w:r>
        <w:rPr/>
        <w:br/>
        <w:t>«____»________________20____г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center"/>
        <w:rPr>
          <w:u w:val="none"/>
        </w:rPr>
      </w:pPr>
      <w:r>
        <w:rPr>
          <w:rFonts w:eastAsia="Calibri" w:cs="Times New Roman"/>
          <w:b/>
          <w:color w:val="auto"/>
          <w:kern w:val="0"/>
          <w:sz w:val="28"/>
          <w:szCs w:val="28"/>
          <w:u w:val="none"/>
          <w:lang w:val="ru-RU" w:eastAsia="ru-RU" w:bidi="ar-SA"/>
        </w:rPr>
        <w:t>«ОКПД2 45.20.1.  Оказание услуг по  текущему ремонту легковых и легких коммерческих автомобилей, включая автобусы малого класса для нужд Загорского строительного участка Центрального филиала АО "ТК РусГидро"»</w:t>
      </w:r>
    </w:p>
    <w:p>
      <w:pPr>
        <w:pStyle w:val="Normal"/>
        <w:ind w:firstLine="851" w:left="0" w:right="0"/>
        <w:jc w:val="center"/>
        <w:rPr>
          <w:b/>
        </w:rPr>
      </w:pPr>
      <w:r>
        <w:rPr>
          <w:b/>
        </w:rPr>
      </w:r>
    </w:p>
    <w:p>
      <w:pPr>
        <w:pStyle w:val="Normal"/>
        <w:ind w:firstLine="851" w:left="0" w:right="0"/>
        <w:jc w:val="center"/>
        <w:rPr>
          <w:b/>
        </w:rPr>
      </w:pPr>
      <w:r>
        <w:rPr>
          <w:b/>
        </w:rPr>
      </w:r>
    </w:p>
    <w:p>
      <w:pPr>
        <w:pStyle w:val="Normal"/>
        <w:ind w:firstLine="851" w:left="0" w:right="0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rStyle w:val="Style8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bCs/>
          <w:u w:val="single"/>
        </w:rPr>
      </w:pPr>
      <w:r>
        <w:rPr>
          <w:b/>
          <w:bCs/>
          <w:u w:val="none"/>
        </w:rPr>
        <w:t>ЛОТ:</w:t>
      </w:r>
      <w:r>
        <w:rPr>
          <w:b/>
          <w:bCs/>
          <w:u w:val="single"/>
        </w:rPr>
        <w:t xml:space="preserve"> _______________________________________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23"/>
            </w:rPr>
            <w:instrText xml:space="preserve"> TOC \o "1-4" \h</w:instrText>
          </w:r>
          <w:r>
            <w:rPr>
              <w:rStyle w:val="Style23"/>
            </w:rPr>
            <w:fldChar w:fldCharType="separate"/>
          </w:r>
          <w:hyperlink w:anchor="__RefHeading___Toc3418_2131320929">
            <w:r>
              <w:rPr>
                <w:rStyle w:val="Style23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422_2131320929">
            <w:r>
              <w:rPr>
                <w:rStyle w:val="Style23"/>
              </w:rPr>
              <w:t>1.1. Наименование закупаемых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424_2131320929">
            <w:r>
              <w:rPr>
                <w:rStyle w:val="Style23"/>
              </w:rPr>
              <w:t>1.2. Цель оказания услуг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3426_2131320929">
            <w:r>
              <w:rPr>
                <w:rStyle w:val="Style23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3428_2131320929">
            <w:r>
              <w:rPr>
                <w:rStyle w:val="Style23"/>
              </w:rPr>
              <w:t xml:space="preserve">2. </w:t>
            </w:r>
            <w:r>
              <w:rPr>
                <w:rStyle w:val="Style23"/>
                <w:iCs/>
              </w:rPr>
              <w:t>Требования</w:t>
            </w:r>
            <w:r>
              <w:rPr>
                <w:rStyle w:val="Style23"/>
                <w:iCs/>
              </w:rPr>
              <w:t xml:space="preserve"> к оказываемым услугам</w:t>
            </w:r>
            <w:r>
              <w:rPr>
                <w:rStyle w:val="Style23"/>
              </w:rPr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430_2131320929">
            <w:r>
              <w:rPr>
                <w:rStyle w:val="Style23"/>
              </w:rPr>
              <w:t>2.1. Требования к объемам и срокам оказания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432_2131320929">
            <w:r>
              <w:rPr>
                <w:rStyle w:val="Style23"/>
              </w:rPr>
              <w:t>2.1.1. Требования к перечню и объему услуг: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3434_2131320929">
            <w:r>
              <w:rPr>
                <w:rStyle w:val="Style23"/>
              </w:rPr>
              <w:t>Таблица 2. Перечень и объем оказываемых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436_2131320929">
            <w:r>
              <w:rPr>
                <w:rStyle w:val="Style23"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3438_2131320929">
            <w:r>
              <w:rPr>
                <w:rStyle w:val="Style23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440_2131320929">
            <w:r>
              <w:rPr>
                <w:rStyle w:val="Style23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3442_2131320929">
            <w:r>
              <w:rPr>
                <w:rStyle w:val="Style23"/>
              </w:rPr>
              <w:t>Таблица 4.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3444_2131320929">
            <w:r>
              <w:rPr>
                <w:rStyle w:val="Style23"/>
              </w:rPr>
              <w:t>3. Требования к документации по ценообразованию на этапе закупки</w:t>
              <w:tab/>
              <w:t>9</w:t>
            </w:r>
          </w:hyperlink>
          <w:r>
            <w:rPr>
              <w:rStyle w:val="Style23"/>
            </w:rPr>
            <w:fldChar w:fldCharType="end"/>
          </w:r>
        </w:p>
      </w:sdtContent>
    </w:sdt>
    <w:p>
      <w:pPr>
        <w:pStyle w:val="TOC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TOC1"/>
        <w:jc w:val="both"/>
        <w:rPr>
          <w:iCs/>
          <w:lang w:val="en-US"/>
        </w:rPr>
      </w:pPr>
      <w:r>
        <w:rPr>
          <w:iCs/>
          <w:lang w:val="en-US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 w:right="0"/>
        <w:jc w:val="both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caps/>
          <w:sz w:val="24"/>
          <w:szCs w:val="24"/>
          <w:lang w:val="ru-RU"/>
        </w:rPr>
      </w:pPr>
      <w:bookmarkStart w:id="1" w:name="__RefHeading___Toc3418_2131320929"/>
      <w:bookmarkStart w:id="2" w:name="_Toc157094377"/>
      <w:bookmarkEnd w:id="1"/>
      <w:r>
        <w:rPr>
          <w:sz w:val="24"/>
          <w:szCs w:val="24"/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3" w:name="__RefHeading___Toc3422_2131320929"/>
      <w:bookmarkEnd w:id="3"/>
      <w:r>
        <w:rPr/>
        <w:t>На</w:t>
      </w:r>
      <w:bookmarkStart w:id="4" w:name="_Toc157094379"/>
      <w:bookmarkStart w:id="5" w:name="_Toc46743506"/>
      <w:r>
        <w:rPr/>
        <w:t>именование закупаем</w:t>
      </w:r>
      <w:bookmarkEnd w:id="5"/>
      <w:r>
        <w:rPr>
          <w:lang w:val="ru-RU"/>
        </w:rPr>
        <w:t>ых услуг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«ОКПД2 45.20.1.  Оказание услуг по  текущему ремонту легковых и легких коммерческих автомобилей, включая автобусы малого класса для нужд Загорского строительного участка Центрального филиала АО "ТК РусГидро"»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 w:right="0"/>
        <w:rPr/>
      </w:pPr>
      <w:bookmarkStart w:id="6" w:name="__RefHeading___Toc3424_2131320929"/>
      <w:bookmarkStart w:id="7" w:name="_Toc157094380"/>
      <w:bookmarkStart w:id="8" w:name="_Toc46743507"/>
      <w:bookmarkEnd w:id="6"/>
      <w:r>
        <w:rPr/>
        <w:t xml:space="preserve">Цель </w:t>
      </w:r>
      <w:bookmarkEnd w:id="8"/>
      <w:r>
        <w:rPr>
          <w:lang w:val="ru-RU"/>
        </w:rPr>
        <w:t>оказания услуг</w:t>
      </w:r>
      <w:bookmarkEnd w:id="7"/>
      <w:r>
        <w:rPr/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Содержание </w:t>
      </w:r>
      <w:r>
        <w:rPr>
          <w:rFonts w:eastAsia="Calibri"/>
          <w:sz w:val="24"/>
          <w:szCs w:val="24"/>
          <w:lang w:eastAsia="x-none"/>
        </w:rPr>
        <w:t>автомобилей</w:t>
      </w:r>
      <w:r>
        <w:rPr>
          <w:rFonts w:eastAsia="Calibri"/>
          <w:sz w:val="24"/>
          <w:szCs w:val="24"/>
          <w:lang w:eastAsia="x-none"/>
        </w:rPr>
        <w:t xml:space="preserve"> Загорского строительного участка </w:t>
      </w:r>
      <w:r>
        <w:rPr>
          <w:sz w:val="24"/>
          <w:szCs w:val="24"/>
        </w:rPr>
        <w:t xml:space="preserve">в технически исправном состоянии, проведение своевременного и качественного текущего ремонта. </w:t>
      </w:r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9" w:name="__RefHeading___Toc3426_2131320929"/>
      <w:bookmarkStart w:id="10" w:name="_Toc157094381"/>
      <w:bookmarkEnd w:id="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0"/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2678"/>
        <w:gridCol w:w="2494"/>
        <w:gridCol w:w="2644"/>
        <w:gridCol w:w="1548"/>
      </w:tblGrid>
      <w:tr>
        <w:trPr>
          <w:trHeight w:val="801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172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97" w:hRule="atLeast"/>
        </w:trPr>
        <w:tc>
          <w:tcPr>
            <w:tcW w:w="8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26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Центрального филиала АО «ТК РусГидро»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Загорский строительный участок</w:t>
            </w:r>
          </w:p>
        </w:tc>
        <w:tc>
          <w:tcPr>
            <w:tcW w:w="24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141342, Московская область, Сергиево-Посадский г.о.,</w:t>
              <w:br/>
              <w:t>пгт. Богородское</w:t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 32212 г.н. К 164 МУ 750 </w:t>
            </w:r>
            <w:r>
              <w:rPr>
                <w:sz w:val="24"/>
                <w:szCs w:val="24"/>
              </w:rPr>
              <w:t>VIN Х96322120G0801850</w:t>
            </w:r>
          </w:p>
        </w:tc>
        <w:tc>
          <w:tcPr>
            <w:tcW w:w="15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 шт.</w:t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 xml:space="preserve">ГАЗ 32213 г.н. В 351 РО 159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>VIN Х9632213ОСО739875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ГАЗ А22R33 г.н. Н 301 НК 750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X96А22R33G2666689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 xml:space="preserve">ГАЗ 2705-298 г.н. А 080 ВО 190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 w:bidi="ar-SA"/>
              </w:rPr>
              <w:t>VIN Х96270500А0674371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ГАЗ СОБОЛЬ 27527 г.н. М 083 ВХ 05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Х96275200А0679748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ГАЗ 2217 г.н. В 908 ХК 28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VIN В 908 ХК 28 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ШЕВРОЛЕ НИВА 21230 г.н.Р 199 АН 977 </w:t>
            </w:r>
            <w:r>
              <w:rPr>
                <w:sz w:val="24"/>
                <w:szCs w:val="24"/>
              </w:rPr>
              <w:t>VIN X9L21230060150115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УАЗ 390995 г.н. К 923 ВР 27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ХТТ390995R1209515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MITSUBISHI PAJERO г.н. Н 240 ТМ 76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JMBLYV93WBJ001007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MITSUBISHI PAJERO SPORT г.н. У 064 НВ 150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JMBONK9407J003046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TOYOTA CAMRY г.н. М 806 СЕ 197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XW7BF4FK40S005657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TOYOTA CAMRY г.н. Т 670 УЕ 199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XW7BЕ40K10S012187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TOYOTA COROLLA г.н. Х 010 ТА 750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Х 010 ТА 750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TOYOTA COROLLA г.н. В 406 ХУ 64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JTNBV58E10J126185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" w:hRule="atLeast"/>
        </w:trPr>
        <w:tc>
          <w:tcPr>
            <w:tcW w:w="83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TOYOTA LAND CRUISER 200 г.н. Р 009 ЕЕ 190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VIN JTMCX05J604056317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Heading1"/>
        <w:numPr>
          <w:ilvl w:val="0"/>
          <w:numId w:val="3"/>
        </w:numPr>
        <w:ind w:hanging="0" w:left="0" w:right="0"/>
        <w:rPr>
          <w:iCs/>
          <w:sz w:val="24"/>
          <w:szCs w:val="24"/>
        </w:rPr>
      </w:pPr>
      <w:bookmarkStart w:id="11" w:name="__RefHeading___Toc3428_2131320929"/>
      <w:bookmarkStart w:id="12" w:name="_Toc157094382"/>
      <w:bookmarkEnd w:id="11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оказываемым услугам</w:t>
      </w:r>
      <w:bookmarkEnd w:id="12"/>
    </w:p>
    <w:p>
      <w:pPr>
        <w:pStyle w:val="Heading4"/>
        <w:numPr>
          <w:ilvl w:val="1"/>
          <w:numId w:val="3"/>
        </w:numPr>
        <w:ind w:hanging="0" w:left="0" w:right="0"/>
        <w:rPr>
          <w:b w:val="false"/>
        </w:rPr>
      </w:pPr>
      <w:bookmarkStart w:id="13" w:name="__RefHeading___Toc3430_2131320929"/>
      <w:bookmarkStart w:id="14" w:name="_Toc157094383"/>
      <w:bookmarkEnd w:id="13"/>
      <w:r>
        <w:rPr>
          <w:b w:val="false"/>
        </w:rPr>
        <w:t xml:space="preserve">Требования к объемам и срокам </w:t>
      </w:r>
      <w:r>
        <w:rPr>
          <w:b w:val="false"/>
          <w:lang w:val="ru-RU"/>
        </w:rPr>
        <w:t>оказания услуг</w:t>
      </w:r>
      <w:bookmarkEnd w:id="14"/>
    </w:p>
    <w:p>
      <w:pPr>
        <w:pStyle w:val="Heading3"/>
        <w:numPr>
          <w:ilvl w:val="2"/>
          <w:numId w:val="3"/>
        </w:numPr>
        <w:ind w:hanging="0" w:left="0" w:right="0"/>
        <w:rPr>
          <w:b w:val="false"/>
          <w:lang w:val="ru-RU"/>
        </w:rPr>
      </w:pPr>
      <w:bookmarkStart w:id="15" w:name="__RefHeading___Toc3432_2131320929"/>
      <w:bookmarkStart w:id="16" w:name="_Toc157094384"/>
      <w:bookmarkEnd w:id="15"/>
      <w:r>
        <w:rPr>
          <w:b w:val="false"/>
          <w:lang w:val="ru-RU"/>
        </w:rPr>
        <w:t>Требования к перечню и объему услуг:</w:t>
      </w:r>
      <w:bookmarkEnd w:id="16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Фактический объем услуг по Договору определяется Заказчиком, исходя из его потребностей в соответствии с действующим прейскурантом исполнителя.</w:t>
      </w:r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b w:val="false"/>
          <w:i/>
          <w:i/>
          <w:sz w:val="24"/>
          <w:szCs w:val="24"/>
          <w:lang w:val="ru-RU"/>
        </w:rPr>
      </w:pPr>
      <w:bookmarkStart w:id="17" w:name="__RefHeading___Toc3434_2131320929"/>
      <w:bookmarkStart w:id="18" w:name="_Toc157094385"/>
      <w:bookmarkStart w:id="19" w:name="_Toc51339695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оказываемых услуг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104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6547"/>
        <w:gridCol w:w="1947"/>
        <w:gridCol w:w="1180"/>
      </w:tblGrid>
      <w:tr>
        <w:trPr>
          <w:trHeight w:val="204" w:hRule="atLeast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ru-RU"/>
              </w:rPr>
              <w:t>Наименование  услуги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Ед. </w:t>
              <w:br/>
              <w:t>изм.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hanging="0" w:left="0" w:right="17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ед.</w:t>
            </w:r>
          </w:p>
        </w:tc>
      </w:tr>
      <w:tr>
        <w:trPr>
          <w:trHeight w:val="72" w:hRule="atLeast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нормо-час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9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975</w:t>
            </w:r>
          </w:p>
        </w:tc>
      </w:tr>
    </w:tbl>
    <w:p>
      <w:pPr>
        <w:pStyle w:val="BodyText"/>
        <w:rPr>
          <w:sz w:val="20"/>
          <w:szCs w:val="28"/>
        </w:rPr>
      </w:pPr>
      <w:bookmarkStart w:id="20" w:name="__RefHeading___Toc2849_3274361489"/>
      <w:bookmarkEnd w:id="20"/>
      <w:r>
        <w:rPr>
          <w:sz w:val="20"/>
          <w:szCs w:val="28"/>
        </w:rPr>
        <w:t xml:space="preserve">* Объем услуг является ориентировочным, Заказчик не несет ответственности за неполную выборку услуг  на общую сумму договора. </w:t>
      </w:r>
    </w:p>
    <w:p>
      <w:pPr>
        <w:pStyle w:val="Normal"/>
        <w:widowControl/>
        <w:suppressAutoHyphens w:val="true"/>
        <w:bidi w:val="0"/>
        <w:spacing w:before="120" w:after="60"/>
        <w:ind w:hanging="0" w:left="0" w:right="0"/>
        <w:rPr/>
      </w:pPr>
      <w:r>
        <w:rPr/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120" w:after="60"/>
        <w:ind w:hanging="504" w:left="1224" w:right="0"/>
        <w:jc w:val="left"/>
        <w:rPr>
          <w:rFonts w:ascii="Times New Roman" w:hAnsi="Times New Roman" w:eastAsia="Calibri" w:cs="Times New Roman"/>
          <w:b w:val="false"/>
          <w:bCs w:val="false"/>
          <w:color w:val="auto"/>
          <w:kern w:val="0"/>
          <w:lang w:val="ru-RU" w:eastAsia="x-none" w:bidi="ar-SA"/>
        </w:rPr>
      </w:pPr>
      <w:bookmarkStart w:id="21" w:name="__RefHeading___Toc3436_2131320929"/>
      <w:bookmarkStart w:id="22" w:name="_Toc157094386"/>
      <w:bookmarkStart w:id="23" w:name="_Toc51339696"/>
      <w:bookmarkEnd w:id="21"/>
      <w:r>
        <w:rPr>
          <w:rFonts w:eastAsia="Calibri" w:cs="Times New Roman"/>
          <w:b w:val="false"/>
          <w:bCs w:val="false"/>
          <w:color w:val="auto"/>
          <w:kern w:val="0"/>
          <w:lang w:val="ru-RU" w:eastAsia="x-none" w:bidi="ar-SA"/>
        </w:rPr>
        <w:t xml:space="preserve">Требования </w:t>
      </w:r>
      <w:bookmarkEnd w:id="23"/>
      <w:r>
        <w:rPr>
          <w:rFonts w:eastAsia="Calibri" w:cs="Times New Roman"/>
          <w:b w:val="false"/>
          <w:bCs w:val="false"/>
          <w:color w:val="auto"/>
          <w:kern w:val="0"/>
          <w:lang w:val="ru-RU" w:eastAsia="x-none" w:bidi="ar-SA"/>
        </w:rPr>
        <w:t>к срокам оказания услуг</w:t>
      </w:r>
      <w:bookmarkEnd w:id="22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sz w:val="24"/>
          <w:szCs w:val="24"/>
          <w:lang w:val="ru-RU"/>
        </w:rPr>
      </w:pPr>
      <w:bookmarkStart w:id="24" w:name="__RefHeading___Toc3438_2131320929"/>
      <w:bookmarkStart w:id="25" w:name="_Toc157094387"/>
      <w:bookmarkStart w:id="26" w:name="_Toc51339697"/>
      <w:bookmarkStart w:id="27" w:name="_Toc50125127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6"/>
      <w:bookmarkEnd w:id="27"/>
      <w:bookmarkEnd w:id="28"/>
      <w:r>
        <w:rPr>
          <w:sz w:val="24"/>
          <w:szCs w:val="24"/>
          <w:lang w:val="ru-RU"/>
        </w:rPr>
        <w:t>оказания услуг</w:t>
      </w:r>
      <w:bookmarkEnd w:id="25"/>
    </w:p>
    <w:tbl>
      <w:tblPr>
        <w:tblW w:w="103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60"/>
        <w:gridCol w:w="2972"/>
        <w:gridCol w:w="3317"/>
      </w:tblGrid>
      <w:tr>
        <w:trPr>
          <w:trHeight w:val="696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>
          <w:trHeight w:val="296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407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x-none"/>
              </w:rPr>
              <w:t>Срок действия договора: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«ОКПД2 45.20.1.  Оказание услуг по  текущему ремонту легковых и легких коммерческих автомобилей, включая автобусы малого класса для нужд Загорского строительного участка Центрального филиала АО "ТК РусГидро"»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даты заключения договора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12 (двенадцать) месяцев с даты заключения договора или до исчерпания предельной стоимости договора, в зависимости от того, что наступит раньше</w:t>
            </w:r>
          </w:p>
        </w:tc>
      </w:tr>
      <w:tr>
        <w:trPr>
          <w:trHeight w:val="1407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Срок оказания услуг по заявке: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lang w:eastAsia="x-none"/>
              </w:rPr>
              <w:t>«ОКПД2 45.20.1.  Оказание услуг по  текущему ремонту легковых и легких коммерческих автомобилей, включая автобусы малого класса для нужд Загорского строительного участка Центрального филиала АО "ТК РусГидро"»</w:t>
            </w:r>
          </w:p>
        </w:tc>
        <w:tc>
          <w:tcPr>
            <w:tcW w:w="2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получения исполнителем заявки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в течение </w:t>
            </w:r>
            <w:r>
              <w:rPr>
                <w:rFonts w:eastAsia="Calibri"/>
                <w:sz w:val="24"/>
                <w:szCs w:val="24"/>
                <w:lang w:eastAsia="x-none"/>
              </w:rPr>
              <w:t>2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(</w:t>
            </w:r>
            <w:r>
              <w:rPr>
                <w:rFonts w:eastAsia="Calibri"/>
                <w:sz w:val="24"/>
                <w:szCs w:val="24"/>
                <w:lang w:eastAsia="x-none"/>
              </w:rPr>
              <w:t>двух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) рабочих дней (легкий ремонт), </w:t>
            </w:r>
            <w:r>
              <w:rPr>
                <w:rFonts w:eastAsia="Calibri"/>
                <w:sz w:val="24"/>
                <w:szCs w:val="24"/>
                <w:lang w:eastAsia="x-none"/>
              </w:rPr>
              <w:t>7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(</w:t>
            </w:r>
            <w:r>
              <w:rPr>
                <w:rFonts w:eastAsia="Calibri"/>
                <w:sz w:val="24"/>
                <w:szCs w:val="24"/>
                <w:lang w:eastAsia="x-none"/>
              </w:rPr>
              <w:t>семь</w:t>
            </w:r>
            <w:r>
              <w:rPr>
                <w:rFonts w:eastAsia="Calibri"/>
                <w:sz w:val="24"/>
                <w:szCs w:val="24"/>
                <w:lang w:eastAsia="x-none"/>
              </w:rPr>
              <w:t>) рабочих дней (при проведении сложного ремонта, при наличии запасных частей)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29" w:name="__RefHeading___Toc3440_2131320929"/>
      <w:bookmarkStart w:id="30" w:name="_Toc51339698"/>
      <w:bookmarkStart w:id="31" w:name="_Toc157094388"/>
      <w:bookmarkStart w:id="32" w:name="_Toc46743511"/>
      <w:bookmarkEnd w:id="29"/>
      <w:r>
        <w:rPr/>
        <w:t xml:space="preserve">Требования к </w:t>
      </w:r>
      <w:bookmarkEnd w:id="32"/>
      <w:r>
        <w:rPr>
          <w:lang w:val="ru-RU"/>
        </w:rPr>
        <w:t xml:space="preserve">качеству </w:t>
      </w:r>
      <w:bookmarkEnd w:id="31"/>
      <w:r>
        <w:rPr>
          <w:lang w:val="ru-RU"/>
        </w:rPr>
        <w:t>продукции</w:t>
      </w:r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b/>
          <w:i w:val="false"/>
          <w:i w:val="false"/>
          <w:sz w:val="24"/>
          <w:szCs w:val="24"/>
          <w:shd w:fill="auto" w:val="clear"/>
        </w:rPr>
      </w:pPr>
      <w:bookmarkStart w:id="33" w:name="__RefHeading___Toc3442_2131320929"/>
      <w:bookmarkStart w:id="34" w:name="_Toc157094389"/>
      <w:bookmarkEnd w:id="3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0"/>
      <w:r>
        <w:rPr>
          <w:sz w:val="24"/>
          <w:szCs w:val="24"/>
          <w:lang w:val="ru-RU"/>
        </w:rPr>
        <w:t xml:space="preserve">качеству </w:t>
      </w:r>
      <w:bookmarkEnd w:id="34"/>
      <w:r>
        <w:rPr>
          <w:sz w:val="24"/>
          <w:szCs w:val="24"/>
          <w:lang w:val="ru-RU"/>
        </w:rPr>
        <w:t>продукции</w:t>
      </w:r>
      <w:r>
        <w:rPr>
          <w:sz w:val="24"/>
          <w:szCs w:val="24"/>
        </w:rPr>
        <w:t xml:space="preserve"> </w:t>
      </w:r>
    </w:p>
    <w:p>
      <w:pPr>
        <w:pStyle w:val="Normal"/>
        <w:rPr>
          <w:iCs/>
          <w:sz w:val="24"/>
          <w:szCs w:val="24"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2): </w:t>
      </w:r>
      <w:r>
        <w:rPr>
          <w:rFonts w:eastAsia="Calibri"/>
          <w:b/>
          <w:bCs/>
          <w:sz w:val="24"/>
          <w:szCs w:val="24"/>
          <w:lang w:eastAsia="x-none"/>
        </w:rPr>
        <w:t>«ОКПД2 45.20.1.  Оказание услуг по  текущему ремонту легковых и легких коммерческих автомобилей, включая автобусы малого класса для нужд Загорского строительного участка Центрального филиала АО "ТК РусГидро"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>»</w:t>
      </w:r>
    </w:p>
    <w:tbl>
      <w:tblPr>
        <w:tblW w:w="15555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8025"/>
        <w:gridCol w:w="3405"/>
        <w:gridCol w:w="3149"/>
      </w:tblGrid>
      <w:tr>
        <w:trPr/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8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5"/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60" w:left="36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заявке согласие оказать услуги, полностью соответствующие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требованиям, по форме Технического предложения, установленной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Документации о закупке.</w:t>
            </w:r>
          </w:p>
        </w:tc>
        <w:tc>
          <w:tcPr>
            <w:tcW w:w="3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x-none" w:bidi="ar-SA"/>
              </w:rPr>
              <w:t>-</w:t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072" w:right="0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  <w:t>1.1.1.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8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1A1A1A"/>
                <w:kern w:val="0"/>
                <w:sz w:val="24"/>
                <w:szCs w:val="24"/>
                <w:lang w:val="ru-RU" w:eastAsia="ru-RU" w:bidi="ar-SA"/>
              </w:rPr>
              <w:t>Исполнитель обязуется на основании заявок Заказчика оказывать Заказчику услуги включая техническую диагностику, профилактическое и техническое обслуживание, все виды ремонтных и восстановительных работ, замену узлов, агрегатов, технических жидкостей, масел, прочих расходуемых материалов, установку дополнительного оборудования и поставку запасных частей для ТС Заказчика.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072" w:right="0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  <w:t>1.1.2.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Исполнитель обязан извещать Заказчика о возникновении, в ходе оказания Услуг, новых обстоятельств технического состояния ремонтируемого транспортного средства, которые могут привести к снижению безопасности его эксплуатации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731" w:hRule="atLeast"/>
        </w:trPr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Неисправные запчасти, образовавшиеся в результате оказания Услуг, являются собственностью Заказчика. 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731" w:hRule="atLeast"/>
        </w:trPr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8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exact" w:line="28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Услуг/Работ, их стоимость и сроки, а также используемые запасные части, материалы и их стоимость согласовываются сторонами в наряд-заказе.</w:t>
            </w:r>
          </w:p>
          <w:p>
            <w:pPr>
              <w:pStyle w:val="Normal"/>
              <w:widowControl w:val="false"/>
              <w:suppressAutoHyphens w:val="true"/>
              <w:spacing w:lineRule="exact" w:line="28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Текущий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ремонт ТС Заказчика осуществляются в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ремонтной зоне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Исполнителя,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которая должна находиться не далее 50 км по дорогам общего пользования от пгт.Богородское, Сергиево-Посадского г.о. Московской области,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 с использованием запасных частей и материалов, предоставленных Исполнителем, либо с использованием запасных частей и материалов Заказчика, о чем в </w:t>
            </w: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наряд-заказе по форме контрагента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указывается соответствующая информация. Заказчик имеет право самостоятельно предоставить Исполнителю запасные части и материалы, необходимые для проведения обслуживания и ремонта ТС Заказчика.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организации безопасности при оказании услуг, персонал Исполнителя должен: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руководствоваться и соблюдать требования паспортных данных, руководства по эксплуатации и технического обслуживания завода-изготовителя техники, законодательства Российской Федерации, при оказании соответствующих видов услуг;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иметь и пользоваться средствами индивидуальной защиты, сертифицированный, исправный инструмент и электрооборудование, соответствующие требованиям для соответствующей профессии;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соблюдать правила внутреннего распорядка.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устанавливать только новые запасные части в соответствии с каталожными номерами завода изготовителя. Запасные части, используемые Исполнителем, должны быть сертифицированы. Также, по требованию Заказчика Исполнитель обязан устанавливать на автотранспорт Заказчика запасные части и рабочие жидкости предоставленные Заказчиком.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</w:t>
            </w:r>
          </w:p>
        </w:tc>
        <w:tc>
          <w:tcPr>
            <w:tcW w:w="8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оформлении заказ-наряда, кроме стоимости каждой отдельной позиции по виду работ, также указывать норматив трудозатрат в нормо-часах по каждой позиции по виду работ, наименование работы, количество работ, стоимость нормо-часа, код работы.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</w:t>
            </w:r>
          </w:p>
        </w:tc>
        <w:tc>
          <w:tcPr>
            <w:tcW w:w="8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При проведении текущего ремонта,</w:t>
            </w:r>
            <w:r>
              <w:rPr>
                <w:b/>
              </w:rPr>
              <w:t xml:space="preserve"> </w:t>
            </w:r>
            <w:r>
              <w:rPr/>
              <w:t xml:space="preserve">Исполнитель обеспечивает возможность выбора Заказчиком запчастей и расходных материалов, предлагаемых к использованию у различных официальных источников (с предоставлением информации по электронным каталогам интернет-магазинов </w:t>
            </w:r>
            <w:r>
              <w:rPr>
                <w:lang w:val="en-US"/>
              </w:rPr>
              <w:t>Exist</w:t>
            </w:r>
            <w:r>
              <w:rPr/>
              <w:t xml:space="preserve">, </w:t>
            </w:r>
            <w:r>
              <w:rPr>
                <w:lang w:val="en-US"/>
              </w:rPr>
              <w:t xml:space="preserve">Autoopt.ru </w:t>
            </w:r>
            <w:r>
              <w:rPr/>
              <w:t xml:space="preserve">и др.). Стоимость запчастей, указанных в заказ-наряде на текущий ремонт, не превышает стоимость запчастей более чем на 10%, указанную на сайтах интернет-магазинов запчастей </w:t>
            </w:r>
            <w:r>
              <w:rPr>
                <w:lang w:val="en-US"/>
              </w:rPr>
              <w:t>Exist</w:t>
            </w:r>
            <w:r>
              <w:rPr/>
              <w:t xml:space="preserve"> и/или  </w:t>
            </w:r>
            <w:r>
              <w:rPr>
                <w:lang w:val="en-US"/>
              </w:rPr>
              <w:t>Autoopt.ru.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гарантийным обязательствам оказываемых услуг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8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оказанные услуги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устанавливается гарантийный срок, заранее согласованный с Заказчиком, который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исчисляется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с даты подписания акта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сдачи-приемки оказанных услуг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течении гарантийного периода Исполнитель обязан выполнить свои гарантийные обязательства своими силами и за свой счет в срок не более 10 (десяти) рабочих дней после предъявления Заказчиком соответствующего требования по устранению дефектов, выявленных в процессе эксплуатации, с учетом всех накладных и транспортных расходов,  в месте оказания услуг на территории Заказчика.</w:t>
            </w:r>
          </w:p>
        </w:tc>
        <w:tc>
          <w:tcPr>
            <w:tcW w:w="3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hd w:fill="auto" w:val="clear"/>
        </w:rPr>
      </w:pPr>
      <w:bookmarkStart w:id="36" w:name="__RefHeading___Toc3444_2131320929"/>
      <w:bookmarkStart w:id="37" w:name="_Toc54643710"/>
      <w:bookmarkStart w:id="38" w:name="_Toc157094390"/>
      <w:bookmarkStart w:id="39" w:name="_Toc53395937"/>
      <w:bookmarkStart w:id="40" w:name="_Toc53393312"/>
      <w:bookmarkEnd w:id="36"/>
      <w:r>
        <w:rPr>
          <w:sz w:val="24"/>
          <w:szCs w:val="24"/>
          <w:shd w:fill="auto" w:val="clear"/>
          <w:lang w:val="ru-RU"/>
        </w:rPr>
        <w:t>Требования к документации по ценообразованию</w:t>
      </w:r>
      <w:bookmarkEnd w:id="39"/>
      <w:bookmarkEnd w:id="40"/>
      <w:r>
        <w:rPr>
          <w:sz w:val="24"/>
          <w:szCs w:val="24"/>
          <w:shd w:fill="auto" w:val="clear"/>
          <w:lang w:val="ru-RU"/>
        </w:rPr>
        <w:t xml:space="preserve"> на этапе закупки</w:t>
      </w:r>
      <w:bookmarkEnd w:id="37"/>
      <w:bookmarkEnd w:id="38"/>
    </w:p>
    <w:p>
      <w:pPr>
        <w:pStyle w:val="Normal"/>
        <w:rPr>
          <w:sz w:val="24"/>
          <w:szCs w:val="24"/>
          <w:shd w:fill="auto" w:val="clear"/>
          <w:lang w:eastAsia="x-none"/>
        </w:rPr>
      </w:pPr>
      <w:r>
        <w:rPr>
          <w:sz w:val="24"/>
          <w:szCs w:val="24"/>
          <w:shd w:fill="auto" w:val="clear"/>
          <w:lang w:eastAsia="x-none"/>
        </w:rPr>
      </w:r>
    </w:p>
    <w:p>
      <w:pPr>
        <w:pStyle w:val="Normal"/>
        <w:ind w:firstLine="426" w:left="0" w:right="-2"/>
        <w:jc w:val="both"/>
        <w:rPr>
          <w:shd w:fill="auto" w:val="clear"/>
        </w:rPr>
      </w:pPr>
      <w:r>
        <w:rPr>
          <w:sz w:val="24"/>
          <w:szCs w:val="24"/>
          <w:shd w:fill="auto" w:val="clear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426" w:left="0" w:right="-2"/>
        <w:jc w:val="both"/>
        <w:rPr>
          <w:shd w:fill="auto" w:val="clear"/>
        </w:rPr>
      </w:pPr>
      <w:r>
        <w:rPr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ind w:firstLine="426" w:left="0" w:right="-2"/>
        <w:jc w:val="both"/>
        <w:rPr>
          <w:shd w:fill="auto" w:val="clear"/>
        </w:rPr>
      </w:pPr>
      <w:r>
        <w:rPr>
          <w:sz w:val="24"/>
          <w:szCs w:val="24"/>
          <w:shd w:fill="auto" w:val="clear"/>
        </w:rPr>
        <w:t xml:space="preserve">3.3. </w:t>
      </w:r>
      <w:r>
        <w:rPr>
          <w:iCs/>
          <w:sz w:val="24"/>
          <w:szCs w:val="24"/>
          <w:shd w:fill="auto" w:val="clear"/>
          <w:lang w:val="x-none" w:eastAsia="x-none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</w:t>
      </w:r>
      <w:r>
        <w:rPr>
          <w:sz w:val="24"/>
          <w:szCs w:val="24"/>
          <w:shd w:fill="auto" w:val="clear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hanging="0" w:left="0" w:right="0"/>
        <w:jc w:val="center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hanging="0" w:left="0" w:right="0"/>
        <w:jc w:val="center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hanging="0" w:left="0" w:right="0"/>
        <w:jc w:val="center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br/>
        <w:t xml:space="preserve">Руководитель ГКЭОиРТС ЦФ АО «ТК РусГидро»          </w:t>
        <w:tab/>
        <w:t>А.Н. Пышкин   _______________</w:t>
      </w:r>
    </w:p>
    <w:p>
      <w:pPr>
        <w:pStyle w:val="Heading1"/>
        <w:keepLines/>
        <w:numPr>
          <w:ilvl w:val="0"/>
        </w:numPr>
        <w:tabs>
          <w:tab w:val="clear" w:pos="0"/>
        </w:tabs>
        <w:ind w:hanging="0" w:left="357" w:right="0"/>
        <w:rPr>
          <w:i/>
          <w:i/>
          <w:lang w:val="ru-RU"/>
        </w:rPr>
      </w:pPr>
      <w:r>
        <w:rPr>
          <w:i/>
          <w:lang w:val="ru-RU"/>
        </w:rPr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  <w:t>Ведущий инженер по эксплуатации транспорта</w:t>
        <w:br/>
        <w:t>ГКЭОиРТС ЦФ АО «ТК РусГидро»</w:t>
        <w:tab/>
        <w:tab/>
        <w:tab/>
        <w:t xml:space="preserve">  </w:t>
        <w:tab/>
        <w:t xml:space="preserve"> А.И. Петров _________________</w:t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/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737" w:footer="0" w:bottom="1135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b w:val="false"/>
        <w:szCs w:val="24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0"/>
      </w:numPr>
      <w:ind w:hanging="504" w:left="1224" w:right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numPr>
        <w:ilvl w:val="0"/>
        <w:numId w:val="0"/>
      </w:numPr>
      <w:ind w:hanging="504" w:left="1224" w:right="0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tabs>
        <w:tab w:val="clear" w:pos="708"/>
        <w:tab w:val="left" w:pos="0" w:leader="none"/>
      </w:tabs>
      <w:spacing w:before="120" w:after="60"/>
      <w:ind w:hanging="504" w:left="1224" w:right="0"/>
      <w:jc w:val="both"/>
      <w:outlineLvl w:val="2"/>
    </w:pPr>
    <w:rPr>
      <w:rFonts w:eastAsia="Calibri"/>
      <w:b w:val="false"/>
      <w:bCs w:val="false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hanging="504" w:left="1224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4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31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9"/>
    <w:qFormat/>
    <w:rPr>
      <w:sz w:val="26"/>
      <w:szCs w:val="26"/>
    </w:rPr>
  </w:style>
  <w:style w:type="character" w:styleId="31">
    <w:name w:val="УРОВЕНЬ_Абзац_тип3 Знак"/>
    <w:link w:val="37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2">
    <w:name w:val="Пункт2 Знак"/>
    <w:link w:val="26"/>
    <w:qFormat/>
    <w:rPr>
      <w:b/>
      <w:sz w:val="28"/>
    </w:rPr>
  </w:style>
  <w:style w:type="character" w:styleId="12">
    <w:name w:val="УРОВЕНЬ_1. Знак"/>
    <w:link w:val="18"/>
    <w:qFormat/>
    <w:rPr>
      <w:rFonts w:eastAsia="Calibri"/>
      <w:caps/>
      <w:sz w:val="28"/>
      <w:szCs w:val="28"/>
      <w:lang w:eastAsia="en-US"/>
    </w:rPr>
  </w:style>
  <w:style w:type="character" w:styleId="Style14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HTML">
    <w:name w:val="Стандартный HTML Знак"/>
    <w:basedOn w:val="DefaultParagraphFont"/>
    <w:link w:val="HTMLPreformatted"/>
    <w:qFormat/>
    <w:rPr>
      <w:rFonts w:ascii="Courier New" w:hAnsi="Courier New" w:cs="Courier New"/>
    </w:rPr>
  </w:style>
  <w:style w:type="character" w:styleId="Style15">
    <w:name w:val="Нижний колонтитул Знак"/>
    <w:basedOn w:val="DefaultParagraphFont"/>
    <w:qFormat/>
    <w:rPr>
      <w:sz w:val="28"/>
      <w:szCs w:val="28"/>
    </w:rPr>
  </w:style>
  <w:style w:type="character" w:styleId="Wmi-callto">
    <w:name w:val="wmi-callto"/>
    <w:qFormat/>
    <w:rPr/>
  </w:style>
  <w:style w:type="character" w:styleId="Apple-converted-space">
    <w:name w:val="apple-converted-space"/>
    <w:qFormat/>
    <w:rPr/>
  </w:style>
  <w:style w:type="character" w:styleId="23">
    <w:name w:val="Основной текст с отступом 2 Знак"/>
    <w:basedOn w:val="DefaultParagraphFont"/>
    <w:link w:val="BodyTextIndent2"/>
    <w:qFormat/>
    <w:rPr>
      <w:sz w:val="28"/>
      <w:szCs w:val="28"/>
    </w:rPr>
  </w:style>
  <w:style w:type="character" w:styleId="32">
    <w:name w:val="Основной текст 3 Знак"/>
    <w:basedOn w:val="DefaultParagraphFont"/>
    <w:link w:val="BodyText3"/>
    <w:qFormat/>
    <w:rPr>
      <w:sz w:val="16"/>
      <w:szCs w:val="16"/>
    </w:rPr>
  </w:style>
  <w:style w:type="character" w:styleId="Style16">
    <w:name w:val="Тема примечания Знак"/>
    <w:basedOn w:val="Style11"/>
    <w:link w:val="Annotationsubject"/>
    <w:qFormat/>
    <w:rPr>
      <w:b/>
      <w:bCs/>
    </w:rPr>
  </w:style>
  <w:style w:type="character" w:styleId="FontStyle23">
    <w:name w:val="Font Style23"/>
    <w:qFormat/>
    <w:rPr>
      <w:rFonts w:ascii="Times New Roman" w:hAnsi="Times New Roman" w:cs="Times New Roman"/>
      <w:sz w:val="22"/>
      <w:szCs w:val="22"/>
    </w:rPr>
  </w:style>
  <w:style w:type="character" w:styleId="Style17">
    <w:name w:val="Схема документа Знак"/>
    <w:basedOn w:val="DefaultParagraphFont"/>
    <w:link w:val="DocumentMap"/>
    <w:qFormat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styleId="24">
    <w:name w:val="Основной текст 2 Знак"/>
    <w:basedOn w:val="DefaultParagraphFont"/>
    <w:link w:val="BodyText2"/>
    <w:qFormat/>
    <w:rPr>
      <w:sz w:val="28"/>
      <w:szCs w:val="28"/>
    </w:rPr>
  </w:style>
  <w:style w:type="character" w:styleId="33">
    <w:name w:val="Основной текст с отступом 3 Знак"/>
    <w:basedOn w:val="DefaultParagraphFont"/>
    <w:link w:val="BodyTextIndent3"/>
    <w:qFormat/>
    <w:rPr>
      <w:sz w:val="16"/>
      <w:szCs w:val="16"/>
    </w:rPr>
  </w:style>
  <w:style w:type="character" w:styleId="FontStyle21">
    <w:name w:val="Font Style21"/>
    <w:qFormat/>
    <w:rPr>
      <w:rFonts w:ascii="Sylfaen" w:hAnsi="Sylfaen" w:cs="Sylfaen"/>
      <w:sz w:val="22"/>
      <w:szCs w:val="22"/>
    </w:rPr>
  </w:style>
  <w:style w:type="character" w:styleId="FontStyle25">
    <w:name w:val="Font Style25"/>
    <w:qFormat/>
    <w:rPr>
      <w:rFonts w:ascii="Arial" w:hAnsi="Arial" w:cs="Arial"/>
      <w:sz w:val="18"/>
      <w:szCs w:val="18"/>
    </w:rPr>
  </w:style>
  <w:style w:type="character" w:styleId="Style18">
    <w:name w:val="Основной текст с отступом Знак"/>
    <w:basedOn w:val="DefaultParagraphFont"/>
    <w:qFormat/>
    <w:rPr>
      <w:sz w:val="24"/>
      <w:szCs w:val="24"/>
    </w:rPr>
  </w:style>
  <w:style w:type="character" w:styleId="Style19">
    <w:name w:val="Ариал Таблица Знак"/>
    <w:link w:val="Style46"/>
    <w:qFormat/>
    <w:rPr>
      <w:rFonts w:ascii="Arial" w:hAnsi="Arial"/>
      <w:sz w:val="24"/>
      <w:lang w:val="x-none" w:eastAsia="x-none"/>
    </w:rPr>
  </w:style>
  <w:style w:type="character" w:styleId="Style20">
    <w:name w:val="Пункты Знак"/>
    <w:link w:val="Style47"/>
    <w:qFormat/>
    <w:rPr>
      <w:bCs/>
      <w:iCs/>
      <w:color w:val="000000"/>
      <w:sz w:val="24"/>
      <w:szCs w:val="28"/>
      <w:lang w:val="x-none" w:eastAsia="x-none"/>
    </w:rPr>
  </w:style>
  <w:style w:type="character" w:styleId="Style21">
    <w:name w:val="Основной текст документа"/>
    <w:qFormat/>
    <w:rPr>
      <w:sz w:val="22"/>
    </w:rPr>
  </w:style>
  <w:style w:type="character" w:styleId="ConsNormal">
    <w:name w:val="ConsNormal Знак"/>
    <w:link w:val="ConsNormal1"/>
    <w:qFormat/>
    <w:rPr>
      <w:rFonts w:ascii="Arial" w:hAnsi="Arial" w:cs="Arial"/>
    </w:rPr>
  </w:style>
  <w:style w:type="character" w:styleId="Style22">
    <w:name w:val="Заголовок Знак"/>
    <w:basedOn w:val="DefaultParagraphFont"/>
    <w:qFormat/>
    <w:rPr>
      <w:rFonts w:ascii="Calibri Light" w:hAnsi="Calibri Light" w:eastAsia="Times New Roman" w:cs="Times New Roman"/>
      <w:spacing w:val="-10"/>
      <w:kern w:val="2"/>
      <w:sz w:val="56"/>
      <w:szCs w:val="56"/>
      <w:lang w:eastAsia="en-US"/>
    </w:rPr>
  </w:style>
  <w:style w:type="character" w:styleId="Style23">
    <w:name w:val="Ссылка указателя"/>
    <w:qFormat/>
    <w:rPr/>
  </w:style>
  <w:style w:type="character" w:styleId="Style24">
    <w:name w:val="Символ нумерации"/>
    <w:qFormat/>
    <w:rPr/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22"/>
    <w:qFormat/>
    <w:pPr>
      <w:spacing w:before="0" w:after="0"/>
      <w:contextualSpacing/>
    </w:pPr>
    <w:rPr>
      <w:rFonts w:ascii="Calibri Light" w:hAnsi="Calibri Light" w:eastAsia="Times New Roman" w:cs="Times New Roman"/>
      <w:spacing w:val="-10"/>
      <w:kern w:val="2"/>
      <w:sz w:val="56"/>
      <w:szCs w:val="56"/>
      <w:lang w:eastAsia="en-US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27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8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9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3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3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8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link w:val="32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link w:val="24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6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32">
    <w:name w:val="Раздел регламента"/>
    <w:basedOn w:val="Normal"/>
    <w:qFormat/>
    <w:pPr/>
    <w:rPr/>
  </w:style>
  <w:style w:type="paragraph" w:styleId="Style33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Cs/>
      <w:sz w:val="20"/>
      <w:szCs w:val="20"/>
    </w:rPr>
  </w:style>
  <w:style w:type="paragraph" w:styleId="BalloonText">
    <w:name w:val="Balloon Text"/>
    <w:basedOn w:val="Normal"/>
    <w:link w:val="Style14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pPr/>
    <w:rPr>
      <w:b/>
      <w:bCs/>
    </w:rPr>
  </w:style>
  <w:style w:type="paragraph" w:styleId="15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none"/>
      </w:tabs>
      <w:ind w:hanging="0" w:left="560" w:right="0"/>
    </w:pPr>
    <w:rPr>
      <w:rFonts w:cs="Calibri"/>
      <w:sz w:val="20"/>
      <w:szCs w:val="20"/>
    </w:rPr>
  </w:style>
  <w:style w:type="paragraph" w:styleId="27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34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3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6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37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8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9">
    <w:name w:val="Подподпункт"/>
    <w:basedOn w:val="Style31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40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10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2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8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Default">
    <w:name w:val="Default"/>
    <w:basedOn w:val="Normal"/>
    <w:qFormat/>
    <w:pPr>
      <w:widowControl w:val="false"/>
    </w:pPr>
    <w:rPr>
      <w:color w:val="000000"/>
      <w:kern w:val="2"/>
      <w:sz w:val="24"/>
      <w:szCs w:val="24"/>
    </w:rPr>
  </w:style>
  <w:style w:type="paragraph" w:styleId="Style43">
    <w:name w:val="......."/>
    <w:basedOn w:val="Default"/>
    <w:next w:val="Default"/>
    <w:qFormat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>
    <w:name w:val="a_Header"/>
    <w:basedOn w:val="Normal"/>
    <w:qFormat/>
    <w:pPr>
      <w:tabs>
        <w:tab w:val="clear" w:pos="708"/>
        <w:tab w:val="left" w:pos="1985" w:leader="none"/>
      </w:tabs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>
    <w:name w:val="Style8"/>
    <w:basedOn w:val="Normal"/>
    <w:qFormat/>
    <w:pPr>
      <w:widowControl w:val="false"/>
      <w:spacing w:lineRule="exact" w:line="326"/>
      <w:ind w:firstLine="706" w:left="0" w:right="0"/>
      <w:jc w:val="both"/>
    </w:pPr>
    <w:rPr>
      <w:sz w:val="24"/>
      <w:szCs w:val="24"/>
    </w:rPr>
  </w:style>
  <w:style w:type="paragraph" w:styleId="41">
    <w:name w:val="Пункт_4"/>
    <w:basedOn w:val="Normal"/>
    <w:qFormat/>
    <w:pPr>
      <w:numPr>
        <w:ilvl w:val="3"/>
        <w:numId w:val="8"/>
      </w:numPr>
      <w:jc w:val="both"/>
    </w:pPr>
    <w:rPr/>
  </w:style>
  <w:style w:type="paragraph" w:styleId="51">
    <w:name w:val="Пункт_5"/>
    <w:basedOn w:val="Normal"/>
    <w:qFormat/>
    <w:pPr>
      <w:numPr>
        <w:ilvl w:val="4"/>
        <w:numId w:val="8"/>
      </w:numPr>
      <w:jc w:val="both"/>
    </w:pPr>
    <w:rPr>
      <w:szCs w:val="24"/>
    </w:rPr>
  </w:style>
  <w:style w:type="paragraph" w:styleId="38">
    <w:name w:val="Подзаголовок_3"/>
    <w:basedOn w:val="Normal"/>
    <w:qFormat/>
    <w:pPr>
      <w:keepNext w:val="true"/>
      <w:numPr>
        <w:ilvl w:val="2"/>
        <w:numId w:val="8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7"/>
    <w:qFormat/>
    <w:pPr/>
    <w:rPr>
      <w:rFonts w:ascii="Tahoma" w:hAnsi="Tahoma" w:cs="Tahoma"/>
      <w:sz w:val="16"/>
      <w:szCs w:val="16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>
    <w:name w:val="font5"/>
    <w:basedOn w:val="Normal"/>
    <w:qFormat/>
    <w:pPr>
      <w:spacing w:before="280" w:after="280"/>
    </w:pPr>
    <w:rPr>
      <w:color w:val="000000"/>
      <w:sz w:val="24"/>
      <w:szCs w:val="24"/>
    </w:rPr>
  </w:style>
  <w:style w:type="paragraph" w:styleId="Font6">
    <w:name w:val="font6"/>
    <w:basedOn w:val="Normal"/>
    <w:qFormat/>
    <w:pPr>
      <w:spacing w:before="280" w:after="280"/>
    </w:pPr>
    <w:rPr>
      <w:rFonts w:ascii="Calibri" w:hAnsi="Calibri"/>
      <w:color w:val="000000"/>
      <w:sz w:val="20"/>
      <w:szCs w:val="20"/>
    </w:rPr>
  </w:style>
  <w:style w:type="paragraph" w:styleId="Xl65">
    <w:name w:val="xl65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66">
    <w:name w:val="xl66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7">
    <w:name w:val="xl67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8">
    <w:name w:val="xl68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69">
    <w:name w:val="xl69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0">
    <w:name w:val="xl70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1">
    <w:name w:val="xl71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2">
    <w:name w:val="xl72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3">
    <w:name w:val="xl73"/>
    <w:basedOn w:val="Normal"/>
    <w:qFormat/>
    <w:pPr>
      <w:spacing w:before="280" w:after="280"/>
      <w:jc w:val="center"/>
      <w:textAlignment w:val="center"/>
    </w:pPr>
    <w:rPr>
      <w:sz w:val="24"/>
      <w:szCs w:val="24"/>
    </w:rPr>
  </w:style>
  <w:style w:type="paragraph" w:styleId="Xl74">
    <w:name w:val="xl74"/>
    <w:basedOn w:val="Normal"/>
    <w:qFormat/>
    <w:pPr>
      <w:spacing w:before="280" w:after="280"/>
      <w:textAlignment w:val="center"/>
    </w:pPr>
    <w:rPr>
      <w:sz w:val="24"/>
      <w:szCs w:val="24"/>
    </w:rPr>
  </w:style>
  <w:style w:type="paragraph" w:styleId="Xl75">
    <w:name w:val="xl75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6">
    <w:name w:val="xl76"/>
    <w:basedOn w:val="Normal"/>
    <w:qFormat/>
    <w:pP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77">
    <w:name w:val="xl77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78">
    <w:name w:val="xl78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9">
    <w:name w:val="xl79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80">
    <w:name w:val="xl80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81">
    <w:name w:val="xl81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82">
    <w:name w:val="xl82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83">
    <w:name w:val="xl83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84">
    <w:name w:val="xl84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85">
    <w:name w:val="xl85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textAlignment w:val="center"/>
    </w:pPr>
    <w:rPr>
      <w:b/>
      <w:bCs/>
      <w:sz w:val="24"/>
      <w:szCs w:val="24"/>
    </w:rPr>
  </w:style>
  <w:style w:type="paragraph" w:styleId="Xl86">
    <w:name w:val="xl86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87">
    <w:name w:val="xl87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88">
    <w:name w:val="xl88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styleId="Xl89">
    <w:name w:val="xl89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fill="D9D9D9"/>
      <w:spacing w:before="280" w:after="280"/>
      <w:textAlignment w:val="center"/>
    </w:pPr>
    <w:rPr>
      <w:b/>
      <w:bCs/>
      <w:sz w:val="24"/>
      <w:szCs w:val="24"/>
    </w:rPr>
  </w:style>
  <w:style w:type="paragraph" w:styleId="Xl90">
    <w:name w:val="xl90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fill="D9D9D9"/>
      <w:spacing w:before="280" w:after="280"/>
    </w:pPr>
    <w:rPr>
      <w:sz w:val="24"/>
      <w:szCs w:val="24"/>
    </w:rPr>
  </w:style>
  <w:style w:type="paragraph" w:styleId="Xl91">
    <w:name w:val="xl91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92">
    <w:name w:val="xl92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93">
    <w:name w:val="xl93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Font7">
    <w:name w:val="font7"/>
    <w:basedOn w:val="Normal"/>
    <w:qFormat/>
    <w:pPr>
      <w:spacing w:before="280" w:after="280"/>
    </w:pPr>
    <w:rPr>
      <w:rFonts w:ascii="Arial" w:hAnsi="Arial" w:cs="Arial"/>
      <w:color w:val="494949"/>
      <w:sz w:val="20"/>
      <w:szCs w:val="20"/>
    </w:rPr>
  </w:style>
  <w:style w:type="paragraph" w:styleId="Xl94">
    <w:name w:val="xl94"/>
    <w:basedOn w:val="Normal"/>
    <w:qFormat/>
    <w:pPr>
      <w:spacing w:before="280" w:after="280"/>
    </w:pPr>
    <w:rPr>
      <w:b/>
      <w:bCs/>
      <w:sz w:val="24"/>
      <w:szCs w:val="24"/>
    </w:rPr>
  </w:style>
  <w:style w:type="paragraph" w:styleId="Xl95">
    <w:name w:val="xl95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sz w:val="24"/>
      <w:szCs w:val="24"/>
    </w:rPr>
  </w:style>
  <w:style w:type="paragraph" w:styleId="Xl96">
    <w:name w:val="xl96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97">
    <w:name w:val="xl97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98">
    <w:name w:val="xl98"/>
    <w:basedOn w:val="Normal"/>
    <w:qFormat/>
    <w:pPr>
      <w:pBdr>
        <w:left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99">
    <w:name w:val="xl99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0">
    <w:name w:val="xl100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01">
    <w:name w:val="xl101"/>
    <w:basedOn w:val="Normal"/>
    <w:qFormat/>
    <w:pPr>
      <w:pBdr>
        <w:left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02">
    <w:name w:val="xl102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03">
    <w:name w:val="xl103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4">
    <w:name w:val="xl10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5">
    <w:name w:val="xl105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6">
    <w:name w:val="xl106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7">
    <w:name w:val="xl107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/>
      <w:jc w:val="center"/>
    </w:pPr>
    <w:rPr>
      <w:sz w:val="24"/>
      <w:szCs w:val="24"/>
    </w:rPr>
  </w:style>
  <w:style w:type="paragraph" w:styleId="Xl108">
    <w:name w:val="xl108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 w:val="24"/>
      <w:szCs w:val="24"/>
    </w:rPr>
  </w:style>
  <w:style w:type="paragraph" w:styleId="Xl109">
    <w:name w:val="xl109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110">
    <w:name w:val="xl110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111">
    <w:name w:val="xl111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112">
    <w:name w:val="xl112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13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14">
    <w:name w:val="xl11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15">
    <w:name w:val="xl115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16">
    <w:name w:val="xl116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17">
    <w:name w:val="xl117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18">
    <w:name w:val="xl118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sz w:val="24"/>
      <w:szCs w:val="24"/>
    </w:rPr>
  </w:style>
  <w:style w:type="paragraph" w:styleId="Xl119">
    <w:name w:val="xl119"/>
    <w:basedOn w:val="Normal"/>
    <w:qFormat/>
    <w:pPr>
      <w:pBdr>
        <w:left w:val="single" w:sz="4" w:space="0" w:color="000000"/>
        <w:right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20">
    <w:name w:val="xl120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2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22">
    <w:name w:val="xl12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23">
    <w:name w:val="xl123"/>
    <w:basedOn w:val="Normal"/>
    <w:qFormat/>
    <w:pPr>
      <w:pBdr>
        <w:left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24">
    <w:name w:val="xl124"/>
    <w:basedOn w:val="Normal"/>
    <w:qFormat/>
    <w:pPr>
      <w:pBdr>
        <w:top w:val="single" w:sz="4" w:space="0" w:color="000000"/>
        <w:left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ConsNormal1">
    <w:name w:val="ConsNormal"/>
    <w:link w:val="Con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4">
    <w:name w:val="Style4"/>
    <w:basedOn w:val="Normal"/>
    <w:qFormat/>
    <w:pPr>
      <w:widowControl w:val="false"/>
    </w:pPr>
    <w:rPr>
      <w:rFonts w:ascii="Sylfaen" w:hAnsi="Sylfaen"/>
      <w:sz w:val="24"/>
      <w:szCs w:val="24"/>
    </w:rPr>
  </w:style>
  <w:style w:type="paragraph" w:styleId="Style91">
    <w:name w:val="Style9"/>
    <w:basedOn w:val="Normal"/>
    <w:qFormat/>
    <w:pPr>
      <w:widowControl w:val="false"/>
      <w:spacing w:lineRule="exact" w:line="209"/>
      <w:ind w:firstLine="533" w:left="0" w:right="0"/>
    </w:pPr>
    <w:rPr>
      <w:rFonts w:ascii="Sylfaen" w:hAnsi="Sylfaen"/>
      <w:sz w:val="24"/>
      <w:szCs w:val="24"/>
    </w:rPr>
  </w:style>
  <w:style w:type="paragraph" w:styleId="Style141">
    <w:name w:val="Style14"/>
    <w:basedOn w:val="Normal"/>
    <w:qFormat/>
    <w:pPr>
      <w:widowControl w:val="false"/>
      <w:spacing w:lineRule="exact" w:line="226"/>
      <w:ind w:firstLine="490" w:left="0" w:right="0"/>
      <w:jc w:val="both"/>
    </w:pPr>
    <w:rPr>
      <w:rFonts w:ascii="Sylfaen" w:hAnsi="Sylfaen"/>
      <w:sz w:val="24"/>
      <w:szCs w:val="24"/>
    </w:rPr>
  </w:style>
  <w:style w:type="paragraph" w:styleId="Style45">
    <w:name w:val="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>
    <w:name w:val="xl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>
    <w:name w:val="xl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>
    <w:name w:val="xl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>
    <w:name w:val="xl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>
    <w:name w:val="xl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>
    <w:name w:val="xl3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>
    <w:name w:val="xl3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99"/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>
    <w:name w:val="xl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99"/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>
    <w:name w:val="xl3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99"/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>
    <w:name w:val="xl3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eastAsia="Arial Unicode MS"/>
      <w:sz w:val="24"/>
      <w:szCs w:val="24"/>
    </w:rPr>
  </w:style>
  <w:style w:type="paragraph" w:styleId="Xl36">
    <w:name w:val="xl3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eastAsia="Arial Unicode MS"/>
      <w:sz w:val="24"/>
      <w:szCs w:val="24"/>
    </w:rPr>
  </w:style>
  <w:style w:type="paragraph" w:styleId="Xl37">
    <w:name w:val="xl3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eastAsia="Arial Unicode MS"/>
      <w:sz w:val="24"/>
      <w:szCs w:val="24"/>
    </w:rPr>
  </w:style>
  <w:style w:type="paragraph" w:styleId="Xl38">
    <w:name w:val="xl3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>
    <w:name w:val="xl3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6">
    <w:name w:val="Ариал Таблица"/>
    <w:basedOn w:val="Normal"/>
    <w:link w:val="Style19"/>
    <w:qFormat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pPr>
      <w:spacing w:before="0" w:after="60"/>
      <w:ind w:hanging="283" w:left="566" w:right="0"/>
      <w:jc w:val="both"/>
    </w:pPr>
    <w:rPr>
      <w:sz w:val="24"/>
      <w:szCs w:val="24"/>
    </w:rPr>
  </w:style>
  <w:style w:type="paragraph" w:styleId="Style47">
    <w:name w:val="Пункты"/>
    <w:basedOn w:val="Heading2"/>
    <w:link w:val="Style20"/>
    <w:qFormat/>
    <w:pPr>
      <w:numPr>
        <w:ilvl w:val="1"/>
        <w:numId w:val="9"/>
      </w:numPr>
      <w:tabs>
        <w:tab w:val="left" w:pos="0" w:leader="none"/>
        <w:tab w:val="left" w:pos="1134" w:leader="none"/>
      </w:tabs>
      <w:spacing w:before="120" w:after="0"/>
      <w:ind w:firstLine="567" w:left="0" w:right="0"/>
      <w:jc w:val="both"/>
    </w:pPr>
    <w:rPr>
      <w:rFonts w:eastAsia="Times New Roman"/>
      <w:b w:val="false"/>
      <w:iCs/>
      <w:color w:val="000000"/>
      <w:szCs w:val="28"/>
    </w:rPr>
  </w:style>
  <w:style w:type="paragraph" w:styleId="Xl63">
    <w:name w:val="xl63"/>
    <w:basedOn w:val="Normal"/>
    <w:qFormat/>
    <w:pPr>
      <w:spacing w:before="280" w:after="280"/>
    </w:pPr>
    <w:rPr>
      <w:color w:val="000000"/>
      <w:sz w:val="20"/>
      <w:szCs w:val="20"/>
    </w:rPr>
  </w:style>
  <w:style w:type="paragraph" w:styleId="Xl64">
    <w:name w:val="xl64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  <w:sz w:val="20"/>
      <w:szCs w:val="20"/>
    </w:rPr>
  </w:style>
  <w:style w:type="paragraph" w:styleId="Font8">
    <w:name w:val="font8"/>
    <w:basedOn w:val="Normal"/>
    <w:qFormat/>
    <w:pPr>
      <w:spacing w:before="280" w:after="280"/>
    </w:pPr>
    <w:rPr>
      <w:rFonts w:ascii="Arial" w:hAnsi="Arial" w:cs="Arial"/>
      <w:color w:val="333333"/>
      <w:sz w:val="18"/>
      <w:szCs w:val="18"/>
    </w:rPr>
  </w:style>
  <w:style w:type="paragraph" w:styleId="Style48">
    <w:name w:val="Содержимое врезки"/>
    <w:basedOn w:val="Normal"/>
    <w:qFormat/>
    <w:pPr/>
    <w:rPr/>
  </w:style>
  <w:style w:type="paragraph" w:styleId="Style49">
    <w:name w:val="Содержимое таблицы"/>
    <w:basedOn w:val="Normal"/>
    <w:qFormat/>
    <w:pPr>
      <w:widowControl w:val="false"/>
      <w:suppressLineNumbers/>
    </w:pPr>
    <w:rPr/>
  </w:style>
  <w:style w:type="paragraph" w:styleId="Style50">
    <w:name w:val="Заголовок таблицы"/>
    <w:basedOn w:val="Style49"/>
    <w:qFormat/>
    <w:pPr>
      <w:suppressLineNumbers/>
      <w:jc w:val="center"/>
    </w:pPr>
    <w:rPr>
      <w:b/>
      <w:bCs/>
    </w:rPr>
  </w:style>
  <w:style w:type="numbering" w:styleId="19">
    <w:name w:val="Стиль1"/>
    <w:qFormat/>
  </w:style>
  <w:style w:type="numbering" w:styleId="211">
    <w:name w:val="Стиль2"/>
    <w:qFormat/>
  </w:style>
  <w:style w:type="numbering" w:styleId="110">
    <w:name w:val="Нет списка1"/>
    <w:qFormat/>
  </w:style>
  <w:style w:type="numbering" w:styleId="111">
    <w:name w:val="Нет списка11"/>
    <w:qFormat/>
  </w:style>
  <w:style w:type="numbering" w:styleId="212">
    <w:name w:val="Нет списка2"/>
    <w:qFormat/>
  </w:style>
  <w:style w:type="numbering" w:styleId="121">
    <w:name w:val="Нет списка12"/>
    <w:qFormat/>
  </w:style>
  <w:style w:type="numbering" w:styleId="39">
    <w:name w:val="Нет списка3"/>
    <w:qFormat/>
  </w:style>
  <w:style w:type="numbering" w:styleId="131">
    <w:name w:val="Нет списка13"/>
    <w:qFormat/>
  </w:style>
  <w:style w:type="numbering" w:styleId="1111">
    <w:name w:val="Нет списка111"/>
    <w:qFormat/>
  </w:style>
  <w:style w:type="numbering" w:styleId="213">
    <w:name w:val="Нет списка21"/>
    <w:qFormat/>
  </w:style>
  <w:style w:type="numbering" w:styleId="1211">
    <w:name w:val="Нет списка121"/>
    <w:qFormat/>
  </w:style>
  <w:style w:type="numbering" w:styleId="11111">
    <w:name w:val="Нет списка1111"/>
    <w:qFormat/>
  </w:style>
  <w:style w:type="numbering" w:styleId="312">
    <w:name w:val="Нет списка31"/>
    <w:qFormat/>
  </w:style>
  <w:style w:type="numbering" w:styleId="1311">
    <w:name w:val="Нет списка131"/>
    <w:qFormat/>
  </w:style>
  <w:style w:type="numbering" w:styleId="112">
    <w:name w:val="Нет списка112"/>
    <w:qFormat/>
  </w:style>
  <w:style w:type="numbering" w:styleId="111111">
    <w:name w:val="Нет списка11111"/>
    <w:qFormat/>
  </w:style>
  <w:style w:type="numbering" w:styleId="2111">
    <w:name w:val="Нет списка211"/>
    <w:qFormat/>
  </w:style>
  <w:style w:type="numbering" w:styleId="12111">
    <w:name w:val="Нет списка1211"/>
    <w:qFormat/>
  </w:style>
  <w:style w:type="numbering" w:styleId="3111">
    <w:name w:val="Нет списка311"/>
    <w:qFormat/>
  </w:style>
  <w:style w:type="numbering" w:styleId="13111">
    <w:name w:val="Нет списка1311"/>
    <w:qFormat/>
  </w:style>
  <w:style w:type="numbering" w:styleId="1121">
    <w:name w:val="Нет списка1121"/>
    <w:qFormat/>
  </w:style>
  <w:style w:type="numbering" w:styleId="21111">
    <w:name w:val="Нет списка2111"/>
    <w:qFormat/>
  </w:style>
  <w:style w:type="numbering" w:styleId="121111">
    <w:name w:val="Нет списка12111"/>
    <w:qFormat/>
  </w:style>
  <w:style w:type="numbering" w:styleId="42">
    <w:name w:val="Нет списка4"/>
    <w:qFormat/>
  </w:style>
  <w:style w:type="numbering" w:styleId="141">
    <w:name w:val="Нет списка14"/>
    <w:qFormat/>
  </w:style>
  <w:style w:type="numbering" w:styleId="113">
    <w:name w:val="Нет списка113"/>
    <w:qFormat/>
  </w:style>
  <w:style w:type="numbering" w:styleId="221">
    <w:name w:val="Нет списка22"/>
    <w:qFormat/>
  </w:style>
  <w:style w:type="numbering" w:styleId="122">
    <w:name w:val="Нет списка122"/>
    <w:qFormat/>
  </w:style>
  <w:style w:type="numbering" w:styleId="52">
    <w:name w:val="Нет списка5"/>
    <w:qFormat/>
  </w:style>
  <w:style w:type="numbering" w:styleId="151">
    <w:name w:val="Нет списка15"/>
    <w:qFormat/>
  </w:style>
  <w:style w:type="numbering" w:styleId="114">
    <w:name w:val="Нет списка114"/>
    <w:qFormat/>
  </w:style>
  <w:style w:type="numbering" w:styleId="231">
    <w:name w:val="Нет списка23"/>
    <w:qFormat/>
  </w:style>
  <w:style w:type="numbering" w:styleId="123">
    <w:name w:val="Нет списка123"/>
    <w:qFormat/>
  </w:style>
  <w:style w:type="numbering" w:styleId="61">
    <w:name w:val="Нет списка6"/>
    <w:qFormat/>
  </w:style>
  <w:style w:type="numbering" w:styleId="161">
    <w:name w:val="Нет списка16"/>
    <w:qFormat/>
  </w:style>
  <w:style w:type="numbering" w:styleId="115">
    <w:name w:val="Нет списка115"/>
    <w:qFormat/>
  </w:style>
  <w:style w:type="numbering" w:styleId="241">
    <w:name w:val="Нет списка24"/>
    <w:qFormat/>
  </w:style>
  <w:style w:type="numbering" w:styleId="124">
    <w:name w:val="Нет списка124"/>
    <w:qFormat/>
  </w:style>
  <w:style w:type="numbering" w:styleId="1111111">
    <w:name w:val="Нет списка111111"/>
    <w:qFormat/>
  </w:style>
  <w:style w:type="numbering" w:styleId="71">
    <w:name w:val="Нет списка7"/>
    <w:qFormat/>
  </w:style>
  <w:style w:type="numbering" w:styleId="171">
    <w:name w:val="Нет списка17"/>
    <w:qFormat/>
  </w:style>
  <w:style w:type="numbering" w:styleId="116">
    <w:name w:val="Нет списка116"/>
    <w:qFormat/>
  </w:style>
  <w:style w:type="numbering" w:styleId="251">
    <w:name w:val="Нет списка25"/>
    <w:qFormat/>
  </w:style>
  <w:style w:type="numbering" w:styleId="125">
    <w:name w:val="Нет списка125"/>
    <w:qFormat/>
  </w:style>
  <w:style w:type="numbering" w:styleId="1112">
    <w:name w:val="Нет списка1112"/>
    <w:qFormat/>
  </w:style>
  <w:style w:type="numbering" w:styleId="81">
    <w:name w:val="Нет списка8"/>
    <w:qFormat/>
  </w:style>
  <w:style w:type="numbering" w:styleId="181">
    <w:name w:val="Нет списка18"/>
    <w:qFormat/>
  </w:style>
  <w:style w:type="numbering" w:styleId="117">
    <w:name w:val="Нет списка117"/>
    <w:qFormat/>
  </w:style>
  <w:style w:type="numbering" w:styleId="1113">
    <w:name w:val="Нет списка1113"/>
    <w:qFormat/>
  </w:style>
  <w:style w:type="numbering" w:styleId="261">
    <w:name w:val="Нет списка26"/>
    <w:qFormat/>
  </w:style>
  <w:style w:type="numbering" w:styleId="126">
    <w:name w:val="Нет списка126"/>
    <w:qFormat/>
  </w:style>
  <w:style w:type="numbering" w:styleId="321">
    <w:name w:val="Нет списка32"/>
    <w:qFormat/>
  </w:style>
  <w:style w:type="numbering" w:styleId="132">
    <w:name w:val="Нет списка132"/>
    <w:qFormat/>
  </w:style>
  <w:style w:type="numbering" w:styleId="1122">
    <w:name w:val="Нет списка1122"/>
    <w:qFormat/>
  </w:style>
  <w:style w:type="numbering" w:styleId="2121">
    <w:name w:val="Нет списка212"/>
    <w:qFormat/>
  </w:style>
  <w:style w:type="numbering" w:styleId="1212">
    <w:name w:val="Нет списка1212"/>
    <w:qFormat/>
  </w:style>
  <w:style w:type="numbering" w:styleId="411">
    <w:name w:val="Нет списка41"/>
    <w:qFormat/>
  </w:style>
  <w:style w:type="numbering" w:styleId="1411">
    <w:name w:val="Нет списка141"/>
    <w:qFormat/>
  </w:style>
  <w:style w:type="numbering" w:styleId="1131">
    <w:name w:val="Нет списка1131"/>
    <w:qFormat/>
  </w:style>
  <w:style w:type="numbering" w:styleId="2211">
    <w:name w:val="Нет списка221"/>
    <w:qFormat/>
  </w:style>
  <w:style w:type="numbering" w:styleId="1221">
    <w:name w:val="Нет списка1221"/>
    <w:qFormat/>
  </w:style>
  <w:style w:type="numbering" w:styleId="511">
    <w:name w:val="Нет списка51"/>
    <w:qFormat/>
  </w:style>
  <w:style w:type="numbering" w:styleId="1511">
    <w:name w:val="Нет списка151"/>
    <w:qFormat/>
  </w:style>
  <w:style w:type="numbering" w:styleId="1141">
    <w:name w:val="Нет списка1141"/>
    <w:qFormat/>
  </w:style>
  <w:style w:type="numbering" w:styleId="2311">
    <w:name w:val="Нет списка231"/>
    <w:qFormat/>
  </w:style>
  <w:style w:type="numbering" w:styleId="1231">
    <w:name w:val="Нет списка1231"/>
    <w:qFormat/>
  </w:style>
  <w:style w:type="numbering" w:styleId="611">
    <w:name w:val="Нет списка61"/>
    <w:qFormat/>
  </w:style>
  <w:style w:type="numbering" w:styleId="1611">
    <w:name w:val="Нет списка161"/>
    <w:qFormat/>
  </w:style>
  <w:style w:type="numbering" w:styleId="1151">
    <w:name w:val="Нет списка1151"/>
    <w:qFormat/>
  </w:style>
  <w:style w:type="numbering" w:styleId="2411">
    <w:name w:val="Нет списка241"/>
    <w:qFormat/>
  </w:style>
  <w:style w:type="numbering" w:styleId="1241">
    <w:name w:val="Нет списка1241"/>
    <w:qFormat/>
  </w:style>
  <w:style w:type="numbering" w:styleId="11112">
    <w:name w:val="Нет списка11112"/>
    <w:qFormat/>
  </w:style>
  <w:style w:type="numbering" w:styleId="711">
    <w:name w:val="Нет списка71"/>
    <w:qFormat/>
  </w:style>
  <w:style w:type="numbering" w:styleId="1711">
    <w:name w:val="Нет списка171"/>
    <w:qFormat/>
  </w:style>
  <w:style w:type="numbering" w:styleId="1161">
    <w:name w:val="Нет списка1161"/>
    <w:qFormat/>
  </w:style>
  <w:style w:type="numbering" w:styleId="2511">
    <w:name w:val="Нет списка251"/>
    <w:qFormat/>
  </w:style>
  <w:style w:type="numbering" w:styleId="1251">
    <w:name w:val="Нет списка1251"/>
    <w:qFormat/>
  </w:style>
  <w:style w:type="numbering" w:styleId="11121">
    <w:name w:val="Нет списка11121"/>
    <w:qFormat/>
  </w:style>
  <w:style w:type="numbering" w:styleId="91">
    <w:name w:val="Нет списка9"/>
    <w:qFormat/>
  </w:style>
  <w:style w:type="numbering" w:styleId="191">
    <w:name w:val="Нет списка19"/>
    <w:qFormat/>
  </w:style>
  <w:style w:type="numbering" w:styleId="118">
    <w:name w:val="Нет списка118"/>
    <w:qFormat/>
  </w:style>
  <w:style w:type="numbering" w:styleId="1114">
    <w:name w:val="Нет списка1114"/>
    <w:qFormat/>
  </w:style>
  <w:style w:type="numbering" w:styleId="271">
    <w:name w:val="Нет списка27"/>
    <w:qFormat/>
  </w:style>
  <w:style w:type="numbering" w:styleId="127">
    <w:name w:val="Нет списка127"/>
    <w:qFormat/>
  </w:style>
  <w:style w:type="numbering" w:styleId="331">
    <w:name w:val="Нет списка33"/>
    <w:qFormat/>
  </w:style>
  <w:style w:type="numbering" w:styleId="133">
    <w:name w:val="Нет списка133"/>
    <w:qFormat/>
  </w:style>
  <w:style w:type="numbering" w:styleId="1123">
    <w:name w:val="Нет списка1123"/>
    <w:qFormat/>
  </w:style>
  <w:style w:type="numbering" w:styleId="2131">
    <w:name w:val="Нет списка213"/>
    <w:qFormat/>
  </w:style>
  <w:style w:type="numbering" w:styleId="1213">
    <w:name w:val="Нет списка1213"/>
    <w:qFormat/>
  </w:style>
  <w:style w:type="numbering" w:styleId="421">
    <w:name w:val="Нет списка42"/>
    <w:qFormat/>
  </w:style>
  <w:style w:type="numbering" w:styleId="142">
    <w:name w:val="Нет списка142"/>
    <w:qFormat/>
  </w:style>
  <w:style w:type="numbering" w:styleId="1132">
    <w:name w:val="Нет списка1132"/>
    <w:qFormat/>
  </w:style>
  <w:style w:type="numbering" w:styleId="222">
    <w:name w:val="Нет списка222"/>
    <w:qFormat/>
  </w:style>
  <w:style w:type="numbering" w:styleId="1222">
    <w:name w:val="Нет списка1222"/>
    <w:qFormat/>
  </w:style>
  <w:style w:type="numbering" w:styleId="521">
    <w:name w:val="Нет списка52"/>
    <w:qFormat/>
  </w:style>
  <w:style w:type="numbering" w:styleId="152">
    <w:name w:val="Нет списка152"/>
    <w:qFormat/>
  </w:style>
  <w:style w:type="numbering" w:styleId="1142">
    <w:name w:val="Нет списка1142"/>
    <w:qFormat/>
  </w:style>
  <w:style w:type="numbering" w:styleId="232">
    <w:name w:val="Нет списка232"/>
    <w:qFormat/>
  </w:style>
  <w:style w:type="numbering" w:styleId="1232">
    <w:name w:val="Нет списка1232"/>
    <w:qFormat/>
  </w:style>
  <w:style w:type="numbering" w:styleId="62">
    <w:name w:val="Нет списка62"/>
    <w:qFormat/>
  </w:style>
  <w:style w:type="numbering" w:styleId="162">
    <w:name w:val="Нет списка162"/>
    <w:qFormat/>
  </w:style>
  <w:style w:type="numbering" w:styleId="1152">
    <w:name w:val="Нет списка1152"/>
    <w:qFormat/>
  </w:style>
  <w:style w:type="numbering" w:styleId="242">
    <w:name w:val="Нет списка242"/>
    <w:qFormat/>
  </w:style>
  <w:style w:type="numbering" w:styleId="1242">
    <w:name w:val="Нет списка1242"/>
    <w:qFormat/>
  </w:style>
  <w:style w:type="numbering" w:styleId="11113">
    <w:name w:val="Нет списка11113"/>
    <w:qFormat/>
  </w:style>
  <w:style w:type="numbering" w:styleId="72">
    <w:name w:val="Нет списка72"/>
    <w:qFormat/>
  </w:style>
  <w:style w:type="numbering" w:styleId="172">
    <w:name w:val="Нет списка172"/>
    <w:qFormat/>
  </w:style>
  <w:style w:type="numbering" w:styleId="1162">
    <w:name w:val="Нет списка1162"/>
    <w:qFormat/>
  </w:style>
  <w:style w:type="numbering" w:styleId="252">
    <w:name w:val="Нет списка252"/>
    <w:qFormat/>
  </w:style>
  <w:style w:type="numbering" w:styleId="1252">
    <w:name w:val="Нет списка1252"/>
    <w:qFormat/>
  </w:style>
  <w:style w:type="numbering" w:styleId="11122">
    <w:name w:val="Нет списка11122"/>
    <w:qFormat/>
  </w:style>
  <w:style w:type="numbering" w:styleId="10">
    <w:name w:val="Нет списка10"/>
    <w:qFormat/>
  </w:style>
  <w:style w:type="numbering" w:styleId="1101">
    <w:name w:val="Нет списка110"/>
    <w:qFormat/>
  </w:style>
  <w:style w:type="numbering" w:styleId="119">
    <w:name w:val="Нет списка119"/>
    <w:qFormat/>
  </w:style>
  <w:style w:type="numbering" w:styleId="1115">
    <w:name w:val="Нет списка1115"/>
    <w:qFormat/>
  </w:style>
  <w:style w:type="numbering" w:styleId="281">
    <w:name w:val="Нет списка28"/>
    <w:qFormat/>
  </w:style>
  <w:style w:type="numbering" w:styleId="128">
    <w:name w:val="Нет списка128"/>
    <w:qFormat/>
  </w:style>
  <w:style w:type="numbering" w:styleId="341">
    <w:name w:val="Нет списка34"/>
    <w:qFormat/>
  </w:style>
  <w:style w:type="numbering" w:styleId="134">
    <w:name w:val="Нет списка134"/>
    <w:qFormat/>
  </w:style>
  <w:style w:type="numbering" w:styleId="1124">
    <w:name w:val="Нет списка1124"/>
    <w:qFormat/>
  </w:style>
  <w:style w:type="numbering" w:styleId="214">
    <w:name w:val="Нет списка214"/>
    <w:qFormat/>
  </w:style>
  <w:style w:type="numbering" w:styleId="1214">
    <w:name w:val="Нет списка1214"/>
    <w:qFormat/>
  </w:style>
  <w:style w:type="numbering" w:styleId="43">
    <w:name w:val="Нет списка43"/>
    <w:qFormat/>
  </w:style>
  <w:style w:type="numbering" w:styleId="143">
    <w:name w:val="Нет списка143"/>
    <w:qFormat/>
  </w:style>
  <w:style w:type="numbering" w:styleId="1133">
    <w:name w:val="Нет списка1133"/>
    <w:qFormat/>
  </w:style>
  <w:style w:type="numbering" w:styleId="223">
    <w:name w:val="Нет списка223"/>
    <w:qFormat/>
  </w:style>
  <w:style w:type="numbering" w:styleId="1223">
    <w:name w:val="Нет списка1223"/>
    <w:qFormat/>
  </w:style>
  <w:style w:type="numbering" w:styleId="53">
    <w:name w:val="Нет списка53"/>
    <w:qFormat/>
  </w:style>
  <w:style w:type="numbering" w:styleId="153">
    <w:name w:val="Нет списка153"/>
    <w:qFormat/>
  </w:style>
  <w:style w:type="numbering" w:styleId="1143">
    <w:name w:val="Нет списка1143"/>
    <w:qFormat/>
  </w:style>
  <w:style w:type="numbering" w:styleId="233">
    <w:name w:val="Нет списка233"/>
    <w:qFormat/>
  </w:style>
  <w:style w:type="numbering" w:styleId="1233">
    <w:name w:val="Нет списка1233"/>
    <w:qFormat/>
  </w:style>
  <w:style w:type="numbering" w:styleId="63">
    <w:name w:val="Нет списка63"/>
    <w:qFormat/>
  </w:style>
  <w:style w:type="numbering" w:styleId="163">
    <w:name w:val="Нет списка163"/>
    <w:qFormat/>
  </w:style>
  <w:style w:type="numbering" w:styleId="1153">
    <w:name w:val="Нет списка1153"/>
    <w:qFormat/>
  </w:style>
  <w:style w:type="numbering" w:styleId="243">
    <w:name w:val="Нет списка243"/>
    <w:qFormat/>
  </w:style>
  <w:style w:type="numbering" w:styleId="1243">
    <w:name w:val="Нет списка1243"/>
    <w:qFormat/>
  </w:style>
  <w:style w:type="numbering" w:styleId="11114">
    <w:name w:val="Нет списка11114"/>
    <w:qFormat/>
  </w:style>
  <w:style w:type="numbering" w:styleId="31111">
    <w:name w:val="Нет списка3111"/>
    <w:qFormat/>
  </w:style>
  <w:style w:type="numbering" w:styleId="131111">
    <w:name w:val="Нет списка13111"/>
    <w:qFormat/>
  </w:style>
  <w:style w:type="numbering" w:styleId="11211">
    <w:name w:val="Нет списка11211"/>
    <w:qFormat/>
  </w:style>
  <w:style w:type="numbering" w:styleId="11111111">
    <w:name w:val="Нет списка1111111"/>
    <w:qFormat/>
  </w:style>
  <w:style w:type="numbering" w:styleId="211111">
    <w:name w:val="Нет списка21111"/>
    <w:qFormat/>
  </w:style>
  <w:style w:type="numbering" w:styleId="1211111">
    <w:name w:val="Нет списка121111"/>
    <w:qFormat/>
  </w:style>
  <w:style w:type="numbering" w:styleId="311111">
    <w:name w:val="Нет списка31111"/>
    <w:qFormat/>
  </w:style>
  <w:style w:type="numbering" w:styleId="1311111">
    <w:name w:val="Нет списка131111"/>
    <w:qFormat/>
  </w:style>
  <w:style w:type="numbering" w:styleId="112111">
    <w:name w:val="Нет списка112111"/>
    <w:qFormat/>
  </w:style>
  <w:style w:type="numbering" w:styleId="2111111">
    <w:name w:val="Нет списка211111"/>
    <w:qFormat/>
  </w:style>
  <w:style w:type="numbering" w:styleId="12111111">
    <w:name w:val="Нет списка1211111"/>
    <w:qFormat/>
  </w:style>
  <w:style w:type="numbering" w:styleId="4111">
    <w:name w:val="Нет списка411"/>
    <w:qFormat/>
  </w:style>
  <w:style w:type="numbering" w:styleId="14111">
    <w:name w:val="Нет списка1411"/>
    <w:qFormat/>
  </w:style>
  <w:style w:type="numbering" w:styleId="11311">
    <w:name w:val="Нет списка11311"/>
    <w:qFormat/>
  </w:style>
  <w:style w:type="numbering" w:styleId="22111">
    <w:name w:val="Нет списка2211"/>
    <w:qFormat/>
  </w:style>
  <w:style w:type="numbering" w:styleId="12211">
    <w:name w:val="Нет списка12211"/>
    <w:qFormat/>
  </w:style>
  <w:style w:type="numbering" w:styleId="5111">
    <w:name w:val="Нет списка511"/>
    <w:qFormat/>
  </w:style>
  <w:style w:type="numbering" w:styleId="15111">
    <w:name w:val="Нет списка1511"/>
    <w:qFormat/>
  </w:style>
  <w:style w:type="numbering" w:styleId="11411">
    <w:name w:val="Нет списка11411"/>
    <w:qFormat/>
  </w:style>
  <w:style w:type="numbering" w:styleId="23111">
    <w:name w:val="Нет списка2311"/>
    <w:qFormat/>
  </w:style>
  <w:style w:type="numbering" w:styleId="12311">
    <w:name w:val="Нет списка12311"/>
    <w:qFormat/>
  </w:style>
  <w:style w:type="numbering" w:styleId="6111">
    <w:name w:val="Нет списка611"/>
    <w:qFormat/>
  </w:style>
  <w:style w:type="numbering" w:styleId="16111">
    <w:name w:val="Нет списка1611"/>
    <w:qFormat/>
  </w:style>
  <w:style w:type="numbering" w:styleId="11511">
    <w:name w:val="Нет списка11511"/>
    <w:qFormat/>
  </w:style>
  <w:style w:type="numbering" w:styleId="24111">
    <w:name w:val="Нет списка2411"/>
    <w:qFormat/>
  </w:style>
  <w:style w:type="numbering" w:styleId="12411">
    <w:name w:val="Нет списка12411"/>
    <w:qFormat/>
  </w:style>
  <w:style w:type="numbering" w:styleId="111111111">
    <w:name w:val="Нет списка11111111"/>
    <w:qFormat/>
  </w:style>
  <w:style w:type="numbering" w:styleId="73">
    <w:name w:val="Нет списка73"/>
    <w:qFormat/>
  </w:style>
  <w:style w:type="numbering" w:styleId="173">
    <w:name w:val="Нет списка173"/>
    <w:qFormat/>
  </w:style>
  <w:style w:type="numbering" w:styleId="1163">
    <w:name w:val="Нет списка1163"/>
    <w:qFormat/>
  </w:style>
  <w:style w:type="numbering" w:styleId="253">
    <w:name w:val="Нет списка253"/>
    <w:qFormat/>
  </w:style>
  <w:style w:type="numbering" w:styleId="1253">
    <w:name w:val="Нет списка1253"/>
    <w:qFormat/>
  </w:style>
  <w:style w:type="numbering" w:styleId="11123">
    <w:name w:val="Нет списка11123"/>
    <w:qFormat/>
  </w:style>
  <w:style w:type="numbering" w:styleId="811">
    <w:name w:val="Нет списка81"/>
    <w:qFormat/>
  </w:style>
  <w:style w:type="numbering" w:styleId="1811">
    <w:name w:val="Нет списка181"/>
    <w:qFormat/>
  </w:style>
  <w:style w:type="numbering" w:styleId="1171">
    <w:name w:val="Нет списка1171"/>
    <w:qFormat/>
  </w:style>
  <w:style w:type="numbering" w:styleId="11131">
    <w:name w:val="Нет списка11131"/>
    <w:qFormat/>
  </w:style>
  <w:style w:type="numbering" w:styleId="2611">
    <w:name w:val="Нет списка261"/>
    <w:qFormat/>
  </w:style>
  <w:style w:type="numbering" w:styleId="1261">
    <w:name w:val="Нет списка1261"/>
    <w:qFormat/>
  </w:style>
  <w:style w:type="numbering" w:styleId="3211">
    <w:name w:val="Нет списка321"/>
    <w:qFormat/>
  </w:style>
  <w:style w:type="numbering" w:styleId="1321">
    <w:name w:val="Нет списка1321"/>
    <w:qFormat/>
  </w:style>
  <w:style w:type="numbering" w:styleId="11221">
    <w:name w:val="Нет списка11221"/>
    <w:qFormat/>
  </w:style>
  <w:style w:type="numbering" w:styleId="21211">
    <w:name w:val="Нет списка2121"/>
    <w:qFormat/>
  </w:style>
  <w:style w:type="numbering" w:styleId="12121">
    <w:name w:val="Нет списка12121"/>
    <w:qFormat/>
  </w:style>
  <w:style w:type="numbering" w:styleId="41111">
    <w:name w:val="Нет списка4111"/>
    <w:qFormat/>
  </w:style>
  <w:style w:type="numbering" w:styleId="141111">
    <w:name w:val="Нет списка14111"/>
    <w:qFormat/>
  </w:style>
  <w:style w:type="numbering" w:styleId="113111">
    <w:name w:val="Нет списка113111"/>
    <w:qFormat/>
  </w:style>
  <w:style w:type="numbering" w:styleId="221111">
    <w:name w:val="Нет списка22111"/>
    <w:qFormat/>
  </w:style>
  <w:style w:type="numbering" w:styleId="122111">
    <w:name w:val="Нет списка122111"/>
    <w:qFormat/>
  </w:style>
  <w:style w:type="numbering" w:styleId="51111">
    <w:name w:val="Нет списка5111"/>
    <w:qFormat/>
  </w:style>
  <w:style w:type="numbering" w:styleId="151111">
    <w:name w:val="Нет списка15111"/>
    <w:qFormat/>
  </w:style>
  <w:style w:type="numbering" w:styleId="114111">
    <w:name w:val="Нет списка114111"/>
    <w:qFormat/>
  </w:style>
  <w:style w:type="numbering" w:styleId="231111">
    <w:name w:val="Нет списка23111"/>
    <w:qFormat/>
  </w:style>
  <w:style w:type="numbering" w:styleId="123111">
    <w:name w:val="Нет списка123111"/>
    <w:qFormat/>
  </w:style>
  <w:style w:type="numbering" w:styleId="61111">
    <w:name w:val="Нет списка6111"/>
    <w:qFormat/>
  </w:style>
  <w:style w:type="numbering" w:styleId="161111">
    <w:name w:val="Нет списка16111"/>
    <w:qFormat/>
  </w:style>
  <w:style w:type="numbering" w:styleId="115111">
    <w:name w:val="Нет списка115111"/>
    <w:qFormat/>
  </w:style>
  <w:style w:type="numbering" w:styleId="241111">
    <w:name w:val="Нет списка24111"/>
    <w:qFormat/>
  </w:style>
  <w:style w:type="numbering" w:styleId="124111">
    <w:name w:val="Нет списка124111"/>
    <w:qFormat/>
  </w:style>
  <w:style w:type="numbering" w:styleId="111121">
    <w:name w:val="Нет списка111121"/>
    <w:qFormat/>
  </w:style>
  <w:style w:type="numbering" w:styleId="7111">
    <w:name w:val="Нет списка711"/>
    <w:qFormat/>
  </w:style>
  <w:style w:type="numbering" w:styleId="17111">
    <w:name w:val="Нет списка1711"/>
    <w:qFormat/>
  </w:style>
  <w:style w:type="numbering" w:styleId="11611">
    <w:name w:val="Нет списка11611"/>
    <w:qFormat/>
  </w:style>
  <w:style w:type="numbering" w:styleId="25111">
    <w:name w:val="Нет списка2511"/>
    <w:qFormat/>
  </w:style>
  <w:style w:type="numbering" w:styleId="12511">
    <w:name w:val="Нет списка12511"/>
    <w:qFormat/>
  </w:style>
  <w:style w:type="numbering" w:styleId="111211">
    <w:name w:val="Нет списка111211"/>
    <w:qFormat/>
  </w:style>
  <w:style w:type="numbering" w:styleId="911">
    <w:name w:val="Нет списка91"/>
    <w:qFormat/>
  </w:style>
  <w:style w:type="numbering" w:styleId="1911">
    <w:name w:val="Нет списка191"/>
    <w:qFormat/>
  </w:style>
  <w:style w:type="numbering" w:styleId="1181">
    <w:name w:val="Нет списка1181"/>
    <w:qFormat/>
  </w:style>
  <w:style w:type="numbering" w:styleId="11141">
    <w:name w:val="Нет списка11141"/>
    <w:qFormat/>
  </w:style>
  <w:style w:type="numbering" w:styleId="2711">
    <w:name w:val="Нет списка271"/>
    <w:qFormat/>
  </w:style>
  <w:style w:type="numbering" w:styleId="1271">
    <w:name w:val="Нет списка1271"/>
    <w:qFormat/>
  </w:style>
  <w:style w:type="numbering" w:styleId="3311">
    <w:name w:val="Нет списка331"/>
    <w:qFormat/>
  </w:style>
  <w:style w:type="numbering" w:styleId="1331">
    <w:name w:val="Нет списка1331"/>
    <w:qFormat/>
  </w:style>
  <w:style w:type="numbering" w:styleId="11231">
    <w:name w:val="Нет списка11231"/>
    <w:qFormat/>
  </w:style>
  <w:style w:type="numbering" w:styleId="21311">
    <w:name w:val="Нет списка2131"/>
    <w:qFormat/>
  </w:style>
  <w:style w:type="numbering" w:styleId="12131">
    <w:name w:val="Нет списка12131"/>
    <w:qFormat/>
  </w:style>
  <w:style w:type="numbering" w:styleId="4211">
    <w:name w:val="Нет списка421"/>
    <w:qFormat/>
  </w:style>
  <w:style w:type="numbering" w:styleId="1421">
    <w:name w:val="Нет списка1421"/>
    <w:qFormat/>
  </w:style>
  <w:style w:type="numbering" w:styleId="11321">
    <w:name w:val="Нет списка11321"/>
    <w:qFormat/>
  </w:style>
  <w:style w:type="numbering" w:styleId="2221">
    <w:name w:val="Нет списка2221"/>
    <w:qFormat/>
  </w:style>
  <w:style w:type="numbering" w:styleId="12221">
    <w:name w:val="Нет списка12221"/>
    <w:qFormat/>
  </w:style>
  <w:style w:type="numbering" w:styleId="5211">
    <w:name w:val="Нет списка521"/>
    <w:qFormat/>
  </w:style>
  <w:style w:type="numbering" w:styleId="1521">
    <w:name w:val="Нет списка1521"/>
    <w:qFormat/>
  </w:style>
  <w:style w:type="numbering" w:styleId="11421">
    <w:name w:val="Нет списка11421"/>
    <w:qFormat/>
  </w:style>
  <w:style w:type="numbering" w:styleId="2321">
    <w:name w:val="Нет списка2321"/>
    <w:qFormat/>
  </w:style>
  <w:style w:type="numbering" w:styleId="12321">
    <w:name w:val="Нет списка12321"/>
    <w:qFormat/>
  </w:style>
  <w:style w:type="numbering" w:styleId="621">
    <w:name w:val="Нет списка621"/>
    <w:qFormat/>
  </w:style>
  <w:style w:type="numbering" w:styleId="1621">
    <w:name w:val="Нет списка1621"/>
    <w:qFormat/>
  </w:style>
  <w:style w:type="numbering" w:styleId="11521">
    <w:name w:val="Нет списка11521"/>
    <w:qFormat/>
  </w:style>
  <w:style w:type="numbering" w:styleId="2421">
    <w:name w:val="Нет списка2421"/>
    <w:qFormat/>
  </w:style>
  <w:style w:type="numbering" w:styleId="12421">
    <w:name w:val="Нет списка12421"/>
    <w:qFormat/>
  </w:style>
  <w:style w:type="numbering" w:styleId="111131">
    <w:name w:val="Нет списка111131"/>
    <w:qFormat/>
  </w:style>
  <w:style w:type="numbering" w:styleId="721">
    <w:name w:val="Нет списка721"/>
    <w:qFormat/>
  </w:style>
  <w:style w:type="numbering" w:styleId="1721">
    <w:name w:val="Нет списка1721"/>
    <w:qFormat/>
  </w:style>
  <w:style w:type="numbering" w:styleId="11621">
    <w:name w:val="Нет списка11621"/>
    <w:qFormat/>
  </w:style>
  <w:style w:type="numbering" w:styleId="2521">
    <w:name w:val="Нет списка2521"/>
    <w:qFormat/>
  </w:style>
  <w:style w:type="numbering" w:styleId="12521">
    <w:name w:val="Нет списка12521"/>
    <w:qFormat/>
  </w:style>
  <w:style w:type="numbering" w:styleId="111221">
    <w:name w:val="Нет списка111221"/>
    <w:qFormat/>
  </w:style>
  <w:style w:type="numbering" w:styleId="34305100621">
    <w:name w:val="343051006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Application>AlterOffice/2026.2.0.0$Linux_X86_64 LibreOffice_project/bc4ef1adf80b36c7a6365f8ed6cbf29021361edd</Application>
  <AppVersion>15.0000</AppVersion>
  <Pages>9</Pages>
  <Words>1260</Words>
  <Characters>8378</Characters>
  <CharactersWithSpaces>9527</CharactersWithSpaces>
  <Paragraphs>151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2024-01-25T10:23:00Z</dcterms:created>
  <dc:creator>Быстров Олег Геннадьевич</dc:creator>
  <dc:description/>
  <dc:language>ru-RU</dc:language>
  <cp:lastModifiedBy>petrovai@corp.gidroogk.com</cp:lastModifiedBy>
  <cp:lastPrinted>2026-06-29T09:47:04Z</cp:lastPrinted>
  <dcterms:modified xsi:type="dcterms:W3CDTF">2026-09-18T16:02:59Z</dcterms:modified>
  <cp:revision>95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