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/>
        </w:rPr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4" wp14:anchorId="7774C7C5">
                <wp:simplePos x="0" y="0"/>
                <wp:positionH relativeFrom="column">
                  <wp:posOffset>158115</wp:posOffset>
                </wp:positionH>
                <wp:positionV relativeFrom="paragraph">
                  <wp:posOffset>2504440</wp:posOffset>
                </wp:positionV>
                <wp:extent cx="800100" cy="133350"/>
                <wp:effectExtent l="0" t="0" r="0" b="0"/>
                <wp:wrapNone/>
                <wp:docPr id="1" name="Text Box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28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3" path="m0,0l-2147483645,0l-2147483645,-2147483646l0,-2147483646xe" stroked="f" o:allowincell="f" style="position:absolute;margin-left:12.45pt;margin-top:197.2pt;width:62.95pt;height:10.45pt;mso-wrap-style:none;v-text-anchor:middle" wp14:anchorId="7774C7C5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6" wp14:anchorId="720EC4AF">
                <wp:simplePos x="0" y="0"/>
                <wp:positionH relativeFrom="column">
                  <wp:posOffset>306070</wp:posOffset>
                </wp:positionH>
                <wp:positionV relativeFrom="paragraph">
                  <wp:posOffset>2687320</wp:posOffset>
                </wp:positionV>
                <wp:extent cx="712470" cy="133350"/>
                <wp:effectExtent l="0" t="0" r="0" b="0"/>
                <wp:wrapNone/>
                <wp:docPr id="3" name="Text Box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244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6"/>
                              </w:rPr>
                              <w:softHyphen/>
                              <w:softHyphen/>
                              <w:softHyphen/>
                              <w:softHyphen/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4" path="m0,0l-2147483645,0l-2147483645,-2147483646l0,-2147483646xe" stroked="f" o:allowincell="f" style="position:absolute;margin-left:24.1pt;margin-top:211.6pt;width:56.05pt;height:10.45pt;mso-wrap-style:square;v-text-anchor:top" wp14:anchorId="720EC4AF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6"/>
                        </w:rPr>
                        <w:softHyphen/>
                        <w:softHyphen/>
                        <w:softHyphen/>
                        <w:softHyphen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8" wp14:anchorId="767CEF16">
                <wp:simplePos x="0" y="0"/>
                <wp:positionH relativeFrom="column">
                  <wp:posOffset>1224280</wp:posOffset>
                </wp:positionH>
                <wp:positionV relativeFrom="paragraph">
                  <wp:posOffset>2505710</wp:posOffset>
                </wp:positionV>
                <wp:extent cx="828040" cy="133350"/>
                <wp:effectExtent l="0" t="0" r="0" b="0"/>
                <wp:wrapNone/>
                <wp:docPr id="5" name="Text Box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5" path="m0,0l-2147483645,0l-2147483645,-2147483646l0,-2147483646xe" stroked="f" o:allowincell="f" style="position:absolute;margin-left:96.4pt;margin-top:197.3pt;width:65.15pt;height:10.45pt;mso-wrap-style:none;v-text-anchor:middle" wp14:anchorId="767CEF16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635" distB="0" distL="635" distR="0" simplePos="0" locked="0" layoutInCell="0" allowOverlap="1" relativeHeight="10" wp14:anchorId="23C48F64">
                <wp:simplePos x="0" y="0"/>
                <wp:positionH relativeFrom="column">
                  <wp:posOffset>3452495</wp:posOffset>
                </wp:positionH>
                <wp:positionV relativeFrom="paragraph">
                  <wp:posOffset>62230</wp:posOffset>
                </wp:positionV>
                <wp:extent cx="2352675" cy="2510155"/>
                <wp:effectExtent l="635" t="635" r="0" b="0"/>
                <wp:wrapNone/>
                <wp:docPr id="7" name="Text Box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2600" cy="2510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jc w:val="right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jc w:val="right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 xml:space="preserve">Потенциальным </w:t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 xml:space="preserve">поставщикам    </w:t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продукции</w:t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       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6" path="m0,0l-2147483645,0l-2147483645,-2147483646l0,-2147483646xe" fillcolor="white" stroked="f" o:allowincell="f" style="position:absolute;margin-left:271.85pt;margin-top:4.9pt;width:185.2pt;height:197.6pt;mso-wrap-style:square;v-text-anchor:top" wp14:anchorId="23C48F64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jc w:val="right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spacing w:lineRule="auto" w:line="360"/>
                        <w:jc w:val="right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spacing w:lineRule="auto" w:line="360"/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 xml:space="preserve">Потенциальным </w:t>
                      </w:r>
                    </w:p>
                    <w:p>
                      <w:pPr>
                        <w:pStyle w:val="Style14"/>
                        <w:spacing w:lineRule="auto" w:line="360"/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 xml:space="preserve">поставщикам    </w:t>
                      </w:r>
                    </w:p>
                    <w:p>
                      <w:pPr>
                        <w:pStyle w:val="Style14"/>
                        <w:spacing w:lineRule="auto" w:line="360"/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>продукции</w:t>
                      </w:r>
                    </w:p>
                    <w:p>
                      <w:pPr>
                        <w:pStyle w:val="Style14"/>
                        <w:spacing w:lineRule="auto" w:line="360"/>
                        <w:jc w:val="right"/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Style14"/>
                        <w:spacing w:lineRule="auto" w:line="360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  <w:t xml:space="preserve">        </w:t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2" wp14:anchorId="767CEF16">
                <wp:simplePos x="0" y="0"/>
                <wp:positionH relativeFrom="column">
                  <wp:posOffset>1220470</wp:posOffset>
                </wp:positionH>
                <wp:positionV relativeFrom="paragraph">
                  <wp:posOffset>2675890</wp:posOffset>
                </wp:positionV>
                <wp:extent cx="828040" cy="133350"/>
                <wp:effectExtent l="0" t="0" r="0" b="0"/>
                <wp:wrapNone/>
                <wp:docPr id="9" name="Text Box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1" path="m0,0l-2147483645,0l-2147483645,-2147483646l0,-2147483646xe" stroked="f" o:allowincell="f" style="position:absolute;margin-left:96.1pt;margin-top:210.7pt;width:65.15pt;height:10.45pt;mso-wrap-style:none;v-text-anchor:middle" wp14:anchorId="767CEF16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w:drawing>
          <wp:inline distT="0" distB="0" distL="0" distR="0">
            <wp:extent cx="2514600" cy="2837180"/>
            <wp:effectExtent l="0" t="0" r="0" b="0"/>
            <wp:docPr id="11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83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b w:val="false"/>
          <w:bCs w:val="false"/>
        </w:rPr>
      </w:pPr>
      <w:r>
        <w:rPr>
          <w:rFonts w:eastAsia="Times New Roman" w:ascii="Times New Roman" w:hAnsi="Times New Roman"/>
          <w:b w:val="false"/>
          <w:bCs w:val="false"/>
          <w:iCs/>
          <w:sz w:val="24"/>
          <w:szCs w:val="24"/>
        </w:rPr>
        <w:t>Уважаемые господа!</w:t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 w:eastAsia="Times New Roman"/>
          <w:b/>
          <w:bCs/>
          <w:iCs/>
          <w:sz w:val="24"/>
          <w:szCs w:val="24"/>
        </w:rPr>
      </w:pPr>
      <w:r>
        <w:rPr>
          <w:rFonts w:eastAsia="Times New Roman" w:ascii="Times New Roman" w:hAnsi="Times New Roman"/>
          <w:b/>
          <w:bCs/>
          <w:iCs/>
          <w:sz w:val="24"/>
          <w:szCs w:val="24"/>
        </w:rPr>
      </w:r>
    </w:p>
    <w:p>
      <w:pPr>
        <w:pStyle w:val="Normal"/>
        <w:ind w:firstLine="720"/>
        <w:jc w:val="both"/>
        <w:rPr>
          <w:rFonts w:ascii="Times New Roman" w:hAnsi="Times New Roman" w:eastAsia="Geneva"/>
          <w:sz w:val="24"/>
          <w:szCs w:val="24"/>
          <w:lang w:val="ru-RU" w:eastAsia="en-US"/>
        </w:rPr>
      </w:pPr>
      <w:r>
        <w:rPr>
          <w:rStyle w:val="Style10"/>
          <w:rFonts w:eastAsia="Times New Roman" w:ascii="Times New Roman" w:hAnsi="Times New Roman"/>
          <w:b w:val="false"/>
          <w:bCs w:val="false"/>
          <w:iCs/>
          <w:sz w:val="24"/>
          <w:szCs w:val="24"/>
          <w:lang w:val="ru-RU" w:eastAsia="ru-RU"/>
        </w:rPr>
        <w:t xml:space="preserve">ПАО «Якутскэнерго» в лице филиала Каскад Вилюйских ГЭС им.Е.Н.Батенчука (далее – Заказчик) сообщает о проведении мониторнига цен для </w:t>
      </w:r>
      <w:r>
        <w:rPr>
          <w:rStyle w:val="Style10"/>
          <w:rFonts w:eastAsia="Geneva" w:ascii="Times New Roman" w:hAnsi="Times New Roman"/>
          <w:b w:val="false"/>
          <w:bCs w:val="false"/>
          <w:iCs/>
          <w:sz w:val="24"/>
          <w:szCs w:val="24"/>
          <w:lang w:val="ru-RU" w:eastAsia="en-US"/>
        </w:rPr>
        <w:t xml:space="preserve">планирования закупок продукции на 2027 год, </w:t>
      </w:r>
    </w:p>
    <w:p>
      <w:pPr>
        <w:pStyle w:val="Normal"/>
        <w:ind w:firstLine="720"/>
        <w:jc w:val="both"/>
        <w:rPr/>
      </w:pPr>
      <w:r>
        <w:rPr>
          <w:rStyle w:val="Style10"/>
          <w:rFonts w:eastAsia="Geneva" w:ascii="Times New Roman" w:hAnsi="Times New Roman"/>
          <w:b w:val="false"/>
          <w:bCs w:val="false"/>
          <w:iCs/>
          <w:sz w:val="24"/>
          <w:szCs w:val="24"/>
          <w:lang w:val="ru-RU" w:eastAsia="en-US"/>
        </w:rPr>
        <w:t>в</w:t>
      </w:r>
      <w:r>
        <w:rPr>
          <w:rFonts w:eastAsia="Geneva" w:ascii="Times New Roman" w:hAnsi="Times New Roman"/>
          <w:sz w:val="24"/>
          <w:szCs w:val="24"/>
          <w:lang w:val="ru-RU" w:eastAsia="en-US"/>
        </w:rPr>
        <w:t xml:space="preserve"> связи с чем приглашает юридических лиц и индивидуальных предпринимателей, являющихся потенциальными поставщиками продукции (далее – Поставщики), подавать свои предложения </w:t>
      </w:r>
      <w:r>
        <w:rPr>
          <w:rFonts w:ascii="Times New Roman" w:hAnsi="Times New Roman"/>
          <w:sz w:val="24"/>
          <w:szCs w:val="24"/>
          <w:lang w:val="ru-RU"/>
        </w:rPr>
        <w:t>по лоту «</w:t>
      </w:r>
      <w:r>
        <w:rPr>
          <w:rFonts w:eastAsia="Geneva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  <w:lang w:val="ru-RU" w:eastAsia="en-US"/>
        </w:rPr>
        <w:t>О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КПД2 31.01.11.150 Поставка мебели офисной для Каскада Вилюйских ГЭС им.Е.Н. Батенчука в рамках эксплуатационных расходов</w:t>
      </w:r>
      <w:r>
        <w:rPr>
          <w:rFonts w:eastAsia="Geneva" w:ascii="Times New Roman" w:hAnsi="Times New Roman"/>
          <w:sz w:val="24"/>
          <w:szCs w:val="24"/>
          <w:lang w:val="ru-RU" w:eastAsia="en-US"/>
        </w:rPr>
        <w:t>»:</w:t>
      </w:r>
    </w:p>
    <w:p>
      <w:pPr>
        <w:pStyle w:val="Normal"/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</w:r>
    </w:p>
    <w:tbl>
      <w:tblPr>
        <w:tblW w:w="9937" w:type="dxa"/>
        <w:jc w:val="center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563"/>
        <w:gridCol w:w="3537"/>
        <w:gridCol w:w="625"/>
        <w:gridCol w:w="738"/>
        <w:gridCol w:w="2623"/>
        <w:gridCol w:w="1850"/>
      </w:tblGrid>
      <w:tr>
        <w:trPr>
          <w:trHeight w:val="576" w:hRule="atLeast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№ </w:t>
            </w: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п/п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Наименование</w:t>
            </w:r>
          </w:p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продукции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Ед.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изм.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Кол-во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 </w:t>
            </w: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ОКПД2/ расшифровка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  <w:lang w:val="ru-RU"/>
              </w:rPr>
              <w:t>Применение законодательства о национальном режиме</w:t>
            </w:r>
          </w:p>
        </w:tc>
      </w:tr>
      <w:tr>
        <w:trPr>
          <w:trHeight w:val="1068" w:hRule="atLeast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Стол офисный ЛТС9-14L_ЛТ2\ 3_ЛТ2-40 1400х1300х750мм бук левый с тумбой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shd w:fill="auto" w:val="clear"/>
              </w:rPr>
              <w:t>2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fill="auto" w:val="clear"/>
                <w:lang w:val="ru-RU"/>
              </w:rPr>
              <w:t xml:space="preserve">31.01.12.110/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  <w:shd w:fill="auto" w:val="clear"/>
                <w:lang w:val="ru-RU"/>
              </w:rPr>
              <w:t>Столы письменные деревянные для офисов, административных помещений</w:t>
            </w:r>
          </w:p>
        </w:tc>
        <w:tc>
          <w:tcPr>
            <w:tcW w:w="1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8"/>
              <w:widowControl w:val="false"/>
              <w:suppressAutoHyphens w:val="true"/>
              <w:spacing w:lineRule="exact" w:line="198"/>
              <w:ind w:left="0" w:right="29" w:hanging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</w:rPr>
              <w:t>Установлен режим ограничения закупок товаров, происходящих из иностранных государств</w:t>
            </w:r>
          </w:p>
        </w:tc>
      </w:tr>
      <w:tr>
        <w:trPr>
          <w:trHeight w:val="567" w:hRule="atLeast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Стол офисный ЛТС9-14R_ЛТ2\ 3_ЛТ2-40 1400х1300х750мм бук с тумбой правый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shd w:fill="auto" w:val="clear"/>
              </w:rPr>
              <w:t>4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fill="auto" w:val="clear"/>
                <w:lang w:val="ru-RU"/>
              </w:rPr>
              <w:t xml:space="preserve">31.01.12.110/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  <w:shd w:fill="auto" w:val="clear"/>
                <w:lang w:val="ru-RU"/>
              </w:rPr>
              <w:t>Столы письменные деревянные для офисов, административных помещений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616" w:hRule="atLeast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Стол офисный угловой Easy One 1600х1200х743мм дуб сонома левый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shd w:fill="auto" w:val="clear"/>
              </w:rPr>
              <w:t>1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fill="auto" w:val="clear"/>
                <w:lang w:val="ru-RU"/>
              </w:rPr>
              <w:t xml:space="preserve">31.01.12.110/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  <w:shd w:fill="auto" w:val="clear"/>
                <w:lang w:val="ru-RU"/>
              </w:rPr>
              <w:t>Столы письменные деревянные для офисов, административных помещений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800" w:hRule="atLeast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Стол офисный угловой Easy One 1600х1200х743мм дуб сонома правый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shd w:fill="auto" w:val="clear"/>
              </w:rPr>
              <w:t>13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fill="auto" w:val="clear"/>
                <w:lang w:val="ru-RU"/>
              </w:rPr>
              <w:t xml:space="preserve">31.01.12.110/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  <w:shd w:fill="auto" w:val="clear"/>
                <w:lang w:val="ru-RU"/>
              </w:rPr>
              <w:t>Столы письменные деревянные для офисов, административных помещений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800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Стол производственный электромонтажника СЭ-04 1500х700х1340мм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shd w:fill="auto" w:val="clear"/>
              </w:rPr>
              <w:t>1</w:t>
            </w:r>
          </w:p>
        </w:tc>
        <w:tc>
          <w:tcPr>
            <w:tcW w:w="2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  <w:shd w:fill="auto" w:val="clear"/>
                <w:lang w:val="ru-RU"/>
              </w:rPr>
              <w:t>31.09.11.190/ Мебель металлическая хозяйственно-бытового назначения прочая, не включенная в другие группировки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Стол рабочий НТ-140 1400х730х750мм лиственница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shd w:fill="auto" w:val="clear"/>
              </w:rPr>
              <w:t>2</w:t>
            </w:r>
          </w:p>
        </w:tc>
        <w:tc>
          <w:tcPr>
            <w:tcW w:w="2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fill="auto" w:val="clear"/>
                <w:lang w:val="ru-RU"/>
              </w:rPr>
              <w:t xml:space="preserve">31.01.12.110/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  <w:shd w:fill="auto" w:val="clear"/>
                <w:lang w:val="ru-RU"/>
              </w:rPr>
              <w:t>Столы письменные деревянные для офисов, административных помещений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Кресло игровое Game 28 00-07059199 черно-оранжевый кожзам/пластик Chairman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shd w:fill="auto" w:val="clear"/>
              </w:rPr>
              <w:t>6</w:t>
            </w:r>
          </w:p>
        </w:tc>
        <w:tc>
          <w:tcPr>
            <w:tcW w:w="2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18"/>
                <w:szCs w:val="18"/>
                <w:shd w:fill="auto" w:val="clear"/>
              </w:rPr>
              <w:t>31.01.11.150/ Мебель для сидения, преимущественно с металлическим каркасом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Кресло игровое Zombie 9 черное с серым ткань/пластик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shd w:fill="auto" w:val="clear"/>
              </w:rPr>
              <w:t>2</w:t>
            </w:r>
          </w:p>
        </w:tc>
        <w:tc>
          <w:tcPr>
            <w:tcW w:w="2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18"/>
                <w:szCs w:val="18"/>
                <w:shd w:fill="auto" w:val="clear"/>
              </w:rPr>
              <w:t>31.01.11.150/ Мебель для сидения, преимущественно с металлическим каркасом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Кресло офисное 480LT черное экокожа Chairman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shd w:fill="auto" w:val="clear"/>
              </w:rPr>
              <w:t>8</w:t>
            </w:r>
          </w:p>
        </w:tc>
        <w:tc>
          <w:tcPr>
            <w:tcW w:w="2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18"/>
                <w:szCs w:val="18"/>
                <w:shd w:fill="auto" w:val="clear"/>
              </w:rPr>
              <w:t>31.01.11.150/ Мебель для сидения, преимущественно с металлическим каркасом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Кресло офисное Samurai Black Edition New черное сетка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shd w:fill="auto" w:val="clear"/>
              </w:rPr>
              <w:t>10</w:t>
            </w:r>
          </w:p>
        </w:tc>
        <w:tc>
          <w:tcPr>
            <w:tcW w:w="2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18"/>
                <w:szCs w:val="18"/>
                <w:shd w:fill="auto" w:val="clear"/>
              </w:rPr>
              <w:t>31.01.11.150/ Мебель для сидения, преимущественно с металлическим каркасом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Кресло офисное М-902 TG CH серое искусственная кожа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shd w:fill="auto" w:val="clear"/>
              </w:rPr>
              <w:t>1</w:t>
            </w:r>
          </w:p>
        </w:tc>
        <w:tc>
          <w:tcPr>
            <w:tcW w:w="2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18"/>
                <w:szCs w:val="18"/>
                <w:shd w:fill="auto" w:val="clear"/>
              </w:rPr>
              <w:t>31.01.11.150/ Мебель для сидения, преимущественно с металлическим каркасом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Кресло руководителя 405 черное/хром экокожа Chairman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shd w:fill="auto" w:val="clear"/>
              </w:rPr>
              <w:t>2</w:t>
            </w:r>
          </w:p>
        </w:tc>
        <w:tc>
          <w:tcPr>
            <w:tcW w:w="2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18"/>
                <w:szCs w:val="18"/>
                <w:shd w:fill="auto" w:val="clear"/>
              </w:rPr>
              <w:t>31.01.11.150/ Мебель для сидения, преимущественно с металлическим каркасом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Кресло руководителя T-9922Walnut светло-коричневое кожа/металл/ дерево Бюрократ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shd w:fill="auto" w:val="clear"/>
              </w:rPr>
              <w:t>6</w:t>
            </w:r>
          </w:p>
        </w:tc>
        <w:tc>
          <w:tcPr>
            <w:tcW w:w="2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18"/>
                <w:szCs w:val="18"/>
                <w:shd w:fill="auto" w:val="clear"/>
              </w:rPr>
              <w:t>31.01.11.150/ Мебель для сидения, преимущественно с металлическим каркасом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Стул для персонала и посетителей ИЗО С-11 ткань/металл черный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shd w:fill="auto" w:val="clear"/>
              </w:rPr>
              <w:t>10</w:t>
            </w:r>
          </w:p>
        </w:tc>
        <w:tc>
          <w:tcPr>
            <w:tcW w:w="2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18"/>
                <w:szCs w:val="18"/>
                <w:shd w:fill="auto" w:val="clear"/>
              </w:rPr>
              <w:t>31.01.11.150/ Мебель для сидения, преимущественно с металлическим каркасом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Тумба мобильная для документов 404х454х577мм дуб Сонома светлый Easy one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shd w:fill="auto" w:val="clear"/>
              </w:rPr>
              <w:t>11</w:t>
            </w:r>
          </w:p>
        </w:tc>
        <w:tc>
          <w:tcPr>
            <w:tcW w:w="2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18"/>
                <w:szCs w:val="18"/>
                <w:shd w:fill="auto" w:val="clear"/>
              </w:rPr>
              <w:t>31.01.12.150/ Тумбы офисные деревянные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16</w:t>
            </w:r>
          </w:p>
        </w:tc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Сейф электронный/ключевой NTL-24Me 435х360х287мм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shd w:fill="auto" w:val="clear"/>
              </w:rPr>
              <w:t>2</w:t>
            </w:r>
          </w:p>
        </w:tc>
        <w:tc>
          <w:tcPr>
            <w:tcW w:w="2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18"/>
                <w:szCs w:val="18"/>
                <w:shd w:fill="auto" w:val="clear"/>
              </w:rPr>
              <w:t>31.01.11.130/ Стеллажи офисные металлические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17</w:t>
            </w:r>
          </w:p>
        </w:tc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Шкаф для документов Бюджет 2554 716х349х1810мм ЛДСП дуб сонома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shd w:fill="auto" w:val="clear"/>
              </w:rPr>
              <w:t>6</w:t>
            </w:r>
          </w:p>
        </w:tc>
        <w:tc>
          <w:tcPr>
            <w:tcW w:w="2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18"/>
                <w:szCs w:val="18"/>
                <w:shd w:fill="auto" w:val="clear"/>
              </w:rPr>
              <w:t>31.01.12.130/ Шкафы офисные деревянные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18</w:t>
            </w:r>
          </w:p>
        </w:tc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Шкаф для одежды LS21 1830х575х500мм металлический светло-серый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2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31.01.12.131/ Шкафы для одежды деревянные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19</w:t>
            </w:r>
          </w:p>
        </w:tc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Шкаф для одежды МДО 800х520х1950мм ЛДСП дуб сонома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2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31.01.12.131/ Шкафы для одежды деревянные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</w:tbl>
    <w:p>
      <w:pPr>
        <w:pStyle w:val="ListParagraph"/>
        <w:ind w:left="0" w:hanging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563" w:leader="none"/>
        </w:tabs>
        <w:ind w:lef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Срок планируемой поставки: с 01.08.2027 г. до 30.11.2027 года.</w:t>
      </w:r>
    </w:p>
    <w:p>
      <w:pPr>
        <w:pStyle w:val="ListParagraph"/>
        <w:widowControl/>
        <w:numPr>
          <w:ilvl w:val="0"/>
          <w:numId w:val="11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val="ru-RU"/>
        </w:rPr>
        <w:t>Оплата по Договору осуществляется Заказчиком в следующем порядке: в течение 7 (семи) рабочих дней (</w:t>
      </w:r>
      <w:r>
        <w:rPr>
          <w:rFonts w:ascii="Times New Roman" w:hAnsi="Times New Roman"/>
          <w:bCs/>
          <w:i/>
          <w:sz w:val="24"/>
          <w:szCs w:val="24"/>
          <w:lang w:val="ru-RU"/>
        </w:rPr>
        <w:t>для МСП</w:t>
      </w:r>
      <w:r>
        <w:rPr>
          <w:rFonts w:ascii="Times New Roman" w:hAnsi="Times New Roman"/>
          <w:bCs/>
          <w:sz w:val="24"/>
          <w:szCs w:val="24"/>
          <w:lang w:val="ru-RU"/>
        </w:rPr>
        <w:t xml:space="preserve">) /45 (сорока пяти) рабочих дней </w:t>
      </w:r>
      <w:r>
        <w:rPr>
          <w:rFonts w:ascii="Times New Roman" w:hAnsi="Times New Roman"/>
          <w:bCs/>
          <w:i/>
          <w:sz w:val="24"/>
          <w:szCs w:val="24"/>
          <w:lang w:val="ru-RU"/>
        </w:rPr>
        <w:t>(прочие юр.лица)</w:t>
      </w:r>
      <w:r>
        <w:rPr>
          <w:rFonts w:ascii="Times New Roman" w:hAnsi="Times New Roman"/>
          <w:bCs/>
          <w:sz w:val="24"/>
          <w:szCs w:val="24"/>
          <w:lang w:val="ru-RU"/>
        </w:rPr>
        <w:t xml:space="preserve"> с даты подписания Сторонами</w:t>
      </w:r>
      <w:r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товарной накладной (ТОРГ-12).</w:t>
      </w:r>
    </w:p>
    <w:p>
      <w:pPr>
        <w:pStyle w:val="BodyTextIndent"/>
        <w:widowControl/>
        <w:numPr>
          <w:ilvl w:val="0"/>
          <w:numId w:val="12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lang w:val="ru-RU"/>
        </w:rPr>
        <w:t>Поставщик имеет право подать только одно ценовую заявку. В случае подачи Поставщиком нескольких заявок все они будут отклонены без рассмотрения по существу.</w:t>
      </w:r>
    </w:p>
    <w:p>
      <w:pPr>
        <w:pStyle w:val="ListParagraph"/>
        <w:widowControl/>
        <w:numPr>
          <w:ilvl w:val="0"/>
          <w:numId w:val="13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Заявка должно быть оформлена по форме, приложенной к настоящему запросу, и быть действительной до 30 декабря 2026 года (не менее 30 дней).   В случае, если Поставщик указывает более короткий срок действия своей ценовой заявки, она отклоняется как не отвечающая основным требованиям Заказчика.</w:t>
      </w:r>
    </w:p>
    <w:p>
      <w:pPr>
        <w:pStyle w:val="BodyTextIndent"/>
        <w:widowControl/>
        <w:numPr>
          <w:ilvl w:val="0"/>
          <w:numId w:val="14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lang w:val="ru-RU"/>
        </w:rPr>
        <w:t>Заявка должна быть подписана лицом, имеющим право в соответствии с законодательством Российской Федерации действовать от лица Поставщика.                           Заявка также должна быть скреплена печатью Поставщика.</w:t>
      </w:r>
    </w:p>
    <w:p>
      <w:pPr>
        <w:pStyle w:val="ListParagraph"/>
        <w:widowControl/>
        <w:numPr>
          <w:ilvl w:val="0"/>
          <w:numId w:val="15"/>
        </w:numPr>
        <w:tabs>
          <w:tab w:val="clear" w:pos="720"/>
          <w:tab w:val="left" w:pos="563" w:leader="none"/>
        </w:tabs>
        <w:suppressAutoHyphens w:val="true"/>
        <w:overflowPunct w:val="false"/>
        <w:bidi w:val="0"/>
        <w:spacing w:before="0" w:after="0"/>
        <w:ind w:left="567" w:right="0" w:hanging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Предлагаемая цена продукции должна быть указана с учетом НДС, а также должна включать другие обязательные платежи, стоимость всех сопутствующих услуг, в том числе транспортные расходы до центрального склада грузополучателя КВГЭС им.Е.Н. Батенчука в пос.Чернышевский Мирнинского района Республики Саха (Якутия), или до терминала Грузоперевозчика в г.Мирный Республики Саха (Якутия), и все скидки, предлагаемые Поставщиком.</w:t>
      </w:r>
    </w:p>
    <w:p>
      <w:pPr>
        <w:pStyle w:val="ListParagraph"/>
        <w:widowControl/>
        <w:numPr>
          <w:ilvl w:val="0"/>
          <w:numId w:val="0"/>
        </w:numPr>
        <w:tabs>
          <w:tab w:val="clear" w:pos="720"/>
          <w:tab w:val="left" w:pos="563" w:leader="none"/>
        </w:tabs>
        <w:suppressAutoHyphens w:val="true"/>
        <w:overflowPunct w:val="false"/>
        <w:bidi w:val="0"/>
        <w:spacing w:before="0" w:after="0"/>
        <w:ind w:left="567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Также в заявке должна быть указана</w:t>
      </w:r>
      <w:r>
        <w:rPr>
          <w:rFonts w:ascii="Times New Roman" w:hAnsi="Times New Roman"/>
          <w:i w:val="false"/>
          <w:iCs w:val="false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lang w:val="ru-RU"/>
        </w:rPr>
        <w:t>информация</w:t>
      </w:r>
      <w:r>
        <w:rPr>
          <w:rFonts w:ascii="Times New Roman" w:hAnsi="Times New Roman"/>
          <w:b/>
          <w:i w:val="false"/>
          <w:iCs w:val="false"/>
          <w:sz w:val="24"/>
          <w:szCs w:val="24"/>
          <w:lang w:val="ru-RU"/>
        </w:rPr>
        <w:t xml:space="preserve"> о стране происхождения и производителе 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lang w:val="ru-RU"/>
        </w:rPr>
        <w:t xml:space="preserve">предлагаемой к поставке продукции. Обращаем Ваше внимание, что в соотствтсвии с постановлением Правительства Российской Федерации от 23 декабря 2024г. N1875 в отношении данных товаров </w:t>
      </w:r>
      <w:r>
        <w:rPr>
          <w:rFonts w:eastAsia="Calibri"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lang w:val="ru-RU"/>
        </w:rPr>
        <w:t>Установлен режим ограничения закупок товаров, происходящих из иностранных государств (Приложение №2).</w:t>
      </w:r>
    </w:p>
    <w:p>
      <w:pPr>
        <w:pStyle w:val="ListParagraph"/>
        <w:widowControl/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 w:val="false"/>
          <w:iCs w:val="false"/>
          <w:sz w:val="24"/>
          <w:szCs w:val="24"/>
          <w:lang w:val="ru-RU"/>
        </w:rPr>
        <w:t xml:space="preserve">7. </w:t>
        <w:tab/>
        <w:t>Заявка должна быть подана на русском языке. Все цены дол</w:t>
      </w:r>
      <w:r>
        <w:rPr>
          <w:rFonts w:ascii="Times New Roman" w:hAnsi="Times New Roman"/>
          <w:sz w:val="24"/>
          <w:szCs w:val="24"/>
          <w:lang w:val="ru-RU"/>
        </w:rPr>
        <w:t>жны быть выражены в российских рублях.</w:t>
      </w:r>
    </w:p>
    <w:p>
      <w:pPr>
        <w:pStyle w:val="ListParagraph"/>
        <w:widowControl/>
        <w:tabs>
          <w:tab w:val="clear" w:pos="720"/>
          <w:tab w:val="left" w:pos="288" w:leader="none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 xml:space="preserve">8. </w:t>
        <w:tab/>
        <w:tab/>
        <w:t>Предложение должно быть подано до 12.00 часов московского времени 23</w:t>
      </w:r>
      <w:r>
        <w:rPr>
          <w:rFonts w:ascii="Times New Roman" w:hAnsi="Times New Roman"/>
          <w:b w:val="false"/>
          <w:bCs w:val="false"/>
          <w:color w:val="80008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lang w:val="ru-RU"/>
        </w:rPr>
        <w:t>сентября 2</w:t>
      </w: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 xml:space="preserve">026 года </w:t>
      </w:r>
      <w:r>
        <w:rPr>
          <w:rStyle w:val="Style10"/>
          <w:rFonts w:eastAsia="Times New Roman" w:ascii="Times New Roman" w:hAnsi="Times New Roman"/>
          <w:b w:val="false"/>
          <w:bCs w:val="false"/>
          <w:iCs/>
          <w:sz w:val="24"/>
          <w:szCs w:val="24"/>
          <w:lang w:val="ru-RU" w:eastAsia="ru-RU"/>
        </w:rPr>
        <w:t>виде документа в формате PDF и электронной копии Excel (Word) любым способом:</w:t>
      </w:r>
    </w:p>
    <w:p>
      <w:pPr>
        <w:pStyle w:val="ListParagraph"/>
        <w:widowControl/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0"/>
        <w:jc w:val="both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lang w:val="ru-RU"/>
        </w:rPr>
        <w:t xml:space="preserve">- непосредственно </w:t>
      </w: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 xml:space="preserve">на Электронную торговую площадку РАД: </w:t>
      </w:r>
      <w:hyperlink r:id="rId3">
        <w:r>
          <w:rPr>
            <w:rStyle w:val="Hyperlink"/>
            <w:rFonts w:ascii="Times New Roman" w:hAnsi="Times New Roman"/>
            <w:b w:val="false"/>
            <w:bCs w:val="false"/>
            <w:color w:val="2A6099"/>
            <w:sz w:val="24"/>
            <w:szCs w:val="24"/>
            <w:u w:val="none"/>
            <w:lang w:val="ru-RU"/>
          </w:rPr>
          <w:t>https://tender.lot-online.ru</w:t>
        </w:r>
      </w:hyperlink>
    </w:p>
    <w:p>
      <w:pPr>
        <w:pStyle w:val="ListParagraph"/>
        <w:widowControl/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0"/>
        <w:jc w:val="both"/>
        <w:rPr/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lang w:val="ru-RU"/>
        </w:rPr>
        <w:t xml:space="preserve">- посредством электронной почты на e-mail: </w:t>
      </w:r>
      <w:hyperlink r:id="rId4">
        <w:r>
          <w:rPr>
            <w:rStyle w:val="Hyperlink"/>
            <w:rFonts w:ascii="Times New Roman" w:hAnsi="Times New Roman"/>
            <w:b w:val="false"/>
            <w:bCs w:val="false"/>
            <w:i w:val="false"/>
            <w:iCs w:val="false"/>
            <w:color w:val="2A6099"/>
            <w:sz w:val="24"/>
            <w:szCs w:val="24"/>
            <w:u w:val="none"/>
            <w:lang w:val="ru-RU"/>
          </w:rPr>
          <w:t>ermolaevasv@rushydro.ru</w:t>
        </w:r>
      </w:hyperlink>
    </w:p>
    <w:p>
      <w:pPr>
        <w:pStyle w:val="ListParagraph"/>
        <w:widowControl/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/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u w:val="none"/>
          <w:lang w:val="ru-RU"/>
        </w:rPr>
        <w:t>9.</w:t>
      </w:r>
      <w:r>
        <w:rPr>
          <w:rFonts w:ascii="Times New Roman" w:hAnsi="Times New Roman"/>
          <w:b w:val="false"/>
          <w:bCs w:val="false"/>
          <w:i w:val="false"/>
          <w:iCs w:val="false"/>
          <w:color w:val="2A6099"/>
          <w:sz w:val="24"/>
          <w:szCs w:val="24"/>
          <w:u w:val="none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>Настоящий мониторинг цен не является офертой или публичной офертой Заказчика и не является процедурой проведения конкурса. Заказчик имеет право отказаться от всех полученных предложений по любой причине, не неся при этом никакой ответственности перед Поставщиком.</w:t>
      </w:r>
    </w:p>
    <w:p>
      <w:pPr>
        <w:pStyle w:val="Normal"/>
        <w:widowControl/>
        <w:tabs>
          <w:tab w:val="clear" w:pos="720"/>
          <w:tab w:val="left" w:pos="675" w:leader="none"/>
        </w:tabs>
        <w:suppressAutoHyphens w:val="true"/>
        <w:bidi w:val="0"/>
        <w:spacing w:before="0" w:after="0"/>
        <w:ind w:left="567" w:right="0" w:hanging="567"/>
        <w:jc w:val="both"/>
        <w:rPr/>
      </w:pPr>
      <w:r>
        <w:rPr>
          <w:rFonts w:ascii="Times New Roman" w:hAnsi="Times New Roman"/>
          <w:sz w:val="24"/>
          <w:szCs w:val="24"/>
          <w:lang w:val="ru-RU"/>
        </w:rPr>
        <w:t xml:space="preserve">10. </w:t>
        <w:tab/>
        <w:t xml:space="preserve">По техническим вопросам обращаться непосредственно к ответственному специалисту КВГЭС им.Е.Н.Батенчука ПАО «Якутскэнерго» по следующим телефонам/электронной почте: 8(41136) 72-2-35/ электронной почте: </w:t>
      </w:r>
      <w:hyperlink r:id="rId5">
        <w:r>
          <w:rPr>
            <w:rStyle w:val="Hyperlink"/>
            <w:rFonts w:ascii="Times New Roman" w:hAnsi="Times New Roman"/>
            <w:b w:val="false"/>
            <w:bCs w:val="false"/>
            <w:i w:val="false"/>
            <w:iCs w:val="false"/>
            <w:color w:val="2A6099"/>
            <w:sz w:val="24"/>
            <w:szCs w:val="24"/>
            <w:u w:val="none"/>
            <w:lang w:val="ru-RU"/>
          </w:rPr>
          <w:t>ermolaevasv@rushydro.ru</w:t>
        </w:r>
      </w:hyperlink>
      <w:r>
        <w:rPr>
          <w:rFonts w:ascii="Times New Roman" w:hAnsi="Times New Roman"/>
          <w:b/>
          <w:color w:val="0070C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 xml:space="preserve"> (ответственный- инженер  С.В.Ермолаева).</w:t>
      </w:r>
    </w:p>
    <w:p>
      <w:pPr>
        <w:pStyle w:val="Normal"/>
        <w:tabs>
          <w:tab w:val="clear" w:pos="720"/>
          <w:tab w:val="left" w:pos="709" w:leader="none"/>
        </w:tabs>
        <w:rPr>
          <w:rFonts w:ascii="Times New Roman" w:hAnsi="Times New Roman"/>
          <w:b/>
          <w:bCs/>
          <w:i/>
          <w:i/>
          <w:i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r>
    </w:p>
    <w:p>
      <w:pPr>
        <w:pStyle w:val="Standard"/>
        <w:tabs>
          <w:tab w:val="clear" w:pos="720"/>
          <w:tab w:val="left" w:pos="563" w:leader="none"/>
        </w:tabs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ab/>
        <w:t>Приложение:</w:t>
      </w:r>
    </w:p>
    <w:p>
      <w:pPr>
        <w:pStyle w:val="Standard"/>
        <w:widowControl/>
        <w:numPr>
          <w:ilvl w:val="0"/>
          <w:numId w:val="16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left"/>
        <w:textAlignment w:val="baseline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Приложение №1- Форма заявки.</w:t>
      </w:r>
    </w:p>
    <w:p>
      <w:pPr>
        <w:pStyle w:val="Standard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tabs>
          <w:tab w:val="clear" w:pos="720"/>
          <w:tab w:val="left" w:pos="563" w:leader="none"/>
        </w:tabs>
        <w:jc w:val="both"/>
        <w:rPr>
          <w:rFonts w:ascii="Times New Roman" w:hAnsi="Times New Roman" w:cs="Times New Roman"/>
          <w:szCs w:val="24"/>
        </w:rPr>
      </w:pPr>
      <w:r>
        <w:rPr>
          <w:rFonts w:eastAsia="Times New Roman" w:cs="Times New Roman" w:ascii="Times New Roman" w:hAnsi="Times New Roman"/>
          <w:szCs w:val="24"/>
        </w:rPr>
        <w:t xml:space="preserve"> </w:t>
      </w:r>
      <w:r>
        <w:rPr>
          <w:rFonts w:eastAsia="Times New Roman" w:cs="Times New Roman" w:ascii="Times New Roman" w:hAnsi="Times New Roman"/>
          <w:szCs w:val="24"/>
        </w:rPr>
        <w:tab/>
        <w:t>С</w:t>
      </w:r>
      <w:r>
        <w:rPr>
          <w:rFonts w:cs="Times New Roman" w:ascii="Times New Roman" w:hAnsi="Times New Roman"/>
          <w:szCs w:val="24"/>
        </w:rPr>
        <w:t xml:space="preserve"> уважением,</w:t>
      </w:r>
      <w:r>
        <w:rPr>
          <w:rFonts w:eastAsia="Times New Roman" w:cs="Times New Roman" w:ascii="Times New Roman" w:hAnsi="Times New Roman"/>
          <w:b/>
          <w:szCs w:val="24"/>
        </w:rPr>
        <w:t xml:space="preserve">         </w:t>
      </w:r>
    </w:p>
    <w:p>
      <w:pPr>
        <w:pStyle w:val="Standard"/>
        <w:tabs>
          <w:tab w:val="clear" w:pos="720"/>
          <w:tab w:val="left" w:pos="563" w:leader="none"/>
        </w:tabs>
        <w:jc w:val="both"/>
        <w:rPr>
          <w:rFonts w:ascii="Times New Roman" w:hAnsi="Times New Roman" w:cs="Times New Roman"/>
          <w:szCs w:val="24"/>
        </w:rPr>
      </w:pPr>
      <w:r>
        <w:rPr>
          <w:rFonts w:eastAsia="Times New Roman" w:cs="Times New Roman" w:ascii="Times New Roman" w:hAnsi="Times New Roman"/>
          <w:b/>
          <w:szCs w:val="24"/>
        </w:rPr>
        <w:t xml:space="preserve">          </w:t>
      </w:r>
      <w:r>
        <w:rPr>
          <w:rFonts w:eastAsia="Times New Roman" w:cs="Times New Roman" w:ascii="Times New Roman" w:hAnsi="Times New Roman"/>
          <w:b w:val="false"/>
          <w:bCs w:val="false"/>
          <w:szCs w:val="24"/>
        </w:rPr>
        <w:t>и</w:t>
      </w:r>
      <w:r>
        <w:rPr>
          <w:rFonts w:cs="Times New Roman" w:ascii="Times New Roman" w:hAnsi="Times New Roman"/>
          <w:b w:val="false"/>
          <w:bCs w:val="false"/>
          <w:szCs w:val="24"/>
        </w:rPr>
        <w:t>.</w:t>
      </w:r>
      <w:r>
        <w:rPr>
          <w:rFonts w:cs="Times New Roman" w:ascii="Times New Roman" w:hAnsi="Times New Roman"/>
          <w:szCs w:val="24"/>
        </w:rPr>
        <w:t xml:space="preserve">о.директора                                                                                                             С.П.Муж      </w:t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rPr>
          <w:rFonts w:ascii="Times New Roman" w:hAnsi="Times New Roman"/>
          <w:bCs/>
          <w:iCs/>
          <w:sz w:val="24"/>
          <w:szCs w:val="24"/>
          <w:lang w:val="ru-RU"/>
        </w:rPr>
      </w:pPr>
      <w:r>
        <w:rPr>
          <w:rFonts w:ascii="Times New Roman" w:hAnsi="Times New Roman"/>
          <w:bCs/>
          <w:iCs/>
          <w:sz w:val="24"/>
          <w:szCs w:val="24"/>
          <w:lang w:val="ru-RU"/>
        </w:rPr>
      </w:r>
    </w:p>
    <w:p>
      <w:pPr>
        <w:pStyle w:val="Normal"/>
        <w:rPr>
          <w:rFonts w:ascii="Times New Roman" w:hAnsi="Times New Roman"/>
          <w:bCs/>
          <w:iCs/>
          <w:sz w:val="16"/>
          <w:szCs w:val="16"/>
          <w:lang w:val="ru-RU"/>
        </w:rPr>
      </w:pPr>
      <w:r>
        <w:rPr>
          <w:rFonts w:ascii="Times New Roman" w:hAnsi="Times New Roman"/>
          <w:bCs/>
          <w:iCs/>
          <w:sz w:val="16"/>
          <w:szCs w:val="16"/>
          <w:lang w:val="ru-RU"/>
        </w:rPr>
      </w:r>
    </w:p>
    <w:p>
      <w:pPr>
        <w:pStyle w:val="Normal"/>
        <w:rPr>
          <w:rFonts w:ascii="Times New Roman" w:hAnsi="Times New Roman"/>
          <w:bCs/>
          <w:iCs/>
          <w:sz w:val="16"/>
          <w:szCs w:val="16"/>
          <w:lang w:val="ru-RU"/>
        </w:rPr>
      </w:pPr>
      <w:r>
        <w:rPr>
          <w:rFonts w:ascii="Times New Roman" w:hAnsi="Times New Roman"/>
          <w:bCs/>
          <w:iCs/>
          <w:sz w:val="16"/>
          <w:szCs w:val="16"/>
          <w:lang w:val="ru-RU"/>
        </w:rPr>
      </w:r>
    </w:p>
    <w:p>
      <w:pPr>
        <w:pStyle w:val="Normal"/>
        <w:rPr>
          <w:rFonts w:ascii="Times New Roman" w:hAnsi="Times New Roman"/>
          <w:bCs/>
          <w:iCs/>
          <w:sz w:val="16"/>
          <w:szCs w:val="16"/>
          <w:lang w:val="ru-RU"/>
        </w:rPr>
      </w:pPr>
      <w:r>
        <w:rPr>
          <w:rFonts w:ascii="Times New Roman" w:hAnsi="Times New Roman"/>
          <w:bCs/>
          <w:iCs/>
          <w:sz w:val="16"/>
          <w:szCs w:val="16"/>
          <w:lang w:val="ru-RU"/>
        </w:rPr>
      </w:r>
    </w:p>
    <w:p>
      <w:pPr>
        <w:pStyle w:val="Normal"/>
        <w:rPr>
          <w:rFonts w:ascii="Times New Roman" w:hAnsi="Times New Roman"/>
          <w:bCs/>
          <w:iCs/>
          <w:sz w:val="16"/>
          <w:szCs w:val="16"/>
          <w:lang w:val="ru-RU"/>
        </w:rPr>
      </w:pPr>
      <w:r>
        <w:rPr>
          <w:rFonts w:ascii="Times New Roman" w:hAnsi="Times New Roman"/>
          <w:bCs/>
          <w:iCs/>
          <w:sz w:val="16"/>
          <w:szCs w:val="16"/>
          <w:lang w:val="ru-RU"/>
        </w:rPr>
      </w:r>
    </w:p>
    <w:p>
      <w:pPr>
        <w:pStyle w:val="Normal"/>
        <w:rPr>
          <w:rFonts w:ascii="Times New Roman" w:hAnsi="Times New Roman"/>
          <w:bCs/>
          <w:iCs/>
          <w:sz w:val="16"/>
          <w:szCs w:val="16"/>
          <w:lang w:val="ru-RU"/>
        </w:rPr>
      </w:pPr>
      <w:r>
        <w:rPr>
          <w:rFonts w:ascii="Times New Roman" w:hAnsi="Times New Roman"/>
          <w:bCs/>
          <w:iCs/>
          <w:sz w:val="16"/>
          <w:szCs w:val="16"/>
          <w:lang w:val="ru-RU"/>
        </w:rPr>
      </w:r>
    </w:p>
    <w:p>
      <w:pPr>
        <w:pStyle w:val="Normal"/>
        <w:rPr>
          <w:rFonts w:ascii="Times New Roman" w:hAnsi="Times New Roman"/>
          <w:bCs/>
          <w:iCs/>
          <w:sz w:val="16"/>
          <w:szCs w:val="16"/>
          <w:lang w:val="ru-RU"/>
        </w:rPr>
      </w:pPr>
      <w:r>
        <w:rPr>
          <w:rFonts w:ascii="Times New Roman" w:hAnsi="Times New Roman"/>
          <w:bCs/>
          <w:iCs/>
          <w:sz w:val="16"/>
          <w:szCs w:val="16"/>
          <w:lang w:val="ru-RU"/>
        </w:rPr>
      </w:r>
    </w:p>
    <w:p>
      <w:pPr>
        <w:pStyle w:val="Normal"/>
        <w:rPr>
          <w:rFonts w:ascii="Times New Roman" w:hAnsi="Times New Roman"/>
          <w:bCs/>
          <w:iCs/>
          <w:sz w:val="16"/>
          <w:szCs w:val="16"/>
          <w:lang w:val="ru-RU"/>
        </w:rPr>
      </w:pPr>
      <w:r>
        <w:rPr>
          <w:rFonts w:ascii="Times New Roman" w:hAnsi="Times New Roman"/>
          <w:bCs/>
          <w:iCs/>
          <w:sz w:val="16"/>
          <w:szCs w:val="16"/>
          <w:lang w:val="ru-RU"/>
        </w:rPr>
      </w:r>
    </w:p>
    <w:p>
      <w:pPr>
        <w:pStyle w:val="Normal"/>
        <w:rPr>
          <w:rFonts w:ascii="Times New Roman" w:hAnsi="Times New Roman"/>
          <w:bCs/>
          <w:iCs/>
          <w:sz w:val="16"/>
          <w:szCs w:val="16"/>
          <w:lang w:val="ru-RU"/>
        </w:rPr>
      </w:pPr>
      <w:r>
        <w:rPr>
          <w:rFonts w:ascii="Times New Roman" w:hAnsi="Times New Roman"/>
          <w:bCs/>
          <w:iCs/>
          <w:sz w:val="16"/>
          <w:szCs w:val="16"/>
          <w:lang w:val="ru-RU"/>
        </w:rPr>
      </w:r>
    </w:p>
    <w:p>
      <w:pPr>
        <w:pStyle w:val="Normal"/>
        <w:rPr>
          <w:rFonts w:ascii="Times New Roman" w:hAnsi="Times New Roman"/>
          <w:bCs/>
          <w:iCs/>
          <w:sz w:val="16"/>
          <w:szCs w:val="16"/>
          <w:lang w:val="ru-RU"/>
        </w:rPr>
      </w:pPr>
      <w:r>
        <w:rPr>
          <w:rFonts w:ascii="Times New Roman" w:hAnsi="Times New Roman"/>
          <w:bCs/>
          <w:iCs/>
          <w:sz w:val="16"/>
          <w:szCs w:val="16"/>
          <w:lang w:val="ru-RU"/>
        </w:rPr>
      </w:r>
    </w:p>
    <w:p>
      <w:pPr>
        <w:pStyle w:val="Normal"/>
        <w:rPr>
          <w:rFonts w:ascii="Times New Roman" w:hAnsi="Times New Roman"/>
          <w:bCs/>
          <w:iCs/>
          <w:sz w:val="16"/>
          <w:szCs w:val="16"/>
          <w:lang w:val="ru-RU"/>
        </w:rPr>
      </w:pPr>
      <w:r>
        <w:rPr>
          <w:rFonts w:ascii="Times New Roman" w:hAnsi="Times New Roman"/>
          <w:bCs/>
          <w:iCs/>
          <w:sz w:val="16"/>
          <w:szCs w:val="16"/>
          <w:lang w:val="ru-RU"/>
        </w:rPr>
      </w:r>
    </w:p>
    <w:p>
      <w:pPr>
        <w:pStyle w:val="Normal"/>
        <w:rPr>
          <w:rFonts w:ascii="Times New Roman" w:hAnsi="Times New Roman"/>
          <w:bCs/>
          <w:iCs/>
          <w:sz w:val="16"/>
          <w:szCs w:val="16"/>
          <w:lang w:val="ru-RU"/>
        </w:rPr>
      </w:pPr>
      <w:r>
        <w:rPr>
          <w:rFonts w:ascii="Times New Roman" w:hAnsi="Times New Roman"/>
          <w:bCs/>
          <w:iCs/>
          <w:sz w:val="16"/>
          <w:szCs w:val="16"/>
          <w:lang w:val="ru-RU"/>
        </w:rPr>
      </w:r>
    </w:p>
    <w:p>
      <w:pPr>
        <w:pStyle w:val="Normal"/>
        <w:rPr>
          <w:rFonts w:ascii="Times New Roman" w:hAnsi="Times New Roman"/>
          <w:bCs/>
          <w:iCs/>
          <w:sz w:val="16"/>
          <w:szCs w:val="16"/>
          <w:lang w:val="ru-RU"/>
        </w:rPr>
      </w:pPr>
      <w:r>
        <w:rPr>
          <w:rFonts w:ascii="Times New Roman" w:hAnsi="Times New Roman"/>
          <w:bCs/>
          <w:iCs/>
          <w:sz w:val="16"/>
          <w:szCs w:val="16"/>
          <w:lang w:val="ru-RU"/>
        </w:rPr>
      </w:r>
    </w:p>
    <w:p>
      <w:pPr>
        <w:pStyle w:val="Normal"/>
        <w:rPr>
          <w:rFonts w:ascii="Times New Roman" w:hAnsi="Times New Roman"/>
          <w:bCs/>
          <w:iCs/>
          <w:sz w:val="16"/>
          <w:szCs w:val="16"/>
          <w:lang w:val="ru-RU"/>
        </w:rPr>
      </w:pPr>
      <w:r>
        <w:rPr>
          <w:rFonts w:ascii="Times New Roman" w:hAnsi="Times New Roman"/>
          <w:bCs/>
          <w:iCs/>
          <w:sz w:val="16"/>
          <w:szCs w:val="16"/>
          <w:lang w:val="ru-RU"/>
        </w:rPr>
      </w:r>
    </w:p>
    <w:p>
      <w:pPr>
        <w:pStyle w:val="Normal"/>
        <w:rPr>
          <w:rFonts w:ascii="Times New Roman" w:hAnsi="Times New Roman"/>
          <w:bCs/>
          <w:iCs/>
          <w:sz w:val="16"/>
          <w:szCs w:val="16"/>
          <w:lang w:val="ru-RU"/>
        </w:rPr>
      </w:pPr>
      <w:r>
        <w:rPr>
          <w:rFonts w:ascii="Times New Roman" w:hAnsi="Times New Roman"/>
          <w:bCs/>
          <w:iCs/>
          <w:sz w:val="16"/>
          <w:szCs w:val="16"/>
          <w:lang w:val="ru-RU"/>
        </w:rPr>
      </w:r>
    </w:p>
    <w:p>
      <w:pPr>
        <w:pStyle w:val="Normal"/>
        <w:rPr>
          <w:rFonts w:ascii="Times New Roman" w:hAnsi="Times New Roman"/>
          <w:bCs/>
          <w:iCs/>
          <w:sz w:val="16"/>
          <w:szCs w:val="16"/>
          <w:lang w:val="ru-RU"/>
        </w:rPr>
      </w:pPr>
      <w:r>
        <w:rPr>
          <w:rFonts w:ascii="Times New Roman" w:hAnsi="Times New Roman"/>
          <w:bCs/>
          <w:iCs/>
          <w:sz w:val="16"/>
          <w:szCs w:val="16"/>
          <w:lang w:val="ru-RU"/>
        </w:rPr>
      </w:r>
    </w:p>
    <w:p>
      <w:pPr>
        <w:pStyle w:val="Normal"/>
        <w:rPr>
          <w:rFonts w:ascii="Times New Roman" w:hAnsi="Times New Roman"/>
          <w:bCs/>
          <w:iCs/>
          <w:sz w:val="16"/>
          <w:szCs w:val="16"/>
          <w:lang w:val="ru-RU"/>
        </w:rPr>
      </w:pPr>
      <w:r>
        <w:rPr>
          <w:rFonts w:ascii="Times New Roman" w:hAnsi="Times New Roman"/>
          <w:bCs/>
          <w:iCs/>
          <w:sz w:val="16"/>
          <w:szCs w:val="16"/>
          <w:lang w:val="ru-RU"/>
        </w:rPr>
      </w:r>
    </w:p>
    <w:p>
      <w:pPr>
        <w:pStyle w:val="Normal"/>
        <w:rPr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  <w:lang w:val="ru-RU"/>
        </w:rPr>
        <w:t xml:space="preserve">исп. инженер ОМТС  Ермолаева С.В. </w:t>
      </w:r>
    </w:p>
    <w:p>
      <w:pPr>
        <w:pStyle w:val="Normal"/>
        <w:rPr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  <w:lang w:val="ru-RU"/>
        </w:rPr>
        <w:t>тел: 8 (41136) 72-2-35,78-378</w:t>
      </w:r>
    </w:p>
    <w:p>
      <w:pPr>
        <w:pStyle w:val="Normal"/>
        <w:rPr/>
      </w:pPr>
      <w:r>
        <w:rPr>
          <w:rFonts w:ascii="Times New Roman" w:hAnsi="Times New Roman"/>
          <w:bCs/>
          <w:iCs/>
          <w:sz w:val="22"/>
          <w:szCs w:val="22"/>
          <w:lang w:val="ru-RU"/>
        </w:rPr>
        <w:t xml:space="preserve">е-mail:  </w:t>
      </w:r>
      <w:hyperlink r:id="rId6">
        <w:r>
          <w:rPr>
            <w:rStyle w:val="Hyperlink"/>
            <w:rFonts w:ascii="Times New Roman" w:hAnsi="Times New Roman"/>
            <w:b w:val="false"/>
            <w:bCs w:val="false"/>
            <w:i w:val="false"/>
            <w:iCs w:val="false"/>
            <w:color w:val="2A6099"/>
            <w:sz w:val="22"/>
            <w:szCs w:val="22"/>
            <w:u w:val="none"/>
            <w:lang w:val="ru-RU"/>
          </w:rPr>
          <w:t>ermolaevasv@rushydro.ru</w:t>
        </w:r>
      </w:hyperlink>
    </w:p>
    <w:sectPr>
      <w:headerReference w:type="even" r:id="rId7"/>
      <w:headerReference w:type="default" r:id="rId8"/>
      <w:type w:val="nextPage"/>
      <w:pgSz w:w="11906" w:h="16838"/>
      <w:pgMar w:left="1134" w:right="851" w:gutter="0" w:header="964" w:top="1134" w:footer="0" w:bottom="1134"/>
      <w:pgNumType w:fmt="decimal"/>
      <w:formProt w:val="false"/>
      <w:titlePg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Geneva CY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2" name="Врезка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6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3"/>
    <w:lvlOverride w:ilvl="0">
      <w:startOverride w:val="1"/>
    </w:lvlOverride>
  </w:num>
  <w:num w:numId="11">
    <w:abstractNumId w:val="3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9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Cambria" w:hAnsi="Cambria" w:eastAsia="MS Mincho" w:cs="Times New Roman"/>
      <w:color w:val="auto"/>
      <w:kern w:val="0"/>
      <w:sz w:val="20"/>
      <w:szCs w:val="20"/>
      <w:lang w:val="en-US" w:eastAsia="ru-RU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2"/>
      </w:numPr>
      <w:outlineLvl w:val="0"/>
    </w:pPr>
    <w:rPr>
      <w:rFonts w:ascii="Times New Roman" w:hAnsi="Times New Roman" w:eastAsia="Times New Roman"/>
      <w:b/>
      <w:sz w:val="28"/>
      <w:lang w:eastAsia="zh-C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Верхний колонтитул Знак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9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WWCharLFO6LVL1" w:customStyle="1">
    <w:name w:val="WW_CharLFO6LVL1"/>
    <w:qFormat/>
    <w:rPr>
      <w:sz w:val="22"/>
      <w:szCs w:val="22"/>
    </w:rPr>
  </w:style>
  <w:style w:type="character" w:styleId="Style10">
    <w:name w:val="Основной шрифт абзаца"/>
    <w:qFormat/>
    <w:rPr/>
  </w:style>
  <w:style w:type="character" w:styleId="Hyperlink">
    <w:name w:val="Hyperlink"/>
    <w:rPr>
      <w:color w:val="000080"/>
      <w:u w:val="single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 Unicode MS"/>
    </w:rPr>
  </w:style>
  <w:style w:type="paragraph" w:styleId="Style13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rsid w:val="00d002ca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9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Style14" w:customStyle="1">
    <w:name w:val="Содержимое врезки"/>
    <w:basedOn w:val="Normal"/>
    <w:qFormat/>
    <w:pPr/>
    <w:rPr/>
  </w:style>
  <w:style w:type="paragraph" w:styleId="ListParagraph">
    <w:name w:val="List Paragraph"/>
    <w:basedOn w:val="Normal"/>
    <w:qFormat/>
    <w:pPr>
      <w:ind w:left="720" w:hanging="0"/>
    </w:pPr>
    <w:rPr/>
  </w:style>
  <w:style w:type="paragraph" w:styleId="BodyTextIndent">
    <w:name w:val="Body Text Indent"/>
    <w:basedOn w:val="Normal"/>
    <w:pPr>
      <w:ind w:firstLine="360"/>
      <w:jc w:val="both"/>
    </w:pPr>
    <w:rPr>
      <w:rFonts w:ascii="Times New Roman" w:hAnsi="Times New Roman" w:eastAsia="Times New Roman"/>
      <w:lang w:eastAsia="zh-CN"/>
    </w:rPr>
  </w:style>
  <w:style w:type="paragraph" w:styleId="Style15" w:customStyle="1">
    <w:name w:val="Таблица шапка"/>
    <w:basedOn w:val="Normal"/>
    <w:qFormat/>
    <w:pPr>
      <w:keepNext w:val="true"/>
      <w:spacing w:before="40" w:after="40"/>
      <w:ind w:left="57" w:right="57" w:hanging="0"/>
    </w:pPr>
    <w:rPr>
      <w:rFonts w:ascii="Times New Roman" w:hAnsi="Times New Roman" w:eastAsia="Times New Roman"/>
      <w:sz w:val="22"/>
      <w:lang w:eastAsia="zh-CN"/>
    </w:rPr>
  </w:style>
  <w:style w:type="paragraph" w:styleId="21" w:customStyle="1">
    <w:name w:val="Основной текст 21"/>
    <w:basedOn w:val="Normal"/>
    <w:qFormat/>
    <w:pPr>
      <w:shd w:val="clear" w:color="auto" w:fill="FFFFFF"/>
      <w:jc w:val="center"/>
    </w:pPr>
    <w:rPr>
      <w:rFonts w:ascii="Arial" w:hAnsi="Arial" w:eastAsia="Times New Roman" w:cs="Arial"/>
      <w:b/>
      <w:color w:val="000080"/>
      <w:lang w:eastAsia="zh-CN"/>
    </w:rPr>
  </w:style>
  <w:style w:type="paragraph" w:styleId="Standard" w:customStyle="1">
    <w:name w:val="Standard"/>
    <w:qFormat/>
    <w:rsid w:val="00121d65"/>
    <w:pPr>
      <w:widowControl/>
      <w:suppressAutoHyphens w:val="true"/>
      <w:bidi w:val="0"/>
      <w:spacing w:before="0" w:after="0"/>
      <w:jc w:val="left"/>
      <w:textAlignment w:val="baseline"/>
    </w:pPr>
    <w:rPr>
      <w:rFonts w:ascii="Geneva CY" w:hAnsi="Geneva CY" w:eastAsia="Geneva" w:cs="Geneva CY"/>
      <w:color w:val="auto"/>
      <w:kern w:val="0"/>
      <w:sz w:val="24"/>
      <w:szCs w:val="20"/>
      <w:lang w:val="ru-RU" w:eastAsia="en-US" w:bidi="ar-SA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  <w:style w:type="paragraph" w:styleId="Style18">
    <w:name w:val="Обычный"/>
    <w:qFormat/>
    <w:pPr>
      <w:widowControl/>
      <w:suppressAutoHyphens w:val="true"/>
      <w:bidi w:val="0"/>
      <w:spacing w:before="0" w:after="0"/>
      <w:jc w:val="left"/>
    </w:pPr>
    <w:rPr>
      <w:rFonts w:ascii="Cambria" w:hAnsi="Cambria" w:eastAsia="MS Mincho" w:cs="Times New Roman"/>
      <w:color w:val="auto"/>
      <w:kern w:val="0"/>
      <w:sz w:val="24"/>
      <w:szCs w:val="24"/>
      <w:lang w:val="en-US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WW8Num4" w:customStyle="1">
    <w:name w:val="WW8Num4"/>
    <w:qFormat/>
  </w:style>
  <w:style w:type="numbering" w:styleId="WW8Num3" w:customStyle="1">
    <w:name w:val="WW8Num3"/>
    <w:qFormat/>
  </w:style>
  <w:style w:type="numbering" w:styleId="WW8Num5" w:customStyle="1">
    <w:name w:val="WW8Num5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tender.lot-online.ru/" TargetMode="External"/><Relationship Id="rId4" Type="http://schemas.openxmlformats.org/officeDocument/2006/relationships/hyperlink" Target="mailto:ermolaevasv@rushydro.ru" TargetMode="External"/><Relationship Id="rId5" Type="http://schemas.openxmlformats.org/officeDocument/2006/relationships/hyperlink" Target="mailto:ermolaevasv@rushydro.ru" TargetMode="External"/><Relationship Id="rId6" Type="http://schemas.openxmlformats.org/officeDocument/2006/relationships/hyperlink" Target="mailto:ermolaevasv@rushydro.ru" TargetMode="Externa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Application>AlterOffice/3.4.0.9$Linux_X86_64 LibreOffice_project/b8daf9e823b1a5463a2f48435ddc2e8696e7d4fc</Application>
  <AppVersion>15.0000</AppVersion>
  <Pages>3</Pages>
  <Words>802</Words>
  <Characters>5423</Characters>
  <CharactersWithSpaces>6655</CharactersWithSpaces>
  <Paragraphs>135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2026-06-04T08:41:00Z</dcterms:created>
  <dc:creator>Andrey Zhurin</dc:creator>
  <dc:description/>
  <dc:language>ru-RU</dc:language>
  <cp:lastModifiedBy/>
  <cp:lastPrinted>2026-06-05T01:43:00Z</cp:lastPrinted>
  <dcterms:modified xsi:type="dcterms:W3CDTF">2026-09-21T11:05:36Z</dcterms:modified>
  <cp:revision>43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