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_rels/document.xml.rels" ContentType="application/vnd.openxmlformats-package.relationship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notes.xml" ContentType="application/vnd.openxmlformats-officedocument.wordprocessingml.footnotes+xml"/>
  <Override PartName="/word/header4.xml" ContentType="application/vnd.openxmlformats-officedocument.wordprocessingml.header+xml"/>
  <Override PartName="/word/document.xml" ContentType="application/vnd.openxmlformats-officedocument.wordprocessingml.document.main+xml"/>
  <Override PartName="/word/numbering.xml" ContentType="application/vnd.openxmlformats-officedocument.wordprocessingml.numbering+xml"/>
  <Override PartName="/word/fontTable.xml" ContentType="application/vnd.openxmlformats-officedocument.wordprocessingml.fontTable+xml"/>
  <Override PartName="/customXml/_rels/item4.xml.rels" ContentType="application/vnd.openxmlformats-package.relationships+xml"/>
  <Override PartName="/customXml/_rels/item3.xml.rels" ContentType="application/vnd.openxmlformats-package.relationships+xml"/>
  <Override PartName="/customXml/_rels/item2.xml.rels" ContentType="application/vnd.openxmlformats-package.relationship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Override PartName="/customXml/item2.xml" ContentType="application/xml"/>
  <Override PartName="/customXml/itemProps2.xml" ContentType="application/vnd.openxmlformats-officedocument.customXmlProperties+xml"/>
  <Override PartName="/customXml/item3.xml" ContentType="application/xml"/>
  <Override PartName="/customXml/itemProps3.xml" ContentType="application/vnd.openxmlformats-officedocument.customXmlProperties+xml"/>
  <Override PartName="/customXml/item4.xml" ContentType="application/xml"/>
  <Override PartName="/customXml/itemProps4.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le"/>
        <w:ind w:firstLine="567"/>
        <w:jc w:val="right"/>
        <w:rPr>
          <w:b w:val="false"/>
        </w:rPr>
      </w:pPr>
      <w:bookmarkStart w:id="0" w:name="_GoBack"/>
      <w:bookmarkEnd w:id="0"/>
      <w:r>
        <w:rPr>
          <w:b w:val="false"/>
        </w:rPr>
        <w:t>Приложение</w:t>
      </w:r>
    </w:p>
    <w:p>
      <w:pPr>
        <w:pStyle w:val="Normal"/>
        <w:shd w:val="clear" w:color="auto" w:fill="FFFFFF"/>
        <w:tabs>
          <w:tab w:val="clear" w:pos="709"/>
          <w:tab w:val="left" w:pos="6926" w:leader="none"/>
        </w:tabs>
        <w:jc w:val="right"/>
        <w:rPr>
          <w:bCs/>
          <w:sz w:val="24"/>
          <w:szCs w:val="24"/>
        </w:rPr>
      </w:pPr>
      <w:r>
        <w:rPr>
          <w:bCs/>
          <w:sz w:val="24"/>
          <w:szCs w:val="24"/>
        </w:rPr>
        <w:t>к приказу ПАО «РусГидро»</w:t>
      </w:r>
    </w:p>
    <w:p>
      <w:pPr>
        <w:pStyle w:val="Normal"/>
        <w:shd w:val="clear" w:color="auto" w:fill="FFFFFF"/>
        <w:tabs>
          <w:tab w:val="clear" w:pos="709"/>
          <w:tab w:val="left" w:pos="6926" w:leader="none"/>
        </w:tabs>
        <w:jc w:val="right"/>
        <w:rPr>
          <w:b/>
          <w:sz w:val="24"/>
          <w:szCs w:val="24"/>
        </w:rPr>
      </w:pPr>
      <w:r>
        <w:rPr>
          <w:sz w:val="24"/>
          <w:szCs w:val="24"/>
        </w:rPr>
        <w:t>от 02.07.2024 № 415</w:t>
      </w:r>
    </w:p>
    <w:p>
      <w:pPr>
        <w:pStyle w:val="Normal"/>
        <w:shd w:val="clear" w:color="auto" w:fill="FFFFFF"/>
        <w:tabs>
          <w:tab w:val="clear" w:pos="709"/>
          <w:tab w:val="left" w:pos="6926" w:leader="none"/>
        </w:tabs>
        <w:jc w:val="center"/>
        <w:rPr>
          <w:b/>
          <w:sz w:val="24"/>
          <w:szCs w:val="24"/>
        </w:rPr>
      </w:pPr>
      <w:r>
        <w:rPr>
          <w:b/>
          <w:bCs/>
          <w:sz w:val="24"/>
          <w:szCs w:val="24"/>
        </w:rPr>
        <w:t>Договор поставки</w:t>
      </w:r>
    </w:p>
    <w:p>
      <w:pPr>
        <w:pStyle w:val="Normal"/>
        <w:shd w:val="clear" w:color="auto" w:fill="FFFFFF"/>
        <w:rPr>
          <w:b/>
          <w:bCs/>
          <w:sz w:val="24"/>
          <w:szCs w:val="24"/>
        </w:rPr>
      </w:pPr>
      <w:r>
        <w:rPr>
          <w:b/>
          <w:bCs/>
          <w:sz w:val="24"/>
          <w:szCs w:val="24"/>
        </w:rPr>
      </w:r>
    </w:p>
    <w:p>
      <w:pPr>
        <w:pStyle w:val="Normal"/>
        <w:shd w:val="clear" w:color="auto" w:fill="FFFFFF"/>
        <w:tabs>
          <w:tab w:val="clear" w:pos="709"/>
          <w:tab w:val="right" w:pos="9639" w:leader="none"/>
        </w:tabs>
        <w:jc w:val="right"/>
        <w:rPr>
          <w:bCs/>
          <w:sz w:val="24"/>
          <w:szCs w:val="24"/>
        </w:rPr>
      </w:pPr>
      <w:r>
        <w:rPr>
          <w:bCs/>
          <w:sz w:val="24"/>
          <w:szCs w:val="24"/>
        </w:rPr>
        <w:t>г. _________</w:t>
        <w:tab/>
        <w:t xml:space="preserve">   «___» _________ 20__ г.</w:t>
      </w:r>
    </w:p>
    <w:p>
      <w:pPr>
        <w:pStyle w:val="Normal"/>
        <w:shd w:val="clear" w:color="auto" w:fill="FFFFFF"/>
        <w:tabs>
          <w:tab w:val="clear" w:pos="709"/>
          <w:tab w:val="right" w:pos="9639" w:leader="none"/>
        </w:tabs>
        <w:jc w:val="right"/>
        <w:rPr>
          <w:bCs/>
          <w:sz w:val="24"/>
          <w:szCs w:val="24"/>
        </w:rPr>
      </w:pPr>
      <w:r>
        <w:rPr>
          <w:bCs/>
          <w:sz w:val="24"/>
          <w:szCs w:val="24"/>
        </w:rPr>
      </w:r>
    </w:p>
    <w:p>
      <w:pPr>
        <w:pStyle w:val="Normal"/>
        <w:ind w:firstLine="709"/>
        <w:jc w:val="both"/>
        <w:rPr>
          <w:sz w:val="24"/>
          <w:szCs w:val="24"/>
        </w:rPr>
      </w:pPr>
      <w:r>
        <w:rPr>
          <w:b/>
          <w:bCs/>
          <w:spacing w:val="4"/>
          <w:sz w:val="24"/>
          <w:szCs w:val="24"/>
        </w:rPr>
        <w:t>Акционерное общество «Транспортная компания РусГидро»</w:t>
      </w:r>
      <w:r>
        <w:rPr>
          <w:spacing w:val="4"/>
          <w:sz w:val="24"/>
          <w:szCs w:val="24"/>
        </w:rPr>
        <w:t xml:space="preserve"> (АО «ТК РусГидро») (далее – «Покупатель»), в лице Директора Дальневосточного филиала АО «ТК РусГидро» Золотарева Василия Юрьевича, действующего на основании доверенности № 816 от 01.12.2025, с одной стороны, и</w:t>
      </w:r>
    </w:p>
    <w:p>
      <w:pPr>
        <w:pStyle w:val="Normal"/>
        <w:ind w:firstLine="709"/>
        <w:jc w:val="both"/>
        <w:rPr>
          <w:sz w:val="24"/>
          <w:szCs w:val="24"/>
        </w:rPr>
      </w:pPr>
      <w:r>
        <w:rPr>
          <w:b/>
          <w:spacing w:val="10"/>
          <w:sz w:val="24"/>
          <w:szCs w:val="24"/>
        </w:rPr>
        <w:t>____________________</w:t>
      </w:r>
      <w:r>
        <w:rPr>
          <w:bCs/>
          <w:sz w:val="24"/>
          <w:szCs w:val="24"/>
        </w:rPr>
        <w:t xml:space="preserve"> </w:t>
      </w:r>
      <w:r>
        <w:rPr>
          <w:sz w:val="24"/>
          <w:szCs w:val="24"/>
        </w:rPr>
        <w:t xml:space="preserve">(далее – «Поставщик»), в лице _________________________, действующего на основании ___________________, с другой стороны, </w:t>
      </w:r>
    </w:p>
    <w:p>
      <w:pPr>
        <w:pStyle w:val="Normal"/>
        <w:ind w:firstLine="709"/>
        <w:jc w:val="both"/>
        <w:rPr>
          <w:spacing w:val="10"/>
          <w:sz w:val="24"/>
          <w:szCs w:val="24"/>
        </w:rPr>
      </w:pPr>
      <w:r>
        <w:rPr>
          <w:sz w:val="24"/>
          <w:szCs w:val="24"/>
        </w:rPr>
        <w:t xml:space="preserve">совместно в дальнейшем именуемые «Стороны», а по отдельности – «Сторона», </w:t>
        <w:br/>
      </w:r>
      <w:r>
        <w:rPr>
          <w:sz w:val="24"/>
          <w:szCs w:val="24"/>
          <w:highlight w:val="lightGray"/>
          <w:lang w:eastAsia="en-US"/>
        </w:rPr>
        <w:t xml:space="preserve">по результатам проведенной Покупателем конкурентной процедуры по лоту № ____________ и на основании протокола __________ от «___» _________ г. №_______, </w:t>
      </w:r>
      <w:r>
        <w:rPr>
          <w:sz w:val="24"/>
          <w:szCs w:val="24"/>
        </w:rPr>
        <w:t>заключили настоящий договор поставки (далее – «Договор») о нижеследующем:</w:t>
      </w:r>
    </w:p>
    <w:p>
      <w:pPr>
        <w:pStyle w:val="Normal"/>
        <w:shd w:val="clear" w:color="auto" w:fill="FFFFFF"/>
        <w:rPr>
          <w:bCs/>
          <w:sz w:val="24"/>
          <w:szCs w:val="24"/>
          <w:lang w:val="x-none"/>
        </w:rPr>
      </w:pPr>
      <w:r>
        <w:rPr>
          <w:bCs/>
          <w:sz w:val="24"/>
          <w:szCs w:val="24"/>
          <w:lang w:val="x-none"/>
        </w:rPr>
      </w:r>
    </w:p>
    <w:p>
      <w:pPr>
        <w:pStyle w:val="Normal"/>
        <w:shd w:val="clear" w:color="auto" w:fill="FFFFFF"/>
        <w:jc w:val="center"/>
        <w:rPr>
          <w:b/>
          <w:bCs/>
          <w:sz w:val="24"/>
          <w:szCs w:val="24"/>
        </w:rPr>
      </w:pPr>
      <w:r>
        <w:rPr>
          <w:b/>
          <w:bCs/>
          <w:sz w:val="24"/>
          <w:szCs w:val="24"/>
        </w:rPr>
        <w:t>Термины и определения</w:t>
      </w:r>
    </w:p>
    <w:p>
      <w:pPr>
        <w:pStyle w:val="Normal"/>
        <w:shd w:val="clear" w:color="auto" w:fill="FFFFFF"/>
        <w:ind w:firstLine="709"/>
        <w:jc w:val="both"/>
        <w:rPr>
          <w:bCs/>
          <w:sz w:val="24"/>
          <w:szCs w:val="24"/>
        </w:rPr>
      </w:pPr>
      <w:r>
        <w:rPr>
          <w:bCs/>
          <w:sz w:val="24"/>
          <w:szCs w:val="24"/>
        </w:rPr>
        <w:t xml:space="preserve">Термины и определения, приведенные в настоящем разделе, предназначены </w:t>
        <w:br/>
        <w:t>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shd w:val="clear" w:color="auto" w:fill="FFFFFF"/>
        <w:tabs>
          <w:tab w:val="clear" w:pos="709"/>
          <w:tab w:val="left" w:pos="0" w:leader="none"/>
        </w:tabs>
        <w:ind w:firstLine="709" w:left="0"/>
        <w:jc w:val="both"/>
        <w:textAlignment w:val="baseline"/>
        <w:rPr>
          <w:sz w:val="24"/>
          <w:szCs w:val="24"/>
          <w:lang w:eastAsia="en-US"/>
        </w:rPr>
      </w:pPr>
      <w:r>
        <w:rPr>
          <w:b/>
          <w:sz w:val="24"/>
          <w:szCs w:val="24"/>
          <w:lang w:eastAsia="en-US"/>
        </w:rPr>
        <w:t>«Акт рекламации»</w:t>
      </w:r>
      <w:r>
        <w:rPr>
          <w:sz w:val="24"/>
          <w:szCs w:val="24"/>
          <w:lang w:eastAsia="en-US"/>
        </w:rPr>
        <w:t xml:space="preserve"> – документ, оформляемый по унифицированным формам </w:t>
        <w:br/>
        <w:t xml:space="preserve">№ ТОРГ-2 «Акт об установленном расхождении по количеству и качеству при приемке товарно-материальных ценностей» и № ТОРГ-3 «Акт об установленном расхождении </w:t>
        <w:br/>
        <w:t>по количеству и качеству при приемке импортных товаров», утвержденным постановлением Госкомстата РФ от 25.12.1998 № 132, подписываемый Сторонами при приемке поставленного Товара.</w:t>
      </w:r>
    </w:p>
    <w:p>
      <w:pPr>
        <w:pStyle w:val="ListParagraph"/>
        <w:shd w:val="clear" w:color="auto" w:fill="FFFFFF"/>
        <w:tabs>
          <w:tab w:val="clear" w:pos="709"/>
          <w:tab w:val="left" w:pos="0" w:leader="none"/>
        </w:tabs>
        <w:ind w:firstLine="709" w:left="0"/>
        <w:jc w:val="both"/>
        <w:textAlignment w:val="baseline"/>
        <w:rPr>
          <w:sz w:val="24"/>
          <w:szCs w:val="24"/>
          <w:lang w:eastAsia="en-US"/>
        </w:rPr>
      </w:pPr>
      <w:r>
        <w:rPr>
          <w:b/>
          <w:sz w:val="24"/>
          <w:szCs w:val="24"/>
          <w:lang w:eastAsia="en-US"/>
        </w:rPr>
        <w:t>«Банковская гарантия»</w:t>
      </w:r>
      <w:r>
        <w:rPr>
          <w:sz w:val="24"/>
          <w:szCs w:val="24"/>
          <w:lang w:eastAsia="en-US"/>
        </w:rPr>
        <w:t xml:space="preserve"> – независимая гарантия, выданная в обеспечение исполнения Поставщиком обязательств по Договору согласованным с Покупателем банком (гарантом), которая регулируется Унифицированными правилами для гарантий </w:t>
        <w:br/>
        <w:t>по требованию, включая типовые формы (URDG 758) (публикация Международной торговой палаты № 758),</w:t>
      </w:r>
      <w:r>
        <w:rPr>
          <w:sz w:val="24"/>
          <w:szCs w:val="24"/>
        </w:rPr>
        <w:t xml:space="preserve"> </w:t>
      </w:r>
      <w:r>
        <w:rPr>
          <w:sz w:val="24"/>
          <w:szCs w:val="24"/>
          <w:lang w:eastAsia="en-US"/>
        </w:rPr>
        <w:t>в той мере, в какой указанные правила не противоречат законодательству Российской Федерации и условиям настоящего Договора.</w:t>
      </w:r>
    </w:p>
    <w:p>
      <w:pPr>
        <w:pStyle w:val="ListParagraph"/>
        <w:shd w:val="clear" w:color="auto" w:fill="FFFFFF"/>
        <w:tabs>
          <w:tab w:val="clear" w:pos="709"/>
          <w:tab w:val="left" w:pos="567" w:leader="none"/>
          <w:tab w:val="left" w:pos="1134" w:leader="none"/>
        </w:tabs>
        <w:ind w:firstLine="708" w:left="0"/>
        <w:jc w:val="both"/>
        <w:textAlignment w:val="baseline"/>
        <w:rPr>
          <w:sz w:val="24"/>
          <w:szCs w:val="24"/>
          <w:lang w:eastAsia="en-US"/>
        </w:rPr>
      </w:pPr>
      <w:r>
        <w:rPr>
          <w:b/>
          <w:sz w:val="24"/>
          <w:szCs w:val="24"/>
          <w:lang w:eastAsia="en-US"/>
        </w:rPr>
        <w:t>«Гарантийный срок»</w:t>
      </w:r>
      <w:r>
        <w:rPr>
          <w:sz w:val="24"/>
          <w:szCs w:val="24"/>
        </w:rPr>
        <w:t xml:space="preserve"> </w:t>
      </w:r>
      <w:r>
        <w:rPr>
          <w:sz w:val="24"/>
          <w:szCs w:val="24"/>
          <w:lang w:eastAsia="en-US"/>
        </w:rPr>
        <w:t>– период, в течение которого качество поставленного Товара должно соответствовать требованиям Договора и Применимого права, и Поставщик обязуется устранять все выявленные Покупателем недостатки, несоответствия и / или дефекты за свой счет. Гарантийный срок, если иное прямо не предусмотрено Договором, распространяется на все составляющие Товара.</w:t>
      </w:r>
    </w:p>
    <w:p>
      <w:pPr>
        <w:pStyle w:val="ListParagraph"/>
        <w:shd w:val="clear" w:color="auto" w:fill="FFFFFF"/>
        <w:tabs>
          <w:tab w:val="clear" w:pos="709"/>
          <w:tab w:val="left" w:pos="0" w:leader="none"/>
        </w:tabs>
        <w:ind w:firstLine="709" w:left="0"/>
        <w:jc w:val="both"/>
        <w:textAlignment w:val="baseline"/>
        <w:rPr>
          <w:sz w:val="24"/>
          <w:szCs w:val="24"/>
          <w:lang w:eastAsia="en-US"/>
        </w:rPr>
      </w:pPr>
      <w:r>
        <w:rPr>
          <w:b/>
          <w:sz w:val="24"/>
          <w:szCs w:val="24"/>
          <w:lang w:eastAsia="en-US"/>
        </w:rPr>
        <w:t>«Договор»</w:t>
      </w:r>
      <w:r>
        <w:rPr>
          <w:sz w:val="24"/>
          <w:szCs w:val="24"/>
          <w:lang w:eastAsia="en-US"/>
        </w:rPr>
        <w:t xml:space="preserve"> – настоящий договор, подписанный Покупателем и Поставщиком,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pPr>
        <w:pStyle w:val="ListParagraph"/>
        <w:shd w:val="clear" w:color="auto" w:fill="FFFFFF"/>
        <w:tabs>
          <w:tab w:val="clear" w:pos="709"/>
          <w:tab w:val="left" w:pos="0" w:leader="none"/>
        </w:tabs>
        <w:ind w:firstLine="709" w:left="0"/>
        <w:jc w:val="both"/>
        <w:textAlignment w:val="baseline"/>
        <w:rPr>
          <w:sz w:val="24"/>
          <w:szCs w:val="24"/>
          <w:lang w:eastAsia="en-US"/>
        </w:rPr>
      </w:pPr>
      <w:r>
        <w:rPr>
          <w:b/>
          <w:sz w:val="24"/>
          <w:szCs w:val="24"/>
          <w:lang w:eastAsia="en-US"/>
        </w:rPr>
        <w:t>«Коммерческая тайна»</w:t>
      </w:r>
      <w:r>
        <w:rPr>
          <w:sz w:val="24"/>
          <w:szCs w:val="24"/>
          <w:lang w:eastAsia="en-US"/>
        </w:rPr>
        <w:t xml:space="preserve"> – режим конфиденциальности информации, позволяющий </w:t>
        <w:br/>
        <w:t xml:space="preserve">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w:t>
        <w:br/>
        <w:t xml:space="preserve">или получить иную коммерческую выгоду. </w:t>
      </w:r>
    </w:p>
    <w:p>
      <w:pPr>
        <w:pStyle w:val="ListParagraph"/>
        <w:shd w:val="clear" w:color="auto" w:fill="FFFFFF"/>
        <w:tabs>
          <w:tab w:val="clear" w:pos="709"/>
          <w:tab w:val="left" w:pos="0" w:leader="none"/>
        </w:tabs>
        <w:ind w:firstLine="709" w:left="0"/>
        <w:jc w:val="both"/>
        <w:textAlignment w:val="baseline"/>
        <w:rPr>
          <w:b/>
          <w:sz w:val="24"/>
          <w:szCs w:val="24"/>
          <w:lang w:eastAsia="en-US"/>
        </w:rPr>
      </w:pPr>
      <w:r>
        <w:rPr>
          <w:b/>
          <w:sz w:val="24"/>
          <w:szCs w:val="24"/>
          <w:lang w:eastAsia="en-US"/>
        </w:rPr>
        <w:t xml:space="preserve">«Накладная ТОРГ-12» </w:t>
      </w:r>
      <w:r>
        <w:rPr>
          <w:sz w:val="24"/>
          <w:szCs w:val="24"/>
          <w:lang w:eastAsia="en-US"/>
        </w:rPr>
        <w:t>–</w:t>
      </w:r>
      <w:r>
        <w:rPr>
          <w:b/>
          <w:sz w:val="24"/>
          <w:szCs w:val="24"/>
          <w:lang w:eastAsia="en-US"/>
        </w:rPr>
        <w:t xml:space="preserve"> </w:t>
      </w:r>
      <w:r>
        <w:rPr>
          <w:sz w:val="24"/>
          <w:szCs w:val="24"/>
          <w:lang w:eastAsia="en-US"/>
        </w:rPr>
        <w:t xml:space="preserve">документ, оформляемый по унифицированной форме </w:t>
        <w:br/>
        <w:t xml:space="preserve">№ ТОРГ-12 «Товарная накладная», утвержденной постановлением Госкомстата РФ </w:t>
        <w:br/>
        <w:t xml:space="preserve">от 25.12.1998 № 132, подписываемый Сторонами после завершения приемки Товара </w:t>
        <w:br/>
        <w:t>по количеству, качеству и комплектности.</w:t>
      </w:r>
    </w:p>
    <w:p>
      <w:pPr>
        <w:pStyle w:val="ListParagraph"/>
        <w:shd w:val="clear" w:color="auto" w:fill="FFFFFF"/>
        <w:tabs>
          <w:tab w:val="clear" w:pos="709"/>
          <w:tab w:val="left" w:pos="0" w:leader="none"/>
        </w:tabs>
        <w:ind w:firstLine="709" w:left="0"/>
        <w:jc w:val="both"/>
        <w:textAlignment w:val="baseline"/>
        <w:rPr>
          <w:b/>
          <w:sz w:val="24"/>
          <w:szCs w:val="24"/>
          <w:lang w:eastAsia="en-US"/>
        </w:rPr>
      </w:pPr>
      <w:r>
        <w:rPr>
          <w:b/>
          <w:bCs/>
          <w:sz w:val="24"/>
          <w:szCs w:val="24"/>
        </w:rPr>
        <w:t>«Национальный режим»</w:t>
      </w:r>
      <w:r>
        <w:rPr>
          <w:bCs/>
          <w:sz w:val="24"/>
          <w:szCs w:val="24"/>
        </w:rPr>
        <w:t xml:space="preserve"> - установленные законодательством Российской Федерации условия, обеспечивающие предоставление (или непредоставление) для происходящей из иностранного государства продукции прав участия в закупке, равных с правами для продукции российского происхождения.</w:t>
      </w:r>
      <w:r>
        <w:rPr>
          <w:b/>
          <w:sz w:val="24"/>
          <w:szCs w:val="24"/>
          <w:lang w:eastAsia="en-US"/>
        </w:rPr>
        <w:t xml:space="preserve"> </w:t>
      </w:r>
    </w:p>
    <w:p>
      <w:pPr>
        <w:pStyle w:val="ListParagraph"/>
        <w:shd w:val="clear" w:color="auto" w:fill="FFFFFF"/>
        <w:tabs>
          <w:tab w:val="clear" w:pos="709"/>
          <w:tab w:val="left" w:pos="0" w:leader="none"/>
        </w:tabs>
        <w:ind w:firstLine="709" w:left="0"/>
        <w:jc w:val="both"/>
        <w:textAlignment w:val="baseline"/>
        <w:rPr>
          <w:sz w:val="24"/>
          <w:szCs w:val="24"/>
          <w:lang w:eastAsia="en-US"/>
        </w:rPr>
      </w:pPr>
      <w:r>
        <w:rPr>
          <w:b/>
          <w:sz w:val="24"/>
          <w:szCs w:val="24"/>
          <w:lang w:eastAsia="en-US"/>
        </w:rPr>
        <w:t xml:space="preserve">«Отказ от Договора» </w:t>
      </w:r>
      <w:r>
        <w:rPr>
          <w:sz w:val="24"/>
          <w:szCs w:val="24"/>
          <w:lang w:eastAsia="en-US"/>
        </w:rPr>
        <w:t xml:space="preserve">– односторонний внесудебный отказ от исполнения Договора, совершенный Стороной в соответствии со статьей 450.1 Гражданского кодекса Российской Федерации (далее – ГК РФ) в случаях, установленных Договором. </w:t>
      </w:r>
    </w:p>
    <w:p>
      <w:pPr>
        <w:pStyle w:val="Heading3"/>
        <w:keepNext w:val="false"/>
        <w:tabs>
          <w:tab w:val="clear" w:pos="709"/>
          <w:tab w:val="left" w:pos="0" w:leader="none"/>
        </w:tabs>
        <w:spacing w:before="0" w:after="0"/>
        <w:ind w:firstLine="709"/>
        <w:jc w:val="both"/>
        <w:textAlignment w:val="baseline"/>
        <w:rPr>
          <w:rFonts w:ascii="Times New Roman" w:hAnsi="Times New Roman"/>
          <w:b w:val="false"/>
          <w:color w:val="auto"/>
          <w:sz w:val="24"/>
          <w:szCs w:val="24"/>
          <w:lang w:val="ru-RU" w:eastAsia="en-US"/>
        </w:rPr>
      </w:pPr>
      <w:r>
        <w:rPr>
          <w:rFonts w:ascii="Times New Roman" w:hAnsi="Times New Roman"/>
          <w:color w:val="auto"/>
          <w:sz w:val="24"/>
          <w:szCs w:val="24"/>
          <w:lang w:val="ru-RU" w:eastAsia="en-US"/>
        </w:rPr>
        <w:t>«Применимое право»</w:t>
      </w:r>
      <w:r>
        <w:rPr>
          <w:rFonts w:ascii="Times New Roman" w:hAnsi="Times New Roman"/>
          <w:b w:val="false"/>
          <w:color w:val="auto"/>
          <w:sz w:val="24"/>
          <w:szCs w:val="24"/>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Товару.</w:t>
      </w:r>
    </w:p>
    <w:p>
      <w:pPr>
        <w:pStyle w:val="Normal"/>
        <w:ind w:firstLine="708"/>
        <w:jc w:val="both"/>
        <w:rPr>
          <w:sz w:val="24"/>
          <w:szCs w:val="24"/>
          <w:lang w:eastAsia="en-US"/>
        </w:rPr>
      </w:pPr>
      <w:r>
        <w:rPr>
          <w:b/>
          <w:sz w:val="24"/>
          <w:szCs w:val="24"/>
          <w:lang w:eastAsia="en-US"/>
        </w:rPr>
        <w:t>«Рабочий день»</w:t>
      </w:r>
      <w:r>
        <w:rPr>
          <w:sz w:val="24"/>
          <w:szCs w:val="24"/>
          <w:lang w:eastAsia="en-US"/>
        </w:rPr>
        <w:t xml:space="preserve"> – день, который в соответствии с Применимым правом, является рабочим днем в Российской Федерации.</w:t>
      </w:r>
    </w:p>
    <w:p>
      <w:pPr>
        <w:pStyle w:val="Heading3"/>
        <w:keepNext w:val="false"/>
        <w:tabs>
          <w:tab w:val="clear" w:pos="709"/>
          <w:tab w:val="left" w:pos="567" w:leader="none"/>
        </w:tabs>
        <w:spacing w:before="0" w:after="0"/>
        <w:ind w:firstLine="708"/>
        <w:jc w:val="both"/>
        <w:textAlignment w:val="baseline"/>
        <w:rPr/>
      </w:pPr>
      <w:r>
        <w:rPr>
          <w:rFonts w:ascii="Times New Roman" w:hAnsi="Times New Roman"/>
          <w:color w:val="000000"/>
          <w:sz w:val="24"/>
          <w:szCs w:val="24"/>
          <w:lang w:val="ru-RU" w:eastAsia="en-US"/>
        </w:rPr>
        <w:t xml:space="preserve">«Универсальный передаточный документ», «УПД» </w:t>
      </w:r>
      <w:r>
        <w:rPr>
          <w:rFonts w:ascii="Times New Roman" w:hAnsi="Times New Roman"/>
          <w:b w:val="false"/>
          <w:color w:val="000000"/>
          <w:sz w:val="24"/>
          <w:szCs w:val="24"/>
          <w:lang w:val="ru-RU" w:eastAsia="en-US"/>
        </w:rPr>
        <w:t>–</w:t>
      </w:r>
      <w:r>
        <w:rPr>
          <w:rFonts w:ascii="Times New Roman" w:hAnsi="Times New Roman"/>
          <w:color w:val="000000"/>
          <w:sz w:val="24"/>
          <w:szCs w:val="24"/>
          <w:lang w:val="ru-RU" w:eastAsia="en-US"/>
        </w:rPr>
        <w:t xml:space="preserve"> </w:t>
      </w:r>
      <w:r>
        <w:rPr>
          <w:rFonts w:ascii="Times New Roman" w:hAnsi="Times New Roman"/>
          <w:b w:val="false"/>
          <w:color w:val="000000"/>
          <w:sz w:val="24"/>
          <w:szCs w:val="24"/>
          <w:lang w:val="ru-RU" w:eastAsia="en-US"/>
        </w:rPr>
        <w:t>форма документа, рекомендованная для применения письмом ФНС России от 21.10.2013 № ММВ-20-3/96@ (объединяет реквизиты счета-фактуры и первичного документа о передаче товаров, работ, услуг)</w:t>
      </w:r>
      <w:r>
        <w:rPr>
          <w:rFonts w:ascii="Times New Roman" w:hAnsi="Times New Roman"/>
          <w:b w:val="false"/>
          <w:bCs w:val="false"/>
          <w:color w:val="000000"/>
          <w:sz w:val="24"/>
          <w:szCs w:val="24"/>
          <w:lang w:val="ru-RU" w:eastAsia="en-US"/>
        </w:rPr>
        <w:t>.</w:t>
      </w:r>
    </w:p>
    <w:p>
      <w:pPr>
        <w:pStyle w:val="Heading3"/>
        <w:tabs>
          <w:tab w:val="clear" w:pos="709"/>
          <w:tab w:val="left" w:pos="0" w:leader="none"/>
        </w:tabs>
        <w:spacing w:before="0" w:after="0"/>
        <w:ind w:firstLine="708"/>
        <w:jc w:val="both"/>
        <w:textAlignment w:val="baseline"/>
        <w:rPr>
          <w:rFonts w:ascii="Times New Roman" w:hAnsi="Times New Roman"/>
          <w:b w:val="false"/>
          <w:color w:val="auto"/>
          <w:sz w:val="24"/>
          <w:szCs w:val="24"/>
          <w:lang w:val="ru-RU" w:eastAsia="en-US"/>
        </w:rPr>
      </w:pPr>
      <w:r>
        <w:rPr>
          <w:rFonts w:ascii="Times New Roman" w:hAnsi="Times New Roman"/>
          <w:color w:val="auto"/>
          <w:sz w:val="24"/>
          <w:szCs w:val="24"/>
          <w:lang w:val="ru-RU" w:eastAsia="en-US"/>
        </w:rPr>
        <w:t>«Цена Договора»</w:t>
      </w:r>
      <w:r>
        <w:rPr>
          <w:rFonts w:ascii="Times New Roman" w:hAnsi="Times New Roman"/>
          <w:b w:val="false"/>
          <w:color w:val="auto"/>
          <w:sz w:val="24"/>
          <w:szCs w:val="24"/>
          <w:lang w:val="ru-RU" w:eastAsia="en-US"/>
        </w:rPr>
        <w:t xml:space="preserve"> – определяемая в соответствии с разделом 2 Договора сумма, которую Покупатель обязуется уплатить Поставщику в порядке и на условиях, установленных Договором, включающая компенсацию всех издержек Поставщика </w:t>
        <w:br/>
        <w:t xml:space="preserve">и причитающееся ему вознаграждение, а также инфляционные риски на весь период действия Договора. </w:t>
      </w:r>
    </w:p>
    <w:p>
      <w:pPr>
        <w:pStyle w:val="Normal"/>
        <w:shd w:val="clear" w:color="auto" w:fill="FFFFFF"/>
        <w:ind w:firstLine="709"/>
        <w:jc w:val="center"/>
        <w:rPr>
          <w:bCs/>
          <w:sz w:val="24"/>
          <w:szCs w:val="24"/>
        </w:rPr>
      </w:pPr>
      <w:r>
        <w:rPr>
          <w:bCs/>
          <w:sz w:val="24"/>
          <w:szCs w:val="24"/>
        </w:rPr>
      </w:r>
    </w:p>
    <w:p>
      <w:pPr>
        <w:pStyle w:val="Normal"/>
        <w:numPr>
          <w:ilvl w:val="0"/>
          <w:numId w:val="2"/>
        </w:numPr>
        <w:shd w:val="clear" w:color="auto" w:fill="FFFFFF"/>
        <w:tabs>
          <w:tab w:val="clear" w:pos="709"/>
          <w:tab w:val="left" w:pos="284" w:leader="none"/>
        </w:tabs>
        <w:ind w:hanging="0" w:left="0"/>
        <w:jc w:val="center"/>
        <w:rPr>
          <w:b/>
          <w:bCs/>
          <w:sz w:val="24"/>
          <w:szCs w:val="24"/>
        </w:rPr>
      </w:pPr>
      <w:r>
        <w:rPr>
          <w:b/>
          <w:bCs/>
          <w:sz w:val="24"/>
          <w:szCs w:val="24"/>
        </w:rPr>
        <w:t>Предмет Договора</w:t>
      </w:r>
    </w:p>
    <w:p>
      <w:pPr>
        <w:pStyle w:val="Normal"/>
        <w:numPr>
          <w:ilvl w:val="1"/>
          <w:numId w:val="2"/>
        </w:numPr>
        <w:shd w:val="clear" w:color="auto" w:fill="FFFFFF"/>
        <w:tabs>
          <w:tab w:val="clear" w:pos="709"/>
          <w:tab w:val="left" w:pos="1134" w:leader="none"/>
        </w:tabs>
        <w:ind w:firstLine="709" w:left="0"/>
        <w:jc w:val="both"/>
        <w:rPr>
          <w:bCs/>
          <w:sz w:val="24"/>
          <w:szCs w:val="24"/>
        </w:rPr>
      </w:pPr>
      <w:r>
        <w:rPr>
          <w:bCs/>
          <w:sz w:val="24"/>
          <w:szCs w:val="24"/>
        </w:rPr>
        <w:t xml:space="preserve">Поставщик обязуется в порядке и сроки, установленные Договором, передать </w:t>
        <w:br/>
        <w:t>в собственность Покупателю</w:t>
      </w:r>
      <w:r>
        <w:rPr>
          <w:rFonts w:eastAsia="Calibri"/>
          <w:bCs/>
          <w:sz w:val="24"/>
          <w:szCs w:val="24"/>
          <w:lang w:eastAsia="en-US"/>
        </w:rPr>
        <w:t xml:space="preserve"> </w:t>
      </w:r>
      <w:r>
        <w:rPr>
          <w:bCs/>
          <w:sz w:val="24"/>
          <w:szCs w:val="24"/>
          <w:highlight w:val="lightGray"/>
        </w:rPr>
        <w:t xml:space="preserve">_____________________ </w:t>
      </w:r>
      <w:r>
        <w:rPr>
          <w:bCs/>
          <w:i/>
          <w:sz w:val="24"/>
          <w:szCs w:val="24"/>
          <w:highlight w:val="lightGray"/>
        </w:rPr>
        <w:t>[указывается общее наименование товара]</w:t>
      </w:r>
      <w:r>
        <w:rPr>
          <w:bCs/>
          <w:sz w:val="24"/>
          <w:szCs w:val="24"/>
        </w:rPr>
        <w:t xml:space="preserve"> (далее – «Товар») в соответствии со Спецификацией (Приложение № 1 к Договору) и Техническими требованиями (Приложение № 2 к Договору), а Покупатель обязуется принять Товар и уплатить Цену Договора.</w:t>
      </w:r>
    </w:p>
    <w:p>
      <w:pPr>
        <w:pStyle w:val="Norma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 xml:space="preserve">Поставка Товара по Договору осуществляется для нужд </w:t>
      </w:r>
      <w:r>
        <w:rPr>
          <w:bCs/>
          <w:sz w:val="24"/>
          <w:szCs w:val="24"/>
          <w:highlight w:val="lightGray"/>
        </w:rPr>
        <w:t>__________________.</w:t>
      </w:r>
    </w:p>
    <w:p>
      <w:pPr>
        <w:pStyle w:val="Norma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 xml:space="preserve">Место поставки Товара: </w:t>
      </w:r>
      <w:r>
        <w:rPr>
          <w:sz w:val="24"/>
          <w:szCs w:val="24"/>
          <w:highlight w:val="lightGray"/>
        </w:rPr>
        <w:t>_________________</w:t>
      </w:r>
      <w:r>
        <w:rPr>
          <w:sz w:val="24"/>
          <w:szCs w:val="24"/>
        </w:rPr>
        <w:t xml:space="preserve"> (далее – «Место поставки»).</w:t>
      </w:r>
    </w:p>
    <w:p>
      <w:pPr>
        <w:pStyle w:val="Normal"/>
        <w:numPr>
          <w:ilvl w:val="1"/>
          <w:numId w:val="2"/>
        </w:numPr>
        <w:shd w:val="clear" w:color="auto" w:fill="FFFFFF"/>
        <w:tabs>
          <w:tab w:val="clear" w:pos="709"/>
          <w:tab w:val="left" w:pos="0" w:leader="none"/>
          <w:tab w:val="left" w:pos="540" w:leader="none"/>
          <w:tab w:val="left" w:pos="1134" w:leader="none"/>
        </w:tabs>
        <w:ind w:firstLine="709" w:left="0"/>
        <w:jc w:val="both"/>
        <w:rPr>
          <w:bCs/>
          <w:sz w:val="24"/>
          <w:szCs w:val="24"/>
        </w:rPr>
      </w:pPr>
      <w:r>
        <w:rPr>
          <w:bCs/>
          <w:sz w:val="24"/>
          <w:szCs w:val="24"/>
        </w:rPr>
        <w:t xml:space="preserve">Срок поставки Товара: </w:t>
      </w:r>
      <w:r>
        <w:rPr>
          <w:bCs/>
          <w:sz w:val="24"/>
          <w:szCs w:val="24"/>
          <w:highlight w:val="lightGray"/>
        </w:rPr>
        <w:t>«___» ___________ 20___</w:t>
      </w:r>
      <w:r>
        <w:rPr>
          <w:bCs/>
          <w:sz w:val="24"/>
          <w:szCs w:val="24"/>
        </w:rPr>
        <w:t xml:space="preserve"> г.</w:t>
      </w:r>
    </w:p>
    <w:p>
      <w:pPr>
        <w:pStyle w:val="Normal"/>
        <w:shd w:val="clear" w:color="auto" w:fill="FFFFFF"/>
        <w:tabs>
          <w:tab w:val="clear" w:pos="709"/>
          <w:tab w:val="left" w:pos="540" w:leader="none"/>
        </w:tabs>
        <w:ind w:hanging="0" w:left="1134"/>
        <w:jc w:val="both"/>
        <w:rPr>
          <w:sz w:val="24"/>
          <w:szCs w:val="24"/>
        </w:rPr>
      </w:pPr>
      <w:r>
        <w:rPr>
          <w:sz w:val="24"/>
          <w:szCs w:val="24"/>
        </w:rPr>
      </w:r>
    </w:p>
    <w:p>
      <w:pPr>
        <w:pStyle w:val="Normal"/>
        <w:numPr>
          <w:ilvl w:val="0"/>
          <w:numId w:val="2"/>
        </w:numPr>
        <w:shd w:val="clear" w:color="auto" w:fill="FFFFFF"/>
        <w:tabs>
          <w:tab w:val="clear" w:pos="709"/>
          <w:tab w:val="left" w:pos="284" w:leader="none"/>
        </w:tabs>
        <w:ind w:hanging="0" w:left="0"/>
        <w:jc w:val="center"/>
        <w:rPr>
          <w:b/>
          <w:bCs/>
          <w:sz w:val="24"/>
          <w:szCs w:val="24"/>
        </w:rPr>
      </w:pPr>
      <w:r>
        <w:rPr>
          <w:b/>
          <w:bCs/>
          <w:sz w:val="24"/>
          <w:szCs w:val="24"/>
        </w:rPr>
        <w:t>Цена Договора и порядок расчетов</w:t>
      </w:r>
    </w:p>
    <w:p>
      <w:pPr>
        <w:pStyle w:val="Normal"/>
        <w:numPr>
          <w:ilvl w:val="1"/>
          <w:numId w:val="2"/>
        </w:numPr>
        <w:shd w:val="clear" w:color="auto" w:fill="FFFFFF"/>
        <w:tabs>
          <w:tab w:val="clear" w:pos="709"/>
          <w:tab w:val="left" w:pos="0" w:leader="none"/>
          <w:tab w:val="left" w:pos="1134" w:leader="none"/>
        </w:tabs>
        <w:ind w:firstLine="709" w:left="0"/>
        <w:jc w:val="both"/>
        <w:rPr>
          <w:bCs/>
          <w:sz w:val="24"/>
          <w:szCs w:val="24"/>
        </w:rPr>
      </w:pPr>
      <w:r>
        <w:rPr>
          <w:sz w:val="24"/>
          <w:szCs w:val="24"/>
        </w:rPr>
        <w:t xml:space="preserve">Цена Договора в соответствии со Спецификацией (Приложение № 1 к Договору) </w:t>
      </w:r>
      <w:r>
        <w:rPr>
          <w:bCs/>
          <w:sz w:val="24"/>
          <w:szCs w:val="24"/>
        </w:rPr>
        <w:t xml:space="preserve">является </w:t>
      </w:r>
      <w:r>
        <w:rPr>
          <w:bCs/>
          <w:sz w:val="24"/>
          <w:szCs w:val="24"/>
          <w:highlight w:val="lightGray"/>
        </w:rPr>
        <w:t>твердой</w:t>
      </w:r>
      <w:r>
        <w:rPr>
          <w:bCs/>
          <w:sz w:val="24"/>
          <w:szCs w:val="24"/>
        </w:rPr>
        <w:t xml:space="preserve"> и составляет </w:t>
      </w:r>
      <w:r>
        <w:rPr>
          <w:sz w:val="24"/>
          <w:szCs w:val="24"/>
          <w:highlight w:val="lightGray"/>
        </w:rPr>
        <w:t>_______</w:t>
      </w:r>
      <w:r>
        <w:rPr>
          <w:bCs/>
          <w:sz w:val="24"/>
          <w:szCs w:val="24"/>
        </w:rPr>
        <w:t xml:space="preserve"> (</w:t>
      </w:r>
      <w:r>
        <w:rPr>
          <w:sz w:val="24"/>
          <w:szCs w:val="24"/>
          <w:highlight w:val="lightGray"/>
        </w:rPr>
        <w:t>__________________</w:t>
      </w:r>
      <w:r>
        <w:rPr>
          <w:bCs/>
          <w:sz w:val="24"/>
          <w:szCs w:val="24"/>
          <w:highlight w:val="lightGray"/>
        </w:rPr>
        <w:t>)</w:t>
      </w:r>
      <w:r>
        <w:rPr>
          <w:bCs/>
          <w:sz w:val="24"/>
          <w:szCs w:val="24"/>
        </w:rPr>
        <w:t xml:space="preserve"> рублей </w:t>
      </w:r>
      <w:r>
        <w:rPr>
          <w:sz w:val="24"/>
          <w:szCs w:val="24"/>
          <w:highlight w:val="lightGray"/>
        </w:rPr>
        <w:t>___</w:t>
      </w:r>
      <w:r>
        <w:rPr>
          <w:bCs/>
          <w:sz w:val="24"/>
          <w:szCs w:val="24"/>
        </w:rPr>
        <w:t xml:space="preserve"> копеек без учета НДС, при этом НДС исчисляется дополнительно по ставке, установленной ст. 164 Налогового кодекса Российской Федерации.</w:t>
      </w:r>
    </w:p>
    <w:p>
      <w:pPr>
        <w:pStyle w:val="Normal"/>
        <w:numPr>
          <w:ilvl w:val="1"/>
          <w:numId w:val="2"/>
        </w:numPr>
        <w:shd w:val="clear" w:color="auto" w:fill="FFFFFF"/>
        <w:tabs>
          <w:tab w:val="clear" w:pos="709"/>
          <w:tab w:val="left" w:pos="0" w:leader="none"/>
          <w:tab w:val="left" w:pos="1134" w:leader="none"/>
        </w:tabs>
        <w:ind w:firstLine="709" w:left="0"/>
        <w:jc w:val="both"/>
        <w:rPr>
          <w:highlight w:val="none"/>
          <w:shd w:fill="auto" w:val="clear"/>
        </w:rPr>
      </w:pPr>
      <w:r>
        <w:rPr>
          <w:bCs/>
          <w:sz w:val="24"/>
          <w:szCs w:val="24"/>
          <w:shd w:fill="auto" w:val="clear"/>
        </w:rPr>
        <w:t>Цена за единицу Товара определяется в соответствии со Спецификацией (Приложение № 1 к Договору) и является фиксированной в течение всего срока действия Договора.</w:t>
      </w:r>
    </w:p>
    <w:p>
      <w:pPr>
        <w:pStyle w:val="Normal"/>
        <w:numPr>
          <w:ilvl w:val="1"/>
          <w:numId w:val="2"/>
        </w:numPr>
        <w:shd w:val="clear" w:color="auto" w:fill="FFFFFF"/>
        <w:tabs>
          <w:tab w:val="clear" w:pos="709"/>
          <w:tab w:val="left" w:pos="1134" w:leader="none"/>
        </w:tabs>
        <w:ind w:firstLine="709" w:left="0"/>
        <w:jc w:val="both"/>
        <w:rPr>
          <w:bCs/>
          <w:sz w:val="24"/>
          <w:szCs w:val="24"/>
        </w:rPr>
      </w:pPr>
      <w:r>
        <w:rPr>
          <w:bCs/>
          <w:sz w:val="24"/>
          <w:szCs w:val="24"/>
        </w:rPr>
        <w:t xml:space="preserve">Цена Договора включает в себя прибыль Поставщика, а также все расходы </w:t>
        <w:br/>
        <w:t xml:space="preserve">и затраты Поставщика на: </w:t>
      </w:r>
    </w:p>
    <w:p>
      <w:pPr>
        <w:pStyle w:val="Normal"/>
        <w:numPr>
          <w:ilvl w:val="2"/>
          <w:numId w:val="2"/>
        </w:numPr>
        <w:shd w:val="clear" w:color="auto" w:fill="FFFFFF"/>
        <w:tabs>
          <w:tab w:val="clear" w:pos="709"/>
          <w:tab w:val="left" w:pos="1418" w:leader="none"/>
        </w:tabs>
        <w:ind w:firstLine="709" w:left="0"/>
        <w:jc w:val="both"/>
        <w:rPr>
          <w:bCs/>
          <w:sz w:val="24"/>
          <w:szCs w:val="24"/>
        </w:rPr>
      </w:pPr>
      <w:r>
        <w:rPr>
          <w:bCs/>
          <w:sz w:val="24"/>
          <w:szCs w:val="24"/>
        </w:rPr>
        <w:t>Производство и / или приобретение Товара.</w:t>
      </w:r>
    </w:p>
    <w:p>
      <w:pPr>
        <w:pStyle w:val="ListParagraph"/>
        <w:numPr>
          <w:ilvl w:val="2"/>
          <w:numId w:val="9"/>
        </w:numPr>
        <w:shd w:val="clear" w:color="auto" w:fill="FFFFFF"/>
        <w:tabs>
          <w:tab w:val="clear" w:pos="709"/>
          <w:tab w:val="left" w:pos="1418" w:leader="none"/>
        </w:tabs>
        <w:ind w:firstLine="709" w:left="0"/>
        <w:jc w:val="both"/>
        <w:rPr>
          <w:bCs/>
          <w:sz w:val="24"/>
          <w:szCs w:val="24"/>
        </w:rPr>
      </w:pPr>
      <w:r>
        <w:rPr>
          <w:bCs/>
          <w:sz w:val="24"/>
          <w:szCs w:val="24"/>
        </w:rPr>
        <w:t xml:space="preserve">Транспортировку Товара до Места поставки, погрузку, разгрузку, стоимость тары и упаковки, лицензий, необходимых для использования Товара (если применимо). </w:t>
      </w:r>
    </w:p>
    <w:p>
      <w:pPr>
        <w:pStyle w:val="Normal"/>
        <w:numPr>
          <w:ilvl w:val="2"/>
          <w:numId w:val="2"/>
        </w:numPr>
        <w:shd w:val="clear" w:color="auto" w:fill="FFFFFF"/>
        <w:tabs>
          <w:tab w:val="clear" w:pos="709"/>
          <w:tab w:val="left" w:pos="1418" w:leader="none"/>
        </w:tabs>
        <w:ind w:firstLine="709" w:left="0"/>
        <w:jc w:val="both"/>
        <w:rPr>
          <w:bCs/>
          <w:sz w:val="24"/>
          <w:szCs w:val="24"/>
        </w:rPr>
      </w:pPr>
      <w:r>
        <w:rPr>
          <w:bCs/>
          <w:sz w:val="24"/>
          <w:szCs w:val="24"/>
        </w:rPr>
        <w:t>Подлежащие уплате налоги, сборы и пошлины (в том числе по таможенному оформлению Товара, если применимо).</w:t>
      </w:r>
    </w:p>
    <w:p>
      <w:pPr>
        <w:pStyle w:val="Norma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Заработную плату, накладные и командировочные расходы, перемещение </w:t>
        <w:br/>
        <w:t xml:space="preserve">и размещение персонала Поставщика. </w:t>
      </w:r>
    </w:p>
    <w:p>
      <w:pPr>
        <w:pStyle w:val="Norma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Все прочие затраты и расходы Поставщика, связанные с поставкой Товара </w:t>
        <w:br/>
        <w:t xml:space="preserve">и исполнением иных обязательств по Договору, а также все непредвиденные расходы, которые могут возникнуть у Поставщика в течение срока действия Договора. </w:t>
      </w:r>
    </w:p>
    <w:p>
      <w:pPr>
        <w:pStyle w:val="Normal"/>
        <w:numPr>
          <w:ilvl w:val="1"/>
          <w:numId w:val="2"/>
        </w:numPr>
        <w:shd w:val="clear" w:color="auto" w:fill="FFFFFF"/>
        <w:tabs>
          <w:tab w:val="clear" w:pos="709"/>
          <w:tab w:val="left" w:pos="568" w:leader="none"/>
          <w:tab w:val="left" w:pos="1134" w:leader="none"/>
        </w:tabs>
        <w:ind w:firstLine="709" w:left="0"/>
        <w:jc w:val="both"/>
        <w:rPr>
          <w:sz w:val="24"/>
          <w:szCs w:val="24"/>
        </w:rPr>
      </w:pPr>
      <w:r>
        <w:rPr>
          <w:sz w:val="24"/>
          <w:szCs w:val="24"/>
        </w:rPr>
        <w:t>Изменение стоимости Товара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Normal"/>
        <w:numPr>
          <w:ilvl w:val="1"/>
          <w:numId w:val="2"/>
        </w:numPr>
        <w:shd w:val="clear" w:color="auto" w:fill="FFFFFF"/>
        <w:tabs>
          <w:tab w:val="clear" w:pos="709"/>
          <w:tab w:val="left" w:pos="0" w:leader="none"/>
          <w:tab w:val="left" w:pos="1134" w:leader="none"/>
        </w:tabs>
        <w:ind w:firstLine="709" w:left="0"/>
        <w:jc w:val="both"/>
        <w:rPr>
          <w:sz w:val="24"/>
          <w:szCs w:val="24"/>
        </w:rPr>
      </w:pPr>
      <w:r>
        <w:rPr>
          <w:sz w:val="24"/>
          <w:szCs w:val="24"/>
        </w:rPr>
        <w:t xml:space="preserve">Оплата по Договору осуществляется Покупателем в следующем порядке: </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sz w:val="24"/>
          <w:szCs w:val="24"/>
        </w:rPr>
      </w:pPr>
      <w:r>
        <w:rPr>
          <w:bCs/>
          <w:sz w:val="24"/>
          <w:szCs w:val="24"/>
        </w:rPr>
        <w:t>Авансовый платеж в размере 100 (сто)%, от Цены Договора выплачивается в течение 7 (семи) календарных дней с даты подписания Договора и получения Покупателем счета, выставленного Поставщиком</w:t>
      </w:r>
      <w:r>
        <w:rPr>
          <w:sz w:val="24"/>
          <w:szCs w:val="24"/>
        </w:rPr>
        <w:t>.</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sz w:val="24"/>
          <w:szCs w:val="24"/>
        </w:rPr>
      </w:pPr>
      <w:r>
        <w:rPr>
          <w:sz w:val="24"/>
          <w:szCs w:val="24"/>
        </w:rPr>
        <w:t>В случае выставления Поставщиком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Покупателем не принимается и подлежит замене Поставщиком независимо от его фактического вручения Покупателю. В случае выставления Поставщиком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Покупателем.</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Расчеты по Договору осуществляются в валюте Российской Федерации. Оплата производится Покупателем путем перечисления денежных средств на расчетный счет Поставщика, указанный в Договоре. Обязательство Покупателя по осуществлению платежа считается исполненным с даты списания денежных средств с расчетного счета Покупателя.</w:t>
      </w:r>
    </w:p>
    <w:p>
      <w:pPr>
        <w:pStyle w:val="Normal"/>
        <w:numPr>
          <w:ilvl w:val="1"/>
          <w:numId w:val="2"/>
        </w:numPr>
        <w:shd w:val="clear" w:color="auto" w:fill="FFFFFF"/>
        <w:tabs>
          <w:tab w:val="clear" w:pos="709"/>
          <w:tab w:val="left" w:pos="0" w:leader="none"/>
          <w:tab w:val="left" w:pos="567" w:leader="none"/>
          <w:tab w:val="left" w:pos="716" w:leader="none"/>
          <w:tab w:val="left" w:pos="1134" w:leader="none"/>
        </w:tabs>
        <w:ind w:firstLine="709" w:left="0"/>
        <w:jc w:val="both"/>
        <w:rPr>
          <w:sz w:val="24"/>
          <w:szCs w:val="24"/>
        </w:rPr>
      </w:pPr>
      <w:r>
        <w:rPr>
          <w:sz w:val="24"/>
          <w:szCs w:val="24"/>
        </w:rPr>
        <w:t>Индексация Цены Договора не допускается.</w:t>
      </w:r>
    </w:p>
    <w:p>
      <w:pPr>
        <w:pStyle w:val="Normal"/>
        <w:numPr>
          <w:ilvl w:val="1"/>
          <w:numId w:val="2"/>
        </w:numPr>
        <w:shd w:val="clear" w:color="auto" w:fill="FFFFFF"/>
        <w:tabs>
          <w:tab w:val="clear" w:pos="709"/>
          <w:tab w:val="left" w:pos="0" w:leader="none"/>
          <w:tab w:val="left" w:pos="567" w:leader="none"/>
          <w:tab w:val="left" w:pos="716" w:leader="none"/>
          <w:tab w:val="left" w:pos="1134" w:leader="none"/>
        </w:tabs>
        <w:ind w:firstLine="709" w:left="0"/>
        <w:jc w:val="both"/>
        <w:rPr>
          <w:sz w:val="24"/>
          <w:szCs w:val="24"/>
        </w:rPr>
      </w:pPr>
      <w:r>
        <w:rPr>
          <w:sz w:val="24"/>
          <w:szCs w:val="24"/>
        </w:rPr>
        <w:t>Поставщик обязан представить Покупателю счета-фактуры/УПД, выставленные в сроки и оформленные в порядке, установленном законодательством Российской Федерации. В случае нарушения Поставщиком данного требования, он обязан произвести замену счета-фактуры/УПД в течение 3 (трех) рабочих дней с даты получения соответствующего письменного требования Покупателя. В случае непредставления Поставщиком в течение 5 (пяти) календарных дней с даты получения авансового платежа счета-фактуры,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Покупателем, и суммой соответствующего авансового платежа, взятого без учета НДС.</w:t>
      </w:r>
    </w:p>
    <w:p>
      <w:pPr>
        <w:pStyle w:val="ListParagraph"/>
        <w:numPr>
          <w:ilvl w:val="1"/>
          <w:numId w:val="2"/>
        </w:numPr>
        <w:tabs>
          <w:tab w:val="clear" w:pos="709"/>
          <w:tab w:val="left" w:pos="1134" w:leader="none"/>
        </w:tabs>
        <w:ind w:firstLine="709" w:left="0"/>
        <w:jc w:val="both"/>
        <w:rPr>
          <w:sz w:val="24"/>
          <w:szCs w:val="24"/>
        </w:rPr>
      </w:pPr>
      <w:r>
        <w:rPr>
          <w:sz w:val="24"/>
          <w:szCs w:val="24"/>
        </w:rPr>
        <w:t xml:space="preserve">Поставщик обязан подписать акты сверки взаимных расчетов, направленные Покупателем в 2 (двух) экземплярах, и вернуть 1 (один) экземпляр Покупателю в течение </w:t>
        <w:br/>
        <w:t>5 (пяти) рабочих дней с даты получения экземпляров актов сверки расчетов от Покупателя.</w:t>
      </w:r>
    </w:p>
    <w:p>
      <w:pPr>
        <w:pStyle w:val="Normal"/>
        <w:numPr>
          <w:ilvl w:val="1"/>
          <w:numId w:val="2"/>
        </w:numPr>
        <w:shd w:val="clear" w:color="auto" w:fill="FFFFFF"/>
        <w:tabs>
          <w:tab w:val="clear" w:pos="709"/>
          <w:tab w:val="left" w:pos="0" w:leader="none"/>
          <w:tab w:val="left" w:pos="567" w:leader="none"/>
          <w:tab w:val="left" w:pos="716" w:leader="none"/>
          <w:tab w:val="left" w:pos="1134" w:leader="none"/>
          <w:tab w:val="left" w:pos="1276" w:leader="none"/>
        </w:tabs>
        <w:ind w:firstLine="709" w:left="0"/>
        <w:jc w:val="both"/>
        <w:rPr>
          <w:sz w:val="24"/>
          <w:szCs w:val="24"/>
        </w:rPr>
      </w:pPr>
      <w:r>
        <w:rPr>
          <w:sz w:val="24"/>
        </w:rPr>
        <w:t xml:space="preserve">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w:t>
      </w:r>
      <w:r>
        <w:rPr>
          <w:iCs/>
          <w:sz w:val="24"/>
          <w:szCs w:val="24"/>
        </w:rPr>
        <w:t>Поставщика перед Покупателем</w:t>
      </w:r>
      <w:r>
        <w:rPr>
          <w:sz w:val="24"/>
        </w:rPr>
        <w:t xml:space="preserve">, в том числе (включая, но не ограничиваясь), суммы неотработанного аванса по Договору, суммы неустоек (пени, штрафы) </w:t>
        <w:br/>
        <w:t>за неисполнение и / или ненадлежащее исполнение обязательств по Договору, стоимость работ по устранению недостатков Товара, поставленного Поставщиком.</w:t>
      </w:r>
    </w:p>
    <w:p>
      <w:pPr>
        <w:pStyle w:val="Normal"/>
        <w:ind w:firstLine="709"/>
        <w:jc w:val="both"/>
        <w:rPr>
          <w:sz w:val="24"/>
          <w:szCs w:val="24"/>
        </w:rPr>
      </w:pPr>
      <w:r>
        <w:rPr>
          <w:sz w:val="24"/>
        </w:rPr>
        <w:t>Покупатель направляет Поставщику уведомление о проведении сальдо взаимных обязательств Сторон по Договору.</w:t>
      </w:r>
    </w:p>
    <w:p>
      <w:pPr>
        <w:pStyle w:val="Normal"/>
        <w:rPr>
          <w:sz w:val="24"/>
          <w:szCs w:val="24"/>
        </w:rPr>
      </w:pPr>
      <w:r>
        <w:rPr>
          <w:sz w:val="24"/>
          <w:szCs w:val="24"/>
        </w:rPr>
      </w:r>
    </w:p>
    <w:p>
      <w:pPr>
        <w:pStyle w:val="Normal"/>
        <w:numPr>
          <w:ilvl w:val="0"/>
          <w:numId w:val="2"/>
        </w:numPr>
        <w:shd w:val="clear" w:color="auto" w:fill="FFFFFF"/>
        <w:tabs>
          <w:tab w:val="clear" w:pos="709"/>
          <w:tab w:val="left" w:pos="284" w:leader="none"/>
        </w:tabs>
        <w:ind w:hanging="0" w:left="0"/>
        <w:jc w:val="center"/>
        <w:rPr>
          <w:b/>
          <w:bCs/>
          <w:sz w:val="24"/>
          <w:szCs w:val="24"/>
        </w:rPr>
      </w:pPr>
      <w:r>
        <w:rPr>
          <w:b/>
          <w:bCs/>
          <w:sz w:val="24"/>
          <w:szCs w:val="24"/>
        </w:rPr>
        <w:t>Порядок поставки и приемки Товара</w:t>
      </w:r>
    </w:p>
    <w:p>
      <w:pPr>
        <w:pStyle w:val="ListParagraph"/>
        <w:widowControl/>
        <w:numPr>
          <w:ilvl w:val="1"/>
          <w:numId w:val="2"/>
        </w:numPr>
        <w:shd w:val="clear" w:color="auto" w:fill="FFFFFF"/>
        <w:tabs>
          <w:tab w:val="clear" w:pos="709"/>
          <w:tab w:val="left" w:pos="1134" w:leader="none"/>
        </w:tabs>
        <w:ind w:firstLine="709" w:left="0"/>
        <w:jc w:val="both"/>
        <w:rPr>
          <w:bCs/>
          <w:sz w:val="24"/>
          <w:szCs w:val="24"/>
        </w:rPr>
      </w:pPr>
      <w:r>
        <w:rPr>
          <w:sz w:val="24"/>
          <w:szCs w:val="24"/>
        </w:rPr>
        <w:t>Поставка Товара осуществляется в Место поставки, указанное в пункте 1.3 Договора.</w:t>
      </w:r>
    </w:p>
    <w:p>
      <w:pPr>
        <w:pStyle w:val="ListParagraph"/>
        <w:widowControl/>
        <w:numPr>
          <w:ilvl w:val="1"/>
          <w:numId w:val="2"/>
        </w:numPr>
        <w:shd w:val="clear" w:color="auto" w:fill="FFFFFF"/>
        <w:tabs>
          <w:tab w:val="clear" w:pos="709"/>
          <w:tab w:val="left" w:pos="1134" w:leader="none"/>
        </w:tabs>
        <w:ind w:firstLine="709" w:left="0"/>
        <w:jc w:val="both"/>
        <w:rPr>
          <w:bCs/>
          <w:sz w:val="24"/>
          <w:szCs w:val="24"/>
        </w:rPr>
      </w:pPr>
      <w:r>
        <w:rPr>
          <w:bCs/>
          <w:sz w:val="24"/>
          <w:szCs w:val="24"/>
        </w:rPr>
        <w:t>Качество, комплектность, количество и ассортимент поставляемого по Договору Товара должны соответствовать требованиям Договора и Покупателя,</w:t>
      </w:r>
      <w:r>
        <w:rPr>
          <w:b/>
          <w:bCs/>
          <w:sz w:val="24"/>
          <w:szCs w:val="24"/>
        </w:rPr>
        <w:t xml:space="preserve"> </w:t>
      </w:r>
      <w:r>
        <w:rPr>
          <w:bCs/>
          <w:sz w:val="24"/>
          <w:szCs w:val="24"/>
        </w:rPr>
        <w:t xml:space="preserve">в том числе указанным в Спецификации (Приложение № 1 к Договору), </w:t>
        <w:br/>
        <w:t>а также Применимого права.</w:t>
      </w:r>
    </w:p>
    <w:p>
      <w:pPr>
        <w:pStyle w:val="ListParagraph"/>
        <w:widowControl/>
        <w:shd w:val="clear" w:color="auto" w:fill="FFFFFF"/>
        <w:tabs>
          <w:tab w:val="clear" w:pos="709"/>
          <w:tab w:val="left" w:pos="1276" w:leader="none"/>
        </w:tabs>
        <w:ind w:firstLine="709" w:left="0"/>
        <w:jc w:val="both"/>
        <w:rPr>
          <w:bCs/>
          <w:sz w:val="24"/>
          <w:szCs w:val="24"/>
        </w:rPr>
      </w:pPr>
      <w:r>
        <w:rPr>
          <w:bCs/>
          <w:sz w:val="24"/>
          <w:szCs w:val="24"/>
        </w:rPr>
        <w:t>Поставщик не вправе производить замену Товара на иной Товар, если это приведет к несоблюдению защитных мер, установленных законодательством о Национальном режиме.</w:t>
      </w:r>
    </w:p>
    <w:p>
      <w:pPr>
        <w:pStyle w:val="ListParagraph"/>
        <w:widowControl/>
        <w:numPr>
          <w:ilvl w:val="1"/>
          <w:numId w:val="2"/>
        </w:numPr>
        <w:shd w:val="clear" w:color="auto" w:fill="FFFFFF"/>
        <w:tabs>
          <w:tab w:val="clear" w:pos="709"/>
          <w:tab w:val="left" w:pos="1276" w:leader="none"/>
        </w:tabs>
        <w:ind w:firstLine="709" w:left="0"/>
        <w:jc w:val="both"/>
        <w:rPr>
          <w:bCs/>
          <w:sz w:val="24"/>
          <w:szCs w:val="24"/>
        </w:rPr>
      </w:pPr>
      <w:r>
        <w:rPr>
          <w:sz w:val="24"/>
          <w:szCs w:val="24"/>
        </w:rPr>
        <w:t>Поставляемый</w:t>
      </w:r>
      <w:r>
        <w:rPr>
          <w:bCs/>
          <w:sz w:val="24"/>
          <w:szCs w:val="24"/>
        </w:rPr>
        <w:t xml:space="preserve"> Товар должен быть новым, не бывшим в употреблении, пригодным для использования по своему назначению. Поставщик гарантирует, что Товар принадлежит ему на законном основании, в споре, залоге или под арестом не состоит, </w:t>
        <w:br/>
        <w:t>и не обременен правами третьих лиц.</w:t>
      </w:r>
    </w:p>
    <w:p>
      <w:pPr>
        <w:pStyle w:val="ListParagraph"/>
        <w:widowControl/>
        <w:numPr>
          <w:ilvl w:val="1"/>
          <w:numId w:val="2"/>
        </w:numPr>
        <w:shd w:val="clear" w:color="auto" w:fill="FFFFFF"/>
        <w:tabs>
          <w:tab w:val="clear" w:pos="709"/>
          <w:tab w:val="left" w:pos="1276" w:leader="none"/>
        </w:tabs>
        <w:ind w:firstLine="709" w:left="0"/>
        <w:jc w:val="both"/>
        <w:rPr>
          <w:bCs/>
          <w:sz w:val="24"/>
          <w:szCs w:val="24"/>
        </w:rPr>
      </w:pPr>
      <w:r>
        <w:rPr>
          <w:sz w:val="24"/>
          <w:szCs w:val="24"/>
        </w:rPr>
        <w:t>Одновременно</w:t>
      </w:r>
      <w:r>
        <w:rPr>
          <w:bCs/>
          <w:sz w:val="24"/>
          <w:szCs w:val="24"/>
        </w:rPr>
        <w:t xml:space="preserve"> с передачей Товара Поставщик обязан передать Покупателю оригиналы следующих относящихся к Товару документов:</w:t>
      </w:r>
    </w:p>
    <w:p>
      <w:pPr>
        <w:pStyle w:val="Normal"/>
        <w:numPr>
          <w:ilvl w:val="0"/>
          <w:numId w:val="3"/>
        </w:numPr>
        <w:shd w:val="clear" w:color="auto" w:fill="FFFFFF"/>
        <w:tabs>
          <w:tab w:val="clear" w:pos="709"/>
          <w:tab w:val="left" w:pos="1418" w:leader="none"/>
        </w:tabs>
        <w:ind w:firstLine="709" w:left="0"/>
        <w:jc w:val="both"/>
        <w:rPr>
          <w:sz w:val="24"/>
          <w:szCs w:val="24"/>
        </w:rPr>
      </w:pPr>
      <w:r>
        <w:rPr>
          <w:sz w:val="24"/>
          <w:szCs w:val="24"/>
        </w:rPr>
        <w:t xml:space="preserve">Накладная ТОРГ-12/УПД в </w:t>
      </w:r>
      <w:r>
        <w:rPr>
          <w:sz w:val="24"/>
          <w:szCs w:val="24"/>
          <w:highlight w:val="lightGray"/>
        </w:rPr>
        <w:t>__(____)</w:t>
      </w:r>
      <w:r>
        <w:rPr>
          <w:sz w:val="24"/>
          <w:szCs w:val="24"/>
        </w:rPr>
        <w:t xml:space="preserve"> экз.</w:t>
      </w:r>
    </w:p>
    <w:p>
      <w:pPr>
        <w:pStyle w:val="ListParagraph"/>
        <w:widowControl/>
        <w:numPr>
          <w:ilvl w:val="1"/>
          <w:numId w:val="2"/>
        </w:numPr>
        <w:shd w:val="clear" w:color="auto" w:fill="FFFFFF"/>
        <w:tabs>
          <w:tab w:val="clear" w:pos="709"/>
          <w:tab w:val="left" w:pos="1276" w:leader="none"/>
        </w:tabs>
        <w:ind w:firstLine="709" w:left="0"/>
        <w:jc w:val="both"/>
        <w:rPr>
          <w:bCs/>
          <w:sz w:val="24"/>
          <w:szCs w:val="24"/>
        </w:rPr>
      </w:pPr>
      <w:r>
        <w:rPr>
          <w:bCs/>
          <w:sz w:val="24"/>
          <w:szCs w:val="24"/>
        </w:rPr>
        <w:t xml:space="preserve">Поставщик обязан обеспечить присутствие во время приемки Товара и в Месте поставки </w:t>
      </w:r>
      <w:r>
        <w:rPr>
          <w:sz w:val="24"/>
          <w:szCs w:val="24"/>
        </w:rPr>
        <w:t>своего</w:t>
      </w:r>
      <w:r>
        <w:rPr>
          <w:bCs/>
          <w:sz w:val="24"/>
          <w:szCs w:val="24"/>
        </w:rPr>
        <w:t xml:space="preserve"> представителя, уполномоченного надлежащим образом оформленной доверенностью на передачу Товара Покупателю, подписание Акта рекламации. </w:t>
        <w:br/>
        <w:t xml:space="preserve">При отсутствии представителя Поставщика или отсутствии у такого представителя надлежащим образом оформленной доверенности Покупатель вправе отказаться от приемки Товара, при этом такой отказ не будет являться нарушением обязательств Покупателя </w:t>
        <w:br/>
        <w:t xml:space="preserve">по Договору. Стороны будут рассматривать неявку представителя Поставщика </w:t>
        <w:br/>
        <w:t xml:space="preserve">как просрочку поставки. </w:t>
      </w:r>
    </w:p>
    <w:p>
      <w:pPr>
        <w:pStyle w:val="ListParagraph"/>
        <w:shd w:val="clear" w:color="auto" w:fill="FFFFFF"/>
        <w:tabs>
          <w:tab w:val="clear" w:pos="709"/>
          <w:tab w:val="left" w:pos="1134" w:leader="none"/>
          <w:tab w:val="left" w:pos="1418" w:leader="none"/>
        </w:tabs>
        <w:ind w:firstLine="709" w:left="0"/>
        <w:jc w:val="both"/>
        <w:rPr>
          <w:bCs/>
          <w:sz w:val="24"/>
          <w:szCs w:val="24"/>
        </w:rPr>
      </w:pPr>
      <w:r>
        <w:rPr>
          <w:bCs/>
          <w:sz w:val="24"/>
          <w:szCs w:val="24"/>
        </w:rPr>
        <w:t>Оригинал доверенности представителя Поставщика подлежит передаче Покупателю.</w:t>
      </w:r>
    </w:p>
    <w:p>
      <w:pPr>
        <w:pStyle w:val="ListParagraph"/>
        <w:widowControl/>
        <w:numPr>
          <w:ilvl w:val="1"/>
          <w:numId w:val="2"/>
        </w:numPr>
        <w:shd w:val="clear" w:color="auto" w:fill="FFFFFF"/>
        <w:tabs>
          <w:tab w:val="clear" w:pos="709"/>
          <w:tab w:val="left" w:pos="1276" w:leader="none"/>
        </w:tabs>
        <w:ind w:firstLine="709" w:left="0"/>
        <w:jc w:val="both"/>
        <w:rPr>
          <w:bCs/>
          <w:sz w:val="24"/>
          <w:szCs w:val="24"/>
        </w:rPr>
      </w:pPr>
      <w:r>
        <w:rPr>
          <w:bCs/>
          <w:sz w:val="24"/>
          <w:szCs w:val="24"/>
        </w:rPr>
        <w:t xml:space="preserve">В </w:t>
      </w:r>
      <w:r>
        <w:rPr>
          <w:sz w:val="24"/>
          <w:szCs w:val="24"/>
        </w:rPr>
        <w:t>случае</w:t>
      </w:r>
      <w:r>
        <w:rPr>
          <w:bCs/>
          <w:sz w:val="24"/>
          <w:szCs w:val="24"/>
        </w:rPr>
        <w:t xml:space="preserve"> неявки представителя Поставщика и / или его отказа от подписания Акта рекламации при приемке Товара, составленный и подписанный Покупателем </w:t>
        <w:br/>
        <w:t>в одностороннем порядке Акт рекламации будет являться достаточным основанием для применения к Поставщику мер ответственности, установленных Договором.</w:t>
      </w:r>
    </w:p>
    <w:p>
      <w:pPr>
        <w:pStyle w:val="ListParagraph"/>
        <w:widowControl/>
        <w:numPr>
          <w:ilvl w:val="1"/>
          <w:numId w:val="2"/>
        </w:numPr>
        <w:shd w:val="clear" w:color="auto" w:fill="FFFFFF"/>
        <w:tabs>
          <w:tab w:val="clear" w:pos="709"/>
          <w:tab w:val="left" w:pos="1276" w:leader="none"/>
        </w:tabs>
        <w:ind w:firstLine="709" w:left="0"/>
        <w:jc w:val="both"/>
        <w:rPr>
          <w:bCs/>
          <w:sz w:val="24"/>
          <w:szCs w:val="24"/>
        </w:rPr>
      </w:pPr>
      <w:bookmarkStart w:id="1" w:name="_Ref361408474"/>
      <w:r>
        <w:rPr>
          <w:sz w:val="24"/>
          <w:szCs w:val="24"/>
        </w:rPr>
        <w:t>Товар</w:t>
      </w:r>
      <w:r>
        <w:rPr>
          <w:bCs/>
          <w:sz w:val="24"/>
          <w:szCs w:val="24"/>
        </w:rPr>
        <w:t xml:space="preserve"> должен отгружаться Поставщиком в таре и упаковке, обеспечивающих полную сохранность Товара от всякого рода повреждений и порчи с учетом возможных перегрузок и длительного хранения.</w:t>
      </w:r>
      <w:bookmarkEnd w:id="1"/>
      <w:r>
        <w:rPr>
          <w:bCs/>
          <w:sz w:val="24"/>
          <w:szCs w:val="24"/>
        </w:rPr>
        <w:t xml:space="preserve"> Поставщик обязан сообщить Покупателю условия длительного хранения поставленного Товара (допускается определение условий хранения </w:t>
        <w:br/>
        <w:t xml:space="preserve">в сопроводительных документах). </w:t>
      </w:r>
    </w:p>
    <w:p>
      <w:pPr>
        <w:pStyle w:val="ListParagraph"/>
        <w:shd w:val="clear" w:color="auto" w:fill="FFFFFF"/>
        <w:tabs>
          <w:tab w:val="clear" w:pos="709"/>
          <w:tab w:val="left" w:pos="1418" w:leader="none"/>
        </w:tabs>
        <w:ind w:firstLine="709" w:left="0"/>
        <w:jc w:val="both"/>
        <w:rPr>
          <w:bCs/>
          <w:sz w:val="24"/>
          <w:szCs w:val="24"/>
        </w:rPr>
      </w:pPr>
      <w:r>
        <w:rPr>
          <w:bCs/>
          <w:sz w:val="24"/>
          <w:szCs w:val="24"/>
        </w:rPr>
        <w:t xml:space="preserve">Отдельные требования к упаковке и маркировке негабаритного Товара, </w:t>
        <w:br/>
        <w:t xml:space="preserve">а также любые другие специальные требования, помимо установленных в настоящем пункте Договора, указываются Сторонами в Спецификации (Приложение № 1 к Договору). </w:t>
      </w:r>
    </w:p>
    <w:p>
      <w:pPr>
        <w:pStyle w:val="ListParagraph"/>
        <w:shd w:val="clear" w:color="auto" w:fill="FFFFFF"/>
        <w:tabs>
          <w:tab w:val="clear" w:pos="709"/>
          <w:tab w:val="left" w:pos="1418" w:leader="none"/>
        </w:tabs>
        <w:ind w:firstLine="709" w:left="0"/>
        <w:jc w:val="both"/>
        <w:rPr>
          <w:bCs/>
          <w:sz w:val="24"/>
          <w:szCs w:val="24"/>
        </w:rPr>
      </w:pPr>
      <w:r>
        <w:rPr>
          <w:bCs/>
          <w:sz w:val="24"/>
          <w:szCs w:val="24"/>
        </w:rPr>
        <w:t xml:space="preserve">Стоимость тары и упаковки включена в стоимость Товара. Тара и упаковка возврату </w:t>
        <w:br/>
        <w:t xml:space="preserve">не подлежат. </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rPr>
        <w:t xml:space="preserve">Погрузка, доставка, разгрузка </w:t>
      </w:r>
      <w:r>
        <w:rPr>
          <w:bCs/>
          <w:sz w:val="24"/>
          <w:szCs w:val="24"/>
        </w:rPr>
        <w:t>осуществляется</w:t>
      </w:r>
      <w:r>
        <w:rPr>
          <w:sz w:val="24"/>
          <w:szCs w:val="24"/>
        </w:rPr>
        <w:t xml:space="preserve"> Поставщиком. Стоимость погрузки, доставки, разгрузки включена в стоимость Товара.</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rPr>
        <w:t xml:space="preserve">Досрочная поставка Товара допускается только при условии получения Поставщиком письменного согласия Покупателя. </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bookmarkStart w:id="2" w:name="_Ref361396594"/>
      <w:r>
        <w:rPr>
          <w:sz w:val="24"/>
          <w:szCs w:val="24"/>
        </w:rPr>
        <w:t xml:space="preserve">Датой поставки Товара является дата подписания Сторонами Накладной </w:t>
        <w:br/>
        <w:t>ТОРГ-12/УПД.</w:t>
      </w:r>
      <w:bookmarkEnd w:id="2"/>
      <w:r>
        <w:rPr>
          <w:sz w:val="24"/>
          <w:szCs w:val="24"/>
        </w:rPr>
        <w:t xml:space="preserve"> </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rPr>
        <w:t xml:space="preserve">Приемка Товара по количеству тар и упаковок, в которых производилась отгрузка Товара, осуществляется Покупателем в день поставки в присутствии представителя Поставщика согласно представленным транспортным и сопроводительным документам, указанным в пункте 3.4 Договора. По результатам проверки количества упаковочных мест Покупатель подписывает представленные транспортные документы. </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rPr>
        <w:t xml:space="preserve">При обнаружении фактов некомплектности, недопоставки Товара, отсутствия необходимых принадлежностей и / или документов, относящихся к Товару, Покупатель вправе прекратить приемку Товара до момента устранения выявленных нарушений. Поставщик обязан в течение </w:t>
      </w:r>
      <w:r>
        <w:rPr>
          <w:sz w:val="24"/>
          <w:szCs w:val="24"/>
          <w:highlight w:val="lightGray"/>
        </w:rPr>
        <w:t>3 (трех)</w:t>
      </w:r>
      <w:r>
        <w:rPr>
          <w:sz w:val="24"/>
          <w:szCs w:val="24"/>
        </w:rPr>
        <w:t xml:space="preserve"> календарных дней с даты выявления указанных нарушений представить Покупателю необходимые принадлежности и / или документы, </w:t>
        <w:br/>
        <w:t xml:space="preserve">а также восполнить недопоставку Товара в срок, письменно согласованный с Покупателем. </w:t>
      </w:r>
    </w:p>
    <w:p>
      <w:pPr>
        <w:pStyle w:val="ListParagraph"/>
        <w:shd w:val="clear" w:color="auto" w:fill="FFFFFF"/>
        <w:tabs>
          <w:tab w:val="clear" w:pos="709"/>
          <w:tab w:val="left" w:pos="1418" w:leader="none"/>
        </w:tabs>
        <w:ind w:firstLine="709" w:left="0"/>
        <w:jc w:val="both"/>
        <w:rPr>
          <w:sz w:val="24"/>
          <w:szCs w:val="24"/>
        </w:rPr>
      </w:pPr>
      <w:bookmarkStart w:id="3" w:name="_Ref361408232"/>
      <w:r>
        <w:rPr>
          <w:sz w:val="24"/>
          <w:szCs w:val="24"/>
        </w:rPr>
        <w:t>Устранение допущенных нарушений не освобождает Поставщика от ответственности за убытки, причиненные Покупателю нарушением условий поставки.</w:t>
      </w:r>
      <w:bookmarkEnd w:id="3"/>
      <w:r>
        <w:rPr>
          <w:sz w:val="24"/>
          <w:szCs w:val="24"/>
        </w:rPr>
        <w:t xml:space="preserve"> </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rPr>
        <w:t xml:space="preserve">Приемка Товара со вскрытием тары и упаковки производится Покупателем </w:t>
        <w:br/>
        <w:t xml:space="preserve">в присутствии представителя Поставщика в течение </w:t>
      </w:r>
      <w:r>
        <w:rPr>
          <w:sz w:val="24"/>
          <w:szCs w:val="24"/>
          <w:highlight w:val="lightGray"/>
        </w:rPr>
        <w:t>10 (десяти)</w:t>
      </w:r>
      <w:r>
        <w:rPr>
          <w:sz w:val="24"/>
          <w:szCs w:val="24"/>
        </w:rPr>
        <w:t xml:space="preserve"> рабочих дней </w:t>
        <w:br/>
        <w:t>с даты подписания Покупателем транспортных документов. В случае отсутствия замечаний Покупатель подписывает Накладную ТОРГ-12/УПД.</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rPr>
        <w:t xml:space="preserve">В случае обнаружения внутри тары и упаковки недопоставки, некомплектности, недостатков, несоответствий и / или дефектов Товара, а также в случае отсутствия необходимых принадлежностей, относящихся к Товару, Стороны составляют Акт рекламации. В Акте рекламации Сторонами указываются, в том числе, сроки и способ устранения недостатков, несоответствий и / или дефектов Товара. </w:t>
      </w:r>
    </w:p>
    <w:p>
      <w:pPr>
        <w:pStyle w:val="Normal"/>
        <w:shd w:val="clear" w:color="auto" w:fill="FFFFFF"/>
        <w:tabs>
          <w:tab w:val="clear" w:pos="709"/>
          <w:tab w:val="left" w:pos="1134" w:leader="none"/>
          <w:tab w:val="left" w:pos="1418" w:leader="none"/>
          <w:tab w:val="left" w:pos="1851" w:leader="none"/>
        </w:tabs>
        <w:ind w:firstLine="709"/>
        <w:jc w:val="both"/>
        <w:rPr>
          <w:sz w:val="24"/>
          <w:szCs w:val="24"/>
        </w:rPr>
      </w:pPr>
      <w:r>
        <w:rPr>
          <w:sz w:val="24"/>
          <w:szCs w:val="24"/>
        </w:rPr>
        <w:t xml:space="preserve">Поставщик обязан своими силами и за свой счет устранить выявленные недостатки, несоответствия и / или дефекты Товара, в том числе путем его замены на новый, в течение </w:t>
        <w:br/>
        <w:t>10 (десяти) календарных дней со дня составления Сторонами Акта рекламации, если иной способ и сроки не согласованы Сторонами. После устранения недостатков, несоответствий и / или дефектов Товара его приемка осуществляется в соответствии с настоящим разделом Договора.</w:t>
      </w:r>
    </w:p>
    <w:p>
      <w:pPr>
        <w:pStyle w:val="Normal"/>
        <w:shd w:val="clear" w:color="auto" w:fill="FFFFFF"/>
        <w:tabs>
          <w:tab w:val="clear" w:pos="709"/>
          <w:tab w:val="left" w:pos="1134" w:leader="none"/>
          <w:tab w:val="left" w:pos="1418" w:leader="none"/>
          <w:tab w:val="left" w:pos="1851" w:leader="none"/>
        </w:tabs>
        <w:ind w:firstLine="709"/>
        <w:jc w:val="both"/>
        <w:rPr>
          <w:sz w:val="24"/>
          <w:szCs w:val="24"/>
        </w:rPr>
      </w:pPr>
      <w:r>
        <w:rPr>
          <w:sz w:val="24"/>
          <w:szCs w:val="24"/>
        </w:rPr>
        <w:t xml:space="preserve">Покупатель вправе не производить любые платежи, предусмотренные Договором, </w:t>
        <w:br/>
        <w:t xml:space="preserve">до исполнения Поставщиком своих обязательств по Договору, при этом Покупатель </w:t>
        <w:br/>
        <w:t>не считается просрочившим.</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rPr>
        <w:t xml:space="preserve">В случае неисполнения Поставщиком обязательств по устранению выявленных недостатков, несоответствий и / или дефектов Товара в порядке, предусмотренном пунктами 3.12, 3.14 Договора, Покупатель вправе отказаться от приемки Товара, направив соответствующее письменное уведомление Поставщику. Поставщик не позднее 5 (пяти) рабочих дней с даты получения уведомления обязан обеспечить вывоз Товара, от которой отказался Покупатель, возвратить ее стоимость (ранее полученный авансовый платеж), </w:t>
        <w:br/>
        <w:t>а также возместить убытки, причиненные Покупателю ненадлежащим исполнением Договора, в том числе расходы на хранение Товара.</w:t>
      </w:r>
    </w:p>
    <w:p>
      <w:pPr>
        <w:pStyle w:val="Normal"/>
        <w:shd w:val="clear" w:color="auto" w:fill="FFFFFF"/>
        <w:tabs>
          <w:tab w:val="clear" w:pos="709"/>
          <w:tab w:val="left" w:pos="1283" w:leader="none"/>
          <w:tab w:val="left" w:pos="1851" w:leader="none"/>
        </w:tabs>
        <w:ind w:firstLine="709"/>
        <w:jc w:val="both"/>
        <w:rPr>
          <w:sz w:val="24"/>
          <w:szCs w:val="24"/>
        </w:rPr>
      </w:pPr>
      <w:r>
        <w:rPr>
          <w:sz w:val="24"/>
          <w:szCs w:val="24"/>
        </w:rPr>
        <w:t xml:space="preserve">Если Поставщик не вывезет Товар в указанный срок, Покупатель вправе самостоятельно возвратить Товар Поставщику. Расходы, понесенные Покупателем в связи </w:t>
        <w:br/>
        <w:t>с возвратом Товара, подлежат возмещению Поставщиком.</w:t>
      </w:r>
    </w:p>
    <w:p>
      <w:pPr>
        <w:pStyle w:val="ListParagraph"/>
        <w:widowControl/>
        <w:numPr>
          <w:ilvl w:val="1"/>
          <w:numId w:val="2"/>
        </w:numPr>
        <w:shd w:val="clear" w:color="auto" w:fill="FFFFFF"/>
        <w:tabs>
          <w:tab w:val="clear" w:pos="709"/>
          <w:tab w:val="left" w:pos="1276" w:leader="none"/>
        </w:tabs>
        <w:ind w:firstLine="709" w:left="0"/>
        <w:jc w:val="both"/>
        <w:rPr>
          <w:b/>
          <w:color w:val="000000"/>
          <w:sz w:val="24"/>
          <w:szCs w:val="24"/>
        </w:rPr>
      </w:pPr>
      <w:r>
        <w:rPr>
          <w:sz w:val="24"/>
          <w:szCs w:val="24"/>
        </w:rPr>
        <w:t xml:space="preserve">По иным вопросам, касающимся приемки Товара по количеству, качеству </w:t>
        <w:br/>
        <w:t xml:space="preserve">и комплектности в части, не противоречащей законодательству Российской Федерации </w:t>
        <w:br/>
        <w:t>и условиям Договора, Стороны руководствуются Инструкцией Госарбитража при Совете Министров СССР от 15.06.1965 № П-6 (за исключением пунктов 18, 21, 29-32), Инструкцией Госарбитража при Совете Министров СССР от 25.04.1966 № П-7 (за исключением пунктов 20, 23, абз.3 пункта 30, 35, 38-42).</w:t>
      </w:r>
      <w:r>
        <w:rPr>
          <w:b/>
          <w:bCs/>
          <w:color w:val="000000"/>
          <w:sz w:val="24"/>
          <w:szCs w:val="24"/>
        </w:rPr>
        <w:t xml:space="preserve"> </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rPr>
        <w:t>Право собственности на Товар, а также риск его случайной гибели или случайного повреждения переходит от Поставщика к Покупателю с момента подписания Сторонами Накладной ТОРГ-12/УПД.</w:t>
      </w:r>
    </w:p>
    <w:p>
      <w:pPr>
        <w:pStyle w:val="Normal"/>
        <w:shd w:val="clear" w:color="auto" w:fill="FFFFFF"/>
        <w:jc w:val="both"/>
        <w:rPr>
          <w:sz w:val="24"/>
          <w:szCs w:val="24"/>
        </w:rPr>
      </w:pPr>
      <w:r>
        <w:rPr>
          <w:sz w:val="24"/>
          <w:szCs w:val="24"/>
        </w:rPr>
      </w:r>
    </w:p>
    <w:p>
      <w:pPr>
        <w:pStyle w:val="ListParagraph"/>
        <w:numPr>
          <w:ilvl w:val="0"/>
          <w:numId w:val="2"/>
        </w:numPr>
        <w:shd w:val="clear" w:color="auto" w:fill="FFFFFF"/>
        <w:tabs>
          <w:tab w:val="clear" w:pos="709"/>
          <w:tab w:val="left" w:pos="284" w:leader="none"/>
        </w:tabs>
        <w:ind w:hanging="0" w:left="0"/>
        <w:jc w:val="center"/>
        <w:rPr>
          <w:b/>
          <w:sz w:val="24"/>
          <w:szCs w:val="24"/>
        </w:rPr>
      </w:pPr>
      <w:r>
        <w:rPr>
          <w:b/>
          <w:sz w:val="24"/>
          <w:szCs w:val="24"/>
        </w:rPr>
        <w:t>Гарантийный срок</w:t>
      </w:r>
    </w:p>
    <w:p>
      <w:pPr>
        <w:pStyle w:val="ListParagraph"/>
        <w:numPr>
          <w:ilvl w:val="1"/>
          <w:numId w:val="2"/>
        </w:numPr>
        <w:tabs>
          <w:tab w:val="left" w:pos="709" w:leader="none"/>
          <w:tab w:val="left" w:pos="1134" w:leader="none"/>
        </w:tabs>
        <w:ind w:firstLine="709" w:left="0"/>
        <w:jc w:val="both"/>
        <w:rPr>
          <w:sz w:val="24"/>
          <w:szCs w:val="24"/>
        </w:rPr>
      </w:pPr>
      <w:r>
        <w:rPr>
          <w:sz w:val="24"/>
          <w:szCs w:val="24"/>
        </w:rPr>
        <w:t xml:space="preserve">Гарантийный срок на Товар, поставленный по Договору, составляет </w:t>
      </w:r>
      <w:r>
        <w:rPr>
          <w:sz w:val="24"/>
          <w:szCs w:val="24"/>
          <w:highlight w:val="lightGray"/>
        </w:rPr>
        <w:t>____ (______)</w:t>
      </w:r>
      <w:r>
        <w:rPr>
          <w:sz w:val="24"/>
          <w:szCs w:val="24"/>
        </w:rPr>
        <w:t xml:space="preserve"> месяцев и начинает течь с даты подписания Сторонами Накладной ТОРГ-12/УПД.</w:t>
      </w:r>
      <w:r>
        <w:rPr/>
        <w:t xml:space="preserve"> </w:t>
      </w:r>
      <w:r>
        <w:rPr>
          <w:sz w:val="24"/>
          <w:szCs w:val="24"/>
        </w:rPr>
        <w:t xml:space="preserve">Гарантийный срок может быть продлен в соответствии с условиями Договора. </w:t>
      </w:r>
    </w:p>
    <w:p>
      <w:pPr>
        <w:pStyle w:val="ListParagraph"/>
        <w:tabs>
          <w:tab w:val="clear" w:pos="709"/>
          <w:tab w:val="left" w:pos="1134" w:leader="none"/>
          <w:tab w:val="left" w:pos="1851" w:leader="none"/>
        </w:tabs>
        <w:ind w:firstLine="709" w:left="0"/>
        <w:jc w:val="both"/>
        <w:rPr>
          <w:sz w:val="24"/>
          <w:szCs w:val="24"/>
        </w:rPr>
      </w:pPr>
      <w:r>
        <w:rPr>
          <w:sz w:val="24"/>
          <w:szCs w:val="24"/>
        </w:rPr>
        <w:t>Установленный в отношении Товара гарантийный срок распространяется на все составные части и комплектующие Товара.</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 xml:space="preserve">В течение Гарантийного срока Поставщик гарантирует соответствие качества Товара требованиям Договора, технического паспорта и иных документов, относящихся </w:t>
        <w:br/>
        <w:t xml:space="preserve">к Товару, и Применимого права, возможность эксплуатации (использования) Товара </w:t>
        <w:br/>
        <w:t xml:space="preserve">в соответствии с его целевым назначением, а также несет безусловную ответственность </w:t>
        <w:br/>
        <w:t xml:space="preserve">за обнаруженные недостатки, несоответствия и / или дефекты Товара, если не докажет, что такие недостатки, несоответствия и / или дефекты явились следствием несоблюдения Покупателем требований по использованию Товара, установленных в инструкциях и иных документах, переданных Покупателю в соответствии с пунктом 3.4 Договора. </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 xml:space="preserve">В случае обнаружения в течение Гарантийного срока недостатков, несоответствий и / или (дефектов) Товара Покупатель направляет Поставщику соответствующее письменное уведомление, в котором указывает перечень выявленных недостатков (дефектов) Товара и разумный срок на их устранение. Поставщик, в случае наличия разногласий, в течение 3 (трех) рабочих дней с даты получения письменного уведомления Покупателя, направляет своего уполномоченного представителя для составления Акта о недостатках, несоответствиях и / или дефектах. Если к указанному </w:t>
        <w:br/>
        <w:t xml:space="preserve">в настоящем пункте сроку представитель Поставщика не прибудет, Акт о недостатках, несоответствиях и / или дефектах будет составлен Покупателем в одностороннем порядке </w:t>
        <w:br/>
        <w:t>и будет признан Сторонами действительным.</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 xml:space="preserve">Поставщик обязан своими силами и за свой счет устранить недостатки, несоответствия и / или дефекты Товара, обнаруженные Покупателем в течение Гарантийного срока, в срок, указанный </w:t>
      </w:r>
      <w:bookmarkStart w:id="4" w:name="OLE_LINK6"/>
      <w:bookmarkStart w:id="5" w:name="OLE_LINK5"/>
      <w:r>
        <w:rPr>
          <w:sz w:val="24"/>
          <w:szCs w:val="24"/>
        </w:rPr>
        <w:t>Покупателем в соответствии с пунктом 4.3 Договора</w:t>
      </w:r>
      <w:bookmarkEnd w:id="4"/>
      <w:bookmarkEnd w:id="5"/>
      <w:r>
        <w:rPr>
          <w:sz w:val="24"/>
          <w:szCs w:val="24"/>
        </w:rPr>
        <w:t xml:space="preserve">, путем замены или ремонта Товара. </w:t>
      </w:r>
    </w:p>
    <w:p>
      <w:pPr>
        <w:pStyle w:val="Normal"/>
        <w:shd w:val="clear" w:color="auto" w:fill="FFFFFF"/>
        <w:ind w:firstLine="709"/>
        <w:jc w:val="both"/>
        <w:rPr>
          <w:sz w:val="24"/>
          <w:szCs w:val="24"/>
        </w:rPr>
      </w:pPr>
      <w:r>
        <w:rPr>
          <w:sz w:val="24"/>
          <w:szCs w:val="24"/>
        </w:rPr>
        <w:t xml:space="preserve">Устранение недостатков (дефектов) путем ремонта Товара может осуществляться только по письменному согласованию с Покупателем. Поставщик вправе по согласованию </w:t>
        <w:br/>
        <w:t xml:space="preserve">с Покупателем вместо замены или ремонта Товара возвратить Покупателю его стоимость (ранее полученный авансовый платеж). Вывоз Товара для целей устранения недостатков (дефектов) осуществляется силами Поставщика и за его счет.  </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Если Поставщик не устранит недостатки (дефекты) Товара в установленный Покупателем срок, Покупатель вправе устранить их собственными силами или силами третьих лиц с отнесением на Поставщика соответствующих расходов. Поставщик обязан возместить расходы Покупателя на устранение недостатков, несоответствий и / или дефектов Товара в течение 10 (десяти) рабочих дней с даты получения соответствующего письменного требования Покупателя.</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 xml:space="preserve">Гарантийный срок на Товар увеличивается на тот период времени, в течение которого Покупатель не мог эксплуатировать (использовать) Товар вследствие его недостатков (дефектов). Гарантийный срок на замененную или отремонтированную единицу Товара устанавливается продолжительностью, указанной в пункте 4.1 Договора, и начинает исчисляться заново с даты приемки Покупателем замененной единицы Товара или работ </w:t>
        <w:br/>
        <w:t>по устранению недостатков (дефектов).</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Устранение недостатков, несоответствий и / или дефектов Товара или возврат его стоимости, в том числе в рамках срока, установленного в соответствии с пунктом 4.3 Договора, не освобождает Поставщика от обязанности возмещения убытков, причиненных Покупателю вследствие наличия таких недостатков (дефектов).</w:t>
      </w:r>
    </w:p>
    <w:p>
      <w:pPr>
        <w:pStyle w:val="Normal"/>
        <w:widowControl/>
        <w:shd w:val="clear" w:color="auto" w:fill="FFFFFF"/>
        <w:tabs>
          <w:tab w:val="clear" w:pos="709"/>
          <w:tab w:val="left" w:pos="0" w:leader="none"/>
          <w:tab w:val="left" w:pos="1134" w:leader="none"/>
        </w:tabs>
        <w:ind w:hanging="0" w:left="1419"/>
        <w:jc w:val="both"/>
        <w:rPr>
          <w:bCs/>
          <w:sz w:val="24"/>
          <w:szCs w:val="24"/>
        </w:rPr>
      </w:pPr>
      <w:r>
        <w:rPr>
          <w:bCs/>
          <w:sz w:val="24"/>
          <w:szCs w:val="24"/>
        </w:rPr>
      </w:r>
    </w:p>
    <w:p>
      <w:pPr>
        <w:pStyle w:val="Normal"/>
        <w:numPr>
          <w:ilvl w:val="0"/>
          <w:numId w:val="2"/>
        </w:numPr>
        <w:shd w:val="clear" w:color="auto" w:fill="FFFFFF"/>
        <w:tabs>
          <w:tab w:val="clear" w:pos="709"/>
          <w:tab w:val="left" w:pos="284" w:leader="none"/>
        </w:tabs>
        <w:ind w:hanging="0" w:left="0"/>
        <w:jc w:val="center"/>
        <w:rPr>
          <w:b/>
          <w:bCs/>
          <w:sz w:val="24"/>
          <w:szCs w:val="24"/>
        </w:rPr>
      </w:pPr>
      <w:r>
        <w:rPr>
          <w:b/>
          <w:bCs/>
          <w:sz w:val="24"/>
          <w:szCs w:val="24"/>
        </w:rPr>
        <w:t>Ответственность Сторон</w:t>
      </w:r>
    </w:p>
    <w:p>
      <w:pPr>
        <w:pStyle w:val="ListParagraph"/>
        <w:numPr>
          <w:ilvl w:val="1"/>
          <w:numId w:val="2"/>
        </w:numPr>
        <w:tabs>
          <w:tab w:val="clear" w:pos="709"/>
          <w:tab w:val="left" w:pos="1276" w:leader="none"/>
        </w:tabs>
        <w:ind w:firstLine="709" w:left="0"/>
        <w:jc w:val="both"/>
        <w:rPr>
          <w:sz w:val="24"/>
          <w:szCs w:val="24"/>
        </w:rPr>
      </w:pPr>
      <w:r>
        <w:rPr>
          <w:sz w:val="24"/>
          <w:szCs w:val="24"/>
        </w:rPr>
        <w:t>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w:t>
        <w:br/>
        <w:t xml:space="preserve">и должны рассматриваться как дополнительные, если Договором прямо не предусмотрено иное. </w:t>
      </w:r>
    </w:p>
    <w:p>
      <w:pPr>
        <w:pStyle w:val="Normal"/>
        <w:widowControl/>
        <w:numPr>
          <w:ilvl w:val="1"/>
          <w:numId w:val="2"/>
        </w:numPr>
        <w:shd w:val="clear" w:color="auto" w:fill="FFFFFF"/>
        <w:tabs>
          <w:tab w:val="clear" w:pos="709"/>
          <w:tab w:val="left" w:pos="1276" w:leader="none"/>
        </w:tabs>
        <w:ind w:firstLine="709" w:left="0"/>
        <w:jc w:val="both"/>
        <w:rPr>
          <w:bCs/>
          <w:sz w:val="24"/>
          <w:szCs w:val="24"/>
        </w:rPr>
      </w:pPr>
      <w:r>
        <w:rPr>
          <w:bCs/>
          <w:sz w:val="24"/>
          <w:szCs w:val="24"/>
        </w:rPr>
        <w:t>Покупатель не несет ответственности за ненадлежащее исполнение обязательств по внесению предварительной оплаты (аванса). В случае нарушения Покупателем сроков выплаты авансовых платежей Поставщик имеет право приостановить поставку Товара по Договору при условии предварительного письменного уведомления Покупателя о таком приостановлении.</w:t>
      </w:r>
    </w:p>
    <w:p>
      <w:pPr>
        <w:pStyle w:val="Normal"/>
        <w:widowControl/>
        <w:numPr>
          <w:ilvl w:val="1"/>
          <w:numId w:val="2"/>
        </w:numPr>
        <w:tabs>
          <w:tab w:val="clear" w:pos="709"/>
          <w:tab w:val="left" w:pos="1276" w:leader="none"/>
        </w:tabs>
        <w:ind w:firstLine="709" w:left="0"/>
        <w:jc w:val="both"/>
        <w:rPr>
          <w:bCs/>
          <w:sz w:val="24"/>
          <w:szCs w:val="24"/>
        </w:rPr>
      </w:pPr>
      <w:r>
        <w:rPr>
          <w:bCs/>
          <w:sz w:val="24"/>
          <w:szCs w:val="24"/>
        </w:rPr>
        <w:t>В случае нарушения Покупателем сроков оплаты, установленных разделом 2 Договора (за исключением срока оплаты авансовых платежей), Поставщик вправе требовать уплаты Покупателем исключительной неустойки в размере 0,1 (ноль целых и одной десятой) процента от несвоевременно оплаченной суммы за каждый день просрочки.</w:t>
      </w:r>
    </w:p>
    <w:p>
      <w:pPr>
        <w:pStyle w:val="Normal"/>
        <w:widowControl/>
        <w:numPr>
          <w:ilvl w:val="1"/>
          <w:numId w:val="2"/>
        </w:numPr>
        <w:tabs>
          <w:tab w:val="clear" w:pos="709"/>
          <w:tab w:val="left" w:pos="1276" w:leader="none"/>
        </w:tabs>
        <w:ind w:firstLine="709" w:left="0"/>
        <w:jc w:val="both"/>
        <w:rPr>
          <w:sz w:val="24"/>
          <w:szCs w:val="24"/>
        </w:rPr>
      </w:pPr>
      <w:r>
        <w:rPr>
          <w:bCs/>
          <w:sz w:val="24"/>
          <w:szCs w:val="24"/>
        </w:rPr>
        <w:t xml:space="preserve">В случае </w:t>
      </w:r>
      <w:r>
        <w:rPr>
          <w:sz w:val="24"/>
          <w:szCs w:val="24"/>
        </w:rPr>
        <w:t>нарушения Поставщиком обязательств по поставке Товара (</w:t>
      </w:r>
      <w:r>
        <w:rPr>
          <w:rFonts w:eastAsia="Calibri"/>
          <w:bCs/>
          <w:sz w:val="24"/>
          <w:szCs w:val="24"/>
        </w:rPr>
        <w:t>нарушение срока поставки, недопоставка)</w:t>
      </w:r>
      <w:r>
        <w:rPr>
          <w:sz w:val="24"/>
          <w:szCs w:val="24"/>
        </w:rPr>
        <w:t>, Покупатель вправе требовать уплаты Поставщиком неустойки в размере 0,1 (ноль целых и одной десятой) процента от Цены Договора за каждый день просрочки.</w:t>
      </w:r>
    </w:p>
    <w:p>
      <w:pPr>
        <w:pStyle w:val="Normal"/>
        <w:widowControl/>
        <w:numPr>
          <w:ilvl w:val="1"/>
          <w:numId w:val="2"/>
        </w:numPr>
        <w:tabs>
          <w:tab w:val="clear" w:pos="709"/>
          <w:tab w:val="left" w:pos="1276" w:leader="none"/>
        </w:tabs>
        <w:ind w:firstLine="709" w:left="0"/>
        <w:jc w:val="both"/>
        <w:rPr>
          <w:sz w:val="24"/>
          <w:szCs w:val="24"/>
        </w:rPr>
      </w:pPr>
      <w:r>
        <w:rPr>
          <w:sz w:val="24"/>
          <w:szCs w:val="24"/>
        </w:rPr>
        <w:t>В случае несвоевременного устранения Поставщиком выявленных недостатков Товара, Покупатель вправе требовать уплаты Поставщиком:</w:t>
      </w:r>
    </w:p>
    <w:p>
      <w:pPr>
        <w:pStyle w:val="Normal"/>
        <w:widowControl/>
        <w:numPr>
          <w:ilvl w:val="2"/>
          <w:numId w:val="2"/>
        </w:numPr>
        <w:tabs>
          <w:tab w:val="clear" w:pos="709"/>
          <w:tab w:val="left" w:pos="1276" w:leader="none"/>
        </w:tabs>
        <w:ind w:firstLine="709" w:left="0"/>
        <w:jc w:val="both"/>
        <w:rPr>
          <w:sz w:val="24"/>
          <w:szCs w:val="24"/>
        </w:rPr>
      </w:pPr>
      <w:r>
        <w:rPr>
          <w:sz w:val="24"/>
          <w:szCs w:val="24"/>
        </w:rPr>
        <w:t xml:space="preserve">Неустойки в размере 0,1 (ноль целых и одной десятой) процента от Цены Договора за каждый день просрочки – в случае несвоевременного устранения выявленных недостатков Товара, влияющих на возможность эксплуатации (использования) Товара </w:t>
        <w:br/>
        <w:t>в целом.</w:t>
      </w:r>
    </w:p>
    <w:p>
      <w:pPr>
        <w:pStyle w:val="Normal"/>
        <w:widowControl/>
        <w:numPr>
          <w:ilvl w:val="2"/>
          <w:numId w:val="2"/>
        </w:numPr>
        <w:tabs>
          <w:tab w:val="clear" w:pos="709"/>
          <w:tab w:val="left" w:pos="1276" w:leader="none"/>
        </w:tabs>
        <w:ind w:firstLine="709" w:left="0"/>
        <w:jc w:val="both"/>
        <w:rPr>
          <w:sz w:val="24"/>
          <w:szCs w:val="24"/>
        </w:rPr>
      </w:pPr>
      <w:r>
        <w:rPr>
          <w:sz w:val="24"/>
          <w:szCs w:val="24"/>
        </w:rPr>
        <w:t>Неустойки в размере 0,1 (ноль целых и одной десятой) процента от стоимости некачественного Товара за каждый день просрочки – в случае несвоевременного устранения выявленных недостатков товара, не влияющих на возможность эксплуатации (использования) Товара в целом.</w:t>
      </w:r>
    </w:p>
    <w:p>
      <w:pPr>
        <w:pStyle w:val="Normal"/>
        <w:widowControl/>
        <w:numPr>
          <w:ilvl w:val="1"/>
          <w:numId w:val="2"/>
        </w:numPr>
        <w:tabs>
          <w:tab w:val="clear" w:pos="709"/>
          <w:tab w:val="left" w:pos="1276" w:leader="none"/>
        </w:tabs>
        <w:ind w:firstLine="709" w:left="0"/>
        <w:jc w:val="both"/>
        <w:rPr>
          <w:sz w:val="24"/>
          <w:szCs w:val="24"/>
        </w:rPr>
      </w:pPr>
      <w:r>
        <w:rPr>
          <w:rFonts w:eastAsia="Calibri"/>
          <w:bCs/>
          <w:sz w:val="24"/>
          <w:szCs w:val="24"/>
        </w:rPr>
        <w:t xml:space="preserve">На сумму подлежащего возврату аванса начисляется неустойка в размере </w:t>
        <w:br/>
        <w:t>0,1 (ноль целых и одной десятой) процента с даты, установленной для возврата аванса</w:t>
      </w:r>
      <w:r>
        <w:rPr>
          <w:sz w:val="24"/>
          <w:szCs w:val="24"/>
        </w:rPr>
        <w:t>.</w:t>
      </w:r>
    </w:p>
    <w:p>
      <w:pPr>
        <w:pStyle w:val="Normal"/>
        <w:widowControl/>
        <w:numPr>
          <w:ilvl w:val="1"/>
          <w:numId w:val="2"/>
        </w:numPr>
        <w:tabs>
          <w:tab w:val="clear" w:pos="709"/>
          <w:tab w:val="left" w:pos="1276" w:leader="none"/>
        </w:tabs>
        <w:ind w:firstLine="709" w:left="0"/>
        <w:jc w:val="both"/>
        <w:rPr>
          <w:sz w:val="24"/>
          <w:szCs w:val="24"/>
        </w:rPr>
      </w:pPr>
      <w:r>
        <w:rPr>
          <w:bCs/>
          <w:sz w:val="24"/>
          <w:szCs w:val="24"/>
        </w:rPr>
        <w:t xml:space="preserve">В случае нарушения Поставщиком требований пропускного </w:t>
        <w:br/>
        <w:t xml:space="preserve">и внутриобъектового режима, требований охраны труда, пожарной и промышленной безопасности, если они зафиксированы Покупателем или уполномоченным государственным органом, Покупатель, помимо возмещения убытков, вправе требовать уплаты Поставщиком штрафа в размерах, установленных Приложением № 4 к Договору. </w:t>
      </w:r>
    </w:p>
    <w:p>
      <w:pPr>
        <w:pStyle w:val="Normal"/>
        <w:widowControl/>
        <w:numPr>
          <w:ilvl w:val="1"/>
          <w:numId w:val="2"/>
        </w:numPr>
        <w:tabs>
          <w:tab w:val="clear" w:pos="709"/>
          <w:tab w:val="left" w:pos="1276" w:leader="none"/>
        </w:tabs>
        <w:ind w:firstLine="709" w:left="0"/>
        <w:jc w:val="both"/>
        <w:rPr>
          <w:sz w:val="24"/>
          <w:szCs w:val="24"/>
        </w:rPr>
      </w:pPr>
      <w:r>
        <w:rPr>
          <w:bCs/>
          <w:sz w:val="24"/>
          <w:szCs w:val="24"/>
        </w:rPr>
        <w:t>Если в результате составления и выставления Поставщиком счетов-фактур/УПД с нарушением порядка и требований, установленных законодательством Российской Федерации, Покупатель понес расходы, связанные с начислением налоговыми органами 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w:t>
      </w:r>
    </w:p>
    <w:p>
      <w:pPr>
        <w:pStyle w:val="ListParagraph"/>
        <w:widowControl/>
        <w:shd w:val="clear" w:color="auto" w:fill="FFFFFF"/>
        <w:ind w:firstLine="709" w:left="0"/>
        <w:jc w:val="both"/>
        <w:rPr/>
      </w:pPr>
      <w:r>
        <w:rPr>
          <w:bCs/>
          <w:sz w:val="24"/>
          <w:szCs w:val="24"/>
        </w:rPr>
        <w:t>В случае нарушения Поставщиком сроков предоставления счетов-фактур/УПД, установленных пунктом 2.8 Договора, Покупатель вправе требовать уплаты Поставщиком штрафа в размере 50 000 (пятидесяти тысяч) рублей за каждый случай нарушения.</w:t>
      </w:r>
    </w:p>
    <w:p>
      <w:pPr>
        <w:pStyle w:val="ListParagraph"/>
        <w:widowControl/>
        <w:numPr>
          <w:ilvl w:val="1"/>
          <w:numId w:val="2"/>
        </w:numPr>
        <w:shd w:val="clear" w:color="auto" w:fill="FFFFFF"/>
        <w:tabs>
          <w:tab w:val="clear" w:pos="709"/>
          <w:tab w:val="left" w:pos="1276" w:leader="none"/>
        </w:tabs>
        <w:suppressAutoHyphens w:val="true"/>
        <w:bidi w:val="0"/>
        <w:spacing w:before="0" w:after="0"/>
        <w:ind w:firstLine="709" w:left="0"/>
        <w:contextualSpacing w:val="false"/>
        <w:jc w:val="both"/>
        <w:rPr>
          <w:sz w:val="24"/>
          <w:szCs w:val="24"/>
        </w:rPr>
      </w:pPr>
      <w:r>
        <w:rPr>
          <w:bCs/>
          <w:sz w:val="24"/>
          <w:szCs w:val="24"/>
        </w:rPr>
        <w:t xml:space="preserve">Поставщик несет ответственность перед Покупателем за причиненный ущерб </w:t>
        <w:br/>
        <w:t xml:space="preserve">в размере фактически понесенных и документально подтвержденных расходов, возникших </w:t>
        <w:br/>
        <w:t>в связи с неисполнением (ненадлежащим исполнением) Поставщиком своих обязательств, произведенных для восстановления нарушенного права, а также упущенной выгоды.</w:t>
      </w:r>
    </w:p>
    <w:p>
      <w:pPr>
        <w:pStyle w:val="ListParagraph"/>
        <w:widowControl/>
        <w:numPr>
          <w:ilvl w:val="1"/>
          <w:numId w:val="2"/>
        </w:numPr>
        <w:shd w:val="clear" w:color="auto" w:fill="FFFFFF"/>
        <w:tabs>
          <w:tab w:val="clear" w:pos="709"/>
          <w:tab w:val="left" w:pos="1276" w:leader="none"/>
        </w:tabs>
        <w:suppressAutoHyphens w:val="true"/>
        <w:bidi w:val="0"/>
        <w:spacing w:before="0" w:after="0"/>
        <w:ind w:firstLine="709" w:left="0"/>
        <w:contextualSpacing w:val="false"/>
        <w:jc w:val="both"/>
        <w:rPr>
          <w:sz w:val="24"/>
          <w:szCs w:val="24"/>
        </w:rPr>
      </w:pPr>
      <w:r>
        <w:rPr>
          <w:bCs/>
          <w:sz w:val="24"/>
          <w:szCs w:val="24"/>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ListParagraph"/>
        <w:widowControl/>
        <w:numPr>
          <w:ilvl w:val="1"/>
          <w:numId w:val="2"/>
        </w:numPr>
        <w:shd w:val="clear" w:color="auto" w:fill="FFFFFF"/>
        <w:tabs>
          <w:tab w:val="clear" w:pos="709"/>
          <w:tab w:val="left" w:pos="1276" w:leader="none"/>
        </w:tabs>
        <w:suppressAutoHyphens w:val="true"/>
        <w:bidi w:val="0"/>
        <w:spacing w:before="0" w:after="0"/>
        <w:ind w:firstLine="709" w:left="0"/>
        <w:contextualSpacing w:val="false"/>
        <w:jc w:val="both"/>
        <w:rPr>
          <w:sz w:val="24"/>
          <w:szCs w:val="24"/>
        </w:rPr>
      </w:pPr>
      <w:r>
        <w:rPr>
          <w:bCs/>
          <w:sz w:val="24"/>
          <w:szCs w:val="24"/>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ListParagraph"/>
        <w:widowControl/>
        <w:numPr>
          <w:ilvl w:val="1"/>
          <w:numId w:val="2"/>
        </w:numPr>
        <w:shd w:val="clear" w:color="auto" w:fill="FFFFFF"/>
        <w:tabs>
          <w:tab w:val="clear" w:pos="709"/>
          <w:tab w:val="left" w:pos="1276" w:leader="none"/>
        </w:tabs>
        <w:suppressAutoHyphens w:val="true"/>
        <w:bidi w:val="0"/>
        <w:spacing w:before="0" w:after="0"/>
        <w:ind w:firstLine="709" w:left="0"/>
        <w:contextualSpacing w:val="false"/>
        <w:jc w:val="both"/>
        <w:rPr>
          <w:sz w:val="24"/>
          <w:szCs w:val="24"/>
        </w:rPr>
      </w:pPr>
      <w:r>
        <w:rPr>
          <w:bCs/>
          <w:sz w:val="24"/>
          <w:szCs w:val="24"/>
        </w:rPr>
        <w:t>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Поставщиком соответствующих обязательств по Договору.</w:t>
      </w:r>
    </w:p>
    <w:p>
      <w:pPr>
        <w:pStyle w:val="ListParagraph"/>
        <w:widowControl/>
        <w:numPr>
          <w:ilvl w:val="1"/>
          <w:numId w:val="2"/>
        </w:numPr>
        <w:shd w:val="clear" w:color="auto" w:fill="FFFFFF"/>
        <w:tabs>
          <w:tab w:val="clear" w:pos="709"/>
          <w:tab w:val="left" w:pos="1276" w:leader="none"/>
        </w:tabs>
        <w:suppressAutoHyphens w:val="true"/>
        <w:bidi w:val="0"/>
        <w:spacing w:before="0" w:after="0"/>
        <w:ind w:firstLine="709" w:left="0"/>
        <w:contextualSpacing w:val="false"/>
        <w:jc w:val="both"/>
        <w:rPr>
          <w:sz w:val="24"/>
          <w:szCs w:val="24"/>
        </w:rPr>
      </w:pPr>
      <w:r>
        <w:rPr>
          <w:bCs/>
          <w:sz w:val="24"/>
          <w:szCs w:val="24"/>
        </w:rPr>
        <w:t xml:space="preserve">Определение суммы неустойки, подлежащей уплате, возможно в досудебном порядке при признании суммы неустойки Стороной, нарушившей обязательства </w:t>
        <w:br/>
        <w:t xml:space="preserve">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w:t>
        <w:br/>
        <w:t>в письменном требовании,</w:t>
      </w:r>
      <w:r>
        <w:rPr>
          <w:sz w:val="24"/>
          <w:szCs w:val="24"/>
        </w:rPr>
        <w:t xml:space="preserve"> </w:t>
      </w:r>
      <w:r>
        <w:rPr>
          <w:bCs/>
          <w:sz w:val="24"/>
          <w:szCs w:val="24"/>
        </w:rPr>
        <w:t>сумма неустойки, подлежащая уплате виновной Стороной, определяется на основании решения суда.</w:t>
      </w:r>
    </w:p>
    <w:p>
      <w:pPr>
        <w:pStyle w:val="Normal"/>
        <w:shd w:val="clear" w:color="auto" w:fill="FFFFFF"/>
        <w:jc w:val="both"/>
        <w:rPr>
          <w:sz w:val="24"/>
          <w:szCs w:val="24"/>
        </w:rPr>
      </w:pPr>
      <w:r>
        <w:rPr>
          <w:sz w:val="24"/>
          <w:szCs w:val="24"/>
        </w:rPr>
      </w:r>
    </w:p>
    <w:p>
      <w:pPr>
        <w:pStyle w:val="ListParagraph"/>
        <w:widowControl/>
        <w:numPr>
          <w:ilvl w:val="0"/>
          <w:numId w:val="2"/>
        </w:numPr>
        <w:shd w:val="clear" w:color="auto" w:fill="FFFFFF"/>
        <w:tabs>
          <w:tab w:val="clear" w:pos="709"/>
          <w:tab w:val="left" w:pos="0" w:leader="none"/>
        </w:tabs>
        <w:ind w:hanging="360" w:left="0"/>
        <w:jc w:val="center"/>
        <w:rPr>
          <w:b/>
          <w:bCs/>
          <w:sz w:val="24"/>
          <w:szCs w:val="24"/>
        </w:rPr>
      </w:pPr>
      <w:r>
        <w:rPr>
          <w:b/>
          <w:bCs/>
          <w:sz w:val="24"/>
          <w:szCs w:val="24"/>
        </w:rPr>
        <w:t>Конфиденциальность</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 xml:space="preserve">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территорию Покупателя </w:t>
        <w:br/>
        <w:t>в процессе проведения переговоров, заключения и исполнения Договора, в отношении которой соблюдаются следующие условия:</w:t>
      </w:r>
    </w:p>
    <w:p>
      <w:pPr>
        <w:pStyle w:val="Normal"/>
        <w:widowControl/>
        <w:numPr>
          <w:ilvl w:val="0"/>
          <w:numId w:val="4"/>
        </w:numPr>
        <w:tabs>
          <w:tab w:val="left" w:pos="0" w:leader="none"/>
          <w:tab w:val="left" w:pos="709" w:leader="none"/>
          <w:tab w:val="left" w:pos="1418" w:leader="none"/>
        </w:tabs>
        <w:ind w:firstLine="709" w:left="0"/>
        <w:jc w:val="both"/>
        <w:rPr>
          <w:bCs/>
          <w:sz w:val="24"/>
          <w:szCs w:val="24"/>
        </w:rPr>
      </w:pPr>
      <w:r>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w:t>
      </w:r>
      <w:r>
        <w:rPr>
          <w:sz w:val="24"/>
          <w:szCs w:val="24"/>
        </w:rPr>
        <w:t xml:space="preserve">м, в том числе по причине </w:t>
      </w:r>
      <w:r>
        <w:rPr>
          <w:bCs/>
          <w:sz w:val="24"/>
          <w:szCs w:val="24"/>
        </w:rPr>
        <w:t>введения в отношении нее режима Коммерческой тайны;</w:t>
      </w:r>
    </w:p>
    <w:p>
      <w:pPr>
        <w:pStyle w:val="Normal"/>
        <w:widowControl/>
        <w:numPr>
          <w:ilvl w:val="0"/>
          <w:numId w:val="4"/>
        </w:numPr>
        <w:tabs>
          <w:tab w:val="left" w:pos="0" w:leader="none"/>
          <w:tab w:val="left" w:pos="709" w:leader="none"/>
          <w:tab w:val="left" w:pos="1418" w:leader="none"/>
        </w:tabs>
        <w:ind w:firstLine="709" w:left="0"/>
        <w:jc w:val="both"/>
        <w:rPr>
          <w:bCs/>
          <w:sz w:val="24"/>
          <w:szCs w:val="24"/>
        </w:rPr>
      </w:pPr>
      <w:r>
        <w:rPr>
          <w:bCs/>
          <w:sz w:val="24"/>
          <w:szCs w:val="24"/>
        </w:rPr>
        <w:t xml:space="preserve">данная Информация не относится к категории общедоступной </w:t>
        <w:br/>
        <w:t>или обязательной к раскрытию Покупателем в соответствии с законодательством Российской Федерации.</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 xml:space="preserve">Условия Договора и сам факт его заключения составляют Информацию </w:t>
        <w:br/>
        <w:t xml:space="preserve">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Информация может включать в себя, в том числе, но не ограничиваясь:</w:t>
      </w:r>
    </w:p>
    <w:p>
      <w:pPr>
        <w:pStyle w:val="Normal"/>
        <w:widowControl/>
        <w:numPr>
          <w:ilvl w:val="0"/>
          <w:numId w:val="4"/>
        </w:numPr>
        <w:tabs>
          <w:tab w:val="clear" w:pos="709"/>
          <w:tab w:val="left" w:pos="0" w:leader="none"/>
          <w:tab w:val="left" w:pos="1418" w:leader="none"/>
        </w:tabs>
        <w:ind w:firstLine="709" w:left="0"/>
        <w:jc w:val="both"/>
        <w:rPr>
          <w:bCs/>
          <w:sz w:val="24"/>
          <w:szCs w:val="24"/>
        </w:rPr>
      </w:pPr>
      <w:r>
        <w:rPr>
          <w:bCs/>
          <w:sz w:val="24"/>
          <w:szCs w:val="24"/>
        </w:rPr>
        <w:t xml:space="preserve">финансовую </w:t>
      </w:r>
      <w:r>
        <w:rPr>
          <w:bCs/>
          <w:sz w:val="24"/>
          <w:szCs w:val="24"/>
          <w:lang w:val="en-US"/>
        </w:rPr>
        <w:t>(</w:t>
      </w:r>
      <w:r>
        <w:rPr>
          <w:bCs/>
          <w:sz w:val="24"/>
          <w:szCs w:val="24"/>
        </w:rPr>
        <w:t>бухгалтерскую) отчетность;</w:t>
      </w:r>
    </w:p>
    <w:p>
      <w:pPr>
        <w:pStyle w:val="Normal"/>
        <w:widowControl/>
        <w:numPr>
          <w:ilvl w:val="0"/>
          <w:numId w:val="4"/>
        </w:numPr>
        <w:tabs>
          <w:tab w:val="clear" w:pos="709"/>
          <w:tab w:val="left" w:pos="0" w:leader="none"/>
          <w:tab w:val="left" w:pos="1418" w:leader="none"/>
        </w:tabs>
        <w:ind w:firstLine="709" w:left="0"/>
        <w:jc w:val="both"/>
        <w:rPr>
          <w:bCs/>
          <w:sz w:val="24"/>
          <w:szCs w:val="24"/>
        </w:rPr>
      </w:pPr>
      <w:r>
        <w:rPr>
          <w:bCs/>
          <w:sz w:val="24"/>
          <w:szCs w:val="24"/>
        </w:rPr>
        <w:t>учетные регистры бухгалтерского учета;</w:t>
      </w:r>
    </w:p>
    <w:p>
      <w:pPr>
        <w:pStyle w:val="Normal"/>
        <w:widowControl/>
        <w:numPr>
          <w:ilvl w:val="0"/>
          <w:numId w:val="4"/>
        </w:numPr>
        <w:tabs>
          <w:tab w:val="clear" w:pos="709"/>
          <w:tab w:val="left" w:pos="0" w:leader="none"/>
          <w:tab w:val="left" w:pos="1418" w:leader="none"/>
        </w:tabs>
        <w:ind w:firstLine="709" w:left="0"/>
        <w:jc w:val="both"/>
        <w:rPr>
          <w:bCs/>
          <w:sz w:val="24"/>
          <w:szCs w:val="24"/>
        </w:rPr>
      </w:pPr>
      <w:r>
        <w:rPr>
          <w:bCs/>
          <w:sz w:val="24"/>
          <w:szCs w:val="24"/>
        </w:rPr>
        <w:t>бизнес-планы;</w:t>
      </w:r>
    </w:p>
    <w:p>
      <w:pPr>
        <w:pStyle w:val="Normal"/>
        <w:widowControl/>
        <w:numPr>
          <w:ilvl w:val="0"/>
          <w:numId w:val="4"/>
        </w:numPr>
        <w:tabs>
          <w:tab w:val="clear" w:pos="709"/>
          <w:tab w:val="left" w:pos="0" w:leader="none"/>
          <w:tab w:val="left" w:pos="1418" w:leader="none"/>
        </w:tabs>
        <w:ind w:firstLine="709" w:left="0"/>
        <w:jc w:val="both"/>
        <w:rPr>
          <w:bCs/>
          <w:sz w:val="24"/>
          <w:szCs w:val="24"/>
        </w:rPr>
      </w:pPr>
      <w:r>
        <w:rPr>
          <w:bCs/>
          <w:sz w:val="24"/>
          <w:szCs w:val="24"/>
        </w:rPr>
        <w:t>договоры (соглашения), заключаемые или заключенные непосредственно Покупателем либо в его пользу, а также информацию и сведения, содержащиеся в данных договорах (соглашениях);</w:t>
      </w:r>
    </w:p>
    <w:p>
      <w:pPr>
        <w:pStyle w:val="Normal"/>
        <w:widowControl/>
        <w:numPr>
          <w:ilvl w:val="0"/>
          <w:numId w:val="4"/>
        </w:numPr>
        <w:tabs>
          <w:tab w:val="clear" w:pos="709"/>
          <w:tab w:val="left" w:pos="0" w:leader="none"/>
          <w:tab w:val="left" w:pos="1418" w:leader="none"/>
        </w:tabs>
        <w:ind w:firstLine="709" w:left="0"/>
        <w:jc w:val="both"/>
        <w:rPr>
          <w:bCs/>
          <w:sz w:val="24"/>
          <w:szCs w:val="24"/>
        </w:rPr>
      </w:pPr>
      <w:r>
        <w:rPr>
          <w:bCs/>
          <w:sz w:val="24"/>
          <w:szCs w:val="24"/>
        </w:rPr>
        <w:t>сведения о финансовых, правовых, организационных и других взаимоотношениях между Покупателем и третьими лицами;</w:t>
      </w:r>
    </w:p>
    <w:p>
      <w:pPr>
        <w:pStyle w:val="Normal"/>
        <w:widowControl/>
        <w:numPr>
          <w:ilvl w:val="0"/>
          <w:numId w:val="4"/>
        </w:numPr>
        <w:tabs>
          <w:tab w:val="clear" w:pos="709"/>
          <w:tab w:val="left" w:pos="0" w:leader="none"/>
          <w:tab w:val="left" w:pos="1418" w:leader="none"/>
        </w:tabs>
        <w:ind w:firstLine="709" w:left="0"/>
        <w:jc w:val="both"/>
        <w:rPr>
          <w:bCs/>
          <w:sz w:val="24"/>
          <w:szCs w:val="24"/>
        </w:rPr>
      </w:pPr>
      <w:r>
        <w:rPr>
          <w:bCs/>
          <w:sz w:val="24"/>
          <w:szCs w:val="24"/>
        </w:rPr>
        <w:t xml:space="preserve">сведения о находящихся на регистрации товарных знаках Покупателя, а также </w:t>
        <w:br/>
        <w:t>об объектах интеллектуальной собственности Покупателя, сведения о которых не являются опубликованными;</w:t>
      </w:r>
    </w:p>
    <w:p>
      <w:pPr>
        <w:pStyle w:val="Normal"/>
        <w:widowControl/>
        <w:numPr>
          <w:ilvl w:val="0"/>
          <w:numId w:val="4"/>
        </w:numPr>
        <w:tabs>
          <w:tab w:val="clear" w:pos="709"/>
          <w:tab w:val="left" w:pos="0" w:leader="none"/>
          <w:tab w:val="left" w:pos="1418" w:leader="none"/>
        </w:tabs>
        <w:ind w:firstLine="709" w:left="0"/>
        <w:jc w:val="both"/>
        <w:rPr>
          <w:bCs/>
          <w:sz w:val="24"/>
          <w:szCs w:val="24"/>
        </w:rPr>
      </w:pPr>
      <w:r>
        <w:rPr>
          <w:bCs/>
          <w:sz w:val="24"/>
          <w:szCs w:val="24"/>
        </w:rPr>
        <w:t xml:space="preserve">сведения о Поставщиках, поставщиках оборудования и материалов, а также </w:t>
        <w:br/>
        <w:t>о покупателях продукции Покупателя и их аффилированных лицах;</w:t>
      </w:r>
    </w:p>
    <w:p>
      <w:pPr>
        <w:pStyle w:val="Normal"/>
        <w:widowControl/>
        <w:numPr>
          <w:ilvl w:val="0"/>
          <w:numId w:val="4"/>
        </w:numPr>
        <w:tabs>
          <w:tab w:val="clear" w:pos="709"/>
          <w:tab w:val="left" w:pos="0" w:leader="none"/>
          <w:tab w:val="left" w:pos="1418" w:leader="none"/>
        </w:tabs>
        <w:ind w:firstLine="709" w:left="0"/>
        <w:jc w:val="both"/>
        <w:rPr>
          <w:bCs/>
          <w:sz w:val="24"/>
          <w:szCs w:val="24"/>
        </w:rPr>
      </w:pPr>
      <w:r>
        <w:rPr>
          <w:bCs/>
          <w:sz w:val="24"/>
          <w:szCs w:val="24"/>
        </w:rPr>
        <w:t>сведения об объемах производства и / или реализации продукции и услуг Покупателя или его аффилированных лиц;</w:t>
      </w:r>
    </w:p>
    <w:p>
      <w:pPr>
        <w:pStyle w:val="Normal"/>
        <w:widowControl/>
        <w:numPr>
          <w:ilvl w:val="0"/>
          <w:numId w:val="4"/>
        </w:numPr>
        <w:tabs>
          <w:tab w:val="clear" w:pos="709"/>
          <w:tab w:val="left" w:pos="0" w:leader="none"/>
          <w:tab w:val="left" w:pos="1418" w:leader="none"/>
        </w:tabs>
        <w:ind w:firstLine="709" w:left="0"/>
        <w:jc w:val="both"/>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bookmarkStart w:id="6" w:name="_Ref361337849"/>
      <w:r>
        <w:rPr>
          <w:bCs/>
          <w:sz w:val="24"/>
          <w:szCs w:val="24"/>
        </w:rPr>
        <w:t>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sz w:val="24"/>
          <w:szCs w:val="24"/>
        </w:rPr>
        <w:t xml:space="preserve"> </w:t>
      </w:r>
      <w:r>
        <w:rPr>
          <w:bCs/>
          <w:sz w:val="24"/>
          <w:szCs w:val="24"/>
        </w:rPr>
        <w:t>(расторжения) или исполнения, в том числе:</w:t>
      </w:r>
      <w:bookmarkEnd w:id="6"/>
      <w:r>
        <w:rPr>
          <w:bCs/>
          <w:sz w:val="24"/>
          <w:szCs w:val="24"/>
        </w:rPr>
        <w:t xml:space="preserve"> </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Не разглашать, не обсуждать содержание, не предоставлять копий, </w:t>
        <w:br/>
        <w:t xml:space="preserve">не публиковать и не </w:t>
      </w:r>
      <w:r>
        <w:rPr>
          <w:sz w:val="24"/>
          <w:szCs w:val="24"/>
        </w:rPr>
        <w:t>раскрывать</w:t>
      </w:r>
      <w:r>
        <w:rPr>
          <w:bCs/>
          <w:sz w:val="24"/>
          <w:szCs w:val="24"/>
        </w:rPr>
        <w:t xml:space="preserve"> в какой-либо иной форме третьим лицам Информацию </w:t>
        <w:br/>
        <w:t>без получения предварительного письменного согласия Покупателя, за исключением случаев, предусмотренных законодательством Российской Федерации и п. 7.6.7 Договора.</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Принимать меры предосторожности, обычно используемые для защиты такого рода информации в деловом обороте, при этом если Поставщиком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Поставщик обязан использовать </w:t>
        <w:br/>
        <w:t>в отношении защиты Информации обычно используемые им меры защиты.</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Использовать Информацию исключительно для целей, для которых она была предоставлена. </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такого несанкционированного раскрытия.</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w:t>
        <w:br/>
        <w:t xml:space="preserve">на технических средствах Поставщика. При этом Покупатель признает, что обязательства </w:t>
        <w:br/>
        <w:t xml:space="preserve">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w:t>
        <w:br/>
        <w:t xml:space="preserve">или методики создания резервных копий. </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bookmarkStart w:id="7" w:name="_Ref361337832"/>
      <w:r>
        <w:rPr>
          <w:bCs/>
          <w:sz w:val="24"/>
          <w:szCs w:val="24"/>
        </w:rPr>
        <w:t xml:space="preserve">Раскрывать Информацию своим работникам, членам органов управления </w:t>
        <w:br/>
        <w:t xml:space="preserve">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w:t>
        <w:br/>
        <w:t>за свои собственные.</w:t>
      </w:r>
      <w:bookmarkEnd w:id="7"/>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Не разглашать третьим лицам факты передачи или получения Информации.</w:t>
      </w:r>
    </w:p>
    <w:p>
      <w:pPr>
        <w:pStyle w:val="ListParagraph"/>
        <w:widowControl/>
        <w:numPr>
          <w:ilvl w:val="1"/>
          <w:numId w:val="2"/>
        </w:numPr>
        <w:shd w:val="clear" w:color="auto" w:fill="FFFFFF"/>
        <w:tabs>
          <w:tab w:val="clear" w:pos="709"/>
          <w:tab w:val="left" w:pos="1134" w:leader="none"/>
        </w:tabs>
        <w:ind w:firstLine="709" w:left="0"/>
        <w:jc w:val="both"/>
        <w:rPr>
          <w:bCs/>
          <w:sz w:val="24"/>
          <w:szCs w:val="24"/>
        </w:rPr>
      </w:pPr>
      <w:bookmarkStart w:id="8" w:name="_Ref361337863"/>
      <w:r>
        <w:rPr>
          <w:bCs/>
          <w:sz w:val="24"/>
          <w:szCs w:val="24"/>
        </w:rPr>
        <w:t xml:space="preserve">Поставщик, нарушивший условия настоящего раздела Договора, возмещает Покупателю убытки, вызванные таким нарушением, в течение 10 (десяти) календарных дней </w:t>
        <w:br/>
        <w:t>с даты получения соответствующего письменного требования Покупателя.</w:t>
      </w:r>
      <w:bookmarkEnd w:id="8"/>
    </w:p>
    <w:p>
      <w:pPr>
        <w:pStyle w:val="Normal"/>
        <w:numPr>
          <w:ilvl w:val="1"/>
          <w:numId w:val="2"/>
        </w:numPr>
        <w:shd w:val="clear" w:color="auto" w:fill="FFFFFF"/>
        <w:ind w:firstLine="709" w:left="0"/>
        <w:jc w:val="both"/>
        <w:rPr>
          <w:bCs/>
          <w:sz w:val="24"/>
          <w:szCs w:val="24"/>
        </w:rPr>
      </w:pPr>
      <w:r>
        <w:rPr>
          <w:bCs/>
          <w:sz w:val="24"/>
          <w:szCs w:val="24"/>
        </w:rPr>
        <w:t xml:space="preserve">Условия защиты Информации, представляемой Поставщиком Покупателю, могут быть дополнительно урегулированы отдельно заключаемым Сторонами соглашением. </w:t>
      </w:r>
    </w:p>
    <w:p>
      <w:pPr>
        <w:pStyle w:val="ListParagraph"/>
        <w:widowControl/>
        <w:shd w:val="clear" w:color="auto" w:fill="FFFFFF"/>
        <w:tabs>
          <w:tab w:val="clear" w:pos="709"/>
          <w:tab w:val="left" w:pos="1134" w:leader="none"/>
        </w:tabs>
        <w:ind w:hanging="0" w:left="709"/>
        <w:jc w:val="both"/>
        <w:rPr>
          <w:sz w:val="24"/>
          <w:szCs w:val="24"/>
        </w:rPr>
      </w:pPr>
      <w:r>
        <w:rPr>
          <w:sz w:val="24"/>
          <w:szCs w:val="24"/>
        </w:rPr>
      </w:r>
    </w:p>
    <w:p>
      <w:pPr>
        <w:pStyle w:val="ListParagraph"/>
        <w:widowControl/>
        <w:numPr>
          <w:ilvl w:val="0"/>
          <w:numId w:val="2"/>
        </w:numPr>
        <w:shd w:val="clear" w:color="auto" w:fill="FFFFFF"/>
        <w:ind w:hanging="360" w:left="0"/>
        <w:jc w:val="center"/>
        <w:rPr>
          <w:b/>
          <w:bCs/>
          <w:sz w:val="24"/>
          <w:szCs w:val="24"/>
        </w:rPr>
      </w:pPr>
      <w:r>
        <w:rPr>
          <w:b/>
          <w:bCs/>
          <w:sz w:val="24"/>
          <w:szCs w:val="24"/>
        </w:rPr>
        <w:t>Разрешение споров</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Все споры, разногласия и требования, возникающие между Сторонами </w:t>
        <w:br/>
        <w:t>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ListParagraph"/>
        <w:widowControl/>
        <w:numPr>
          <w:ilvl w:val="1"/>
          <w:numId w:val="2"/>
        </w:numPr>
        <w:shd w:val="clear" w:color="auto" w:fill="FFFFFF"/>
        <w:tabs>
          <w:tab w:val="clear" w:pos="709"/>
          <w:tab w:val="left" w:pos="0" w:leader="none"/>
        </w:tabs>
        <w:ind w:firstLine="709" w:left="0"/>
        <w:jc w:val="both"/>
        <w:rPr>
          <w:bCs/>
          <w:sz w:val="24"/>
          <w:szCs w:val="24"/>
        </w:rPr>
      </w:pPr>
      <w:r>
        <w:rPr>
          <w:bCs/>
          <w:sz w:val="24"/>
          <w:szCs w:val="24"/>
        </w:rPr>
        <w:t xml:space="preserve">Споры, указанные в пункте </w:t>
      </w:r>
      <w:r>
        <w:rPr>
          <w:bCs/>
          <w:sz w:val="24"/>
          <w:szCs w:val="24"/>
        </w:rPr>
        <w:t>7</w:t>
      </w:r>
      <w:r>
        <w:rPr>
          <w:bCs/>
          <w:sz w:val="24"/>
          <w:szCs w:val="24"/>
        </w:rPr>
        <w:t xml:space="preserve">.1 Договора, которые не были урегулированы Сторонами путем переговоров, подлежат разрешению в Арбитражном суде </w:t>
      </w:r>
      <w:r>
        <w:rPr>
          <w:bCs/>
          <w:sz w:val="24"/>
          <w:szCs w:val="24"/>
          <w:highlight w:val="lightGray"/>
          <w:shd w:fill="auto" w:val="clear"/>
        </w:rPr>
        <w:t>Хабаровского края</w:t>
      </w:r>
      <w:r>
        <w:rPr>
          <w:bCs/>
          <w:sz w:val="24"/>
          <w:szCs w:val="24"/>
        </w:rPr>
        <w:t xml:space="preserve"> в соответствии с законодательством Российской Федерации, </w:t>
        <w:br/>
        <w:t>за исключением споров из Банковской гарантии, подсудность которых предусмотрена пунктом 5.1.9 Договора.</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w:t>
      </w:r>
      <w:r>
        <w:rPr>
          <w:bCs/>
          <w:sz w:val="24"/>
          <w:szCs w:val="24"/>
          <w:highlight w:val="lightGray"/>
        </w:rPr>
        <w:t>1</w:t>
      </w:r>
      <w:r>
        <w:rPr>
          <w:bCs/>
          <w:sz w:val="24"/>
          <w:szCs w:val="24"/>
          <w:highlight w:val="lightGray"/>
        </w:rPr>
        <w:t>3</w:t>
      </w:r>
      <w:r>
        <w:rPr>
          <w:bCs/>
          <w:sz w:val="24"/>
          <w:szCs w:val="24"/>
          <w:highlight w:val="lightGray"/>
        </w:rPr>
        <w:t>.8</w:t>
      </w:r>
      <w:r>
        <w:rPr>
          <w:bCs/>
          <w:sz w:val="24"/>
          <w:szCs w:val="24"/>
        </w:rPr>
        <w:t xml:space="preserve"> Договора.</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Срок для рассмотрения претензии – 15 (пятнадцать) рабочих дней со дня </w:t>
        <w:br/>
        <w:t xml:space="preserve">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w:t>
        <w:br/>
        <w:t>с иском в суд.</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Условия настоящего раздела Договора сохраняют свою силу в случае признания Договора незаключенным и / или недействительным.</w:t>
      </w:r>
    </w:p>
    <w:p>
      <w:pPr>
        <w:pStyle w:val="Normal"/>
        <w:shd w:val="clear" w:color="auto" w:fill="FFFFFF"/>
        <w:jc w:val="both"/>
        <w:rPr>
          <w:bCs/>
          <w:sz w:val="24"/>
          <w:szCs w:val="24"/>
        </w:rPr>
      </w:pPr>
      <w:r>
        <w:rPr>
          <w:bCs/>
          <w:sz w:val="24"/>
          <w:szCs w:val="24"/>
        </w:rPr>
      </w:r>
    </w:p>
    <w:p>
      <w:pPr>
        <w:pStyle w:val="ListParagraph"/>
        <w:widowControl/>
        <w:numPr>
          <w:ilvl w:val="0"/>
          <w:numId w:val="2"/>
        </w:numPr>
        <w:shd w:val="clear" w:color="auto" w:fill="FFFFFF"/>
        <w:ind w:hanging="360" w:left="0"/>
        <w:jc w:val="center"/>
        <w:rPr>
          <w:b/>
          <w:bCs/>
          <w:sz w:val="24"/>
          <w:szCs w:val="24"/>
        </w:rPr>
      </w:pPr>
      <w:r>
        <w:rPr>
          <w:b/>
          <w:bCs/>
          <w:sz w:val="24"/>
          <w:szCs w:val="24"/>
        </w:rPr>
        <w:t>Антикоррупционная оговорка</w:t>
      </w:r>
    </w:p>
    <w:p>
      <w:pPr>
        <w:pStyle w:val="ListParagraph"/>
        <w:numPr>
          <w:ilvl w:val="1"/>
          <w:numId w:val="2"/>
        </w:numPr>
        <w:shd w:val="clear" w:color="auto" w:fill="FFFFFF"/>
        <w:tabs>
          <w:tab w:val="clear" w:pos="709"/>
          <w:tab w:val="left" w:pos="1134" w:leader="none"/>
        </w:tabs>
        <w:ind w:firstLine="709" w:left="0"/>
        <w:jc w:val="both"/>
        <w:rPr>
          <w:bCs/>
          <w:color w:val="000000"/>
          <w:sz w:val="24"/>
          <w:szCs w:val="24"/>
        </w:rPr>
      </w:pPr>
      <w:r>
        <w:rPr>
          <w:color w:val="000000"/>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sz w:val="24"/>
          <w:szCs w:val="24"/>
        </w:rPr>
        <w:t xml:space="preserve">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w:t>
        <w:br/>
        <w:t>с целью получения каких-либо неправомерных преимуществ или для достижения иных неправомерных целей.</w:t>
      </w:r>
    </w:p>
    <w:p>
      <w:pPr>
        <w:pStyle w:val="ListParagraph"/>
        <w:numPr>
          <w:ilvl w:val="1"/>
          <w:numId w:val="2"/>
        </w:numPr>
        <w:shd w:val="clear" w:color="auto" w:fill="FFFFFF"/>
        <w:tabs>
          <w:tab w:val="clear" w:pos="709"/>
          <w:tab w:val="left" w:pos="1134" w:leader="none"/>
        </w:tabs>
        <w:ind w:firstLine="709" w:left="0"/>
        <w:jc w:val="both"/>
        <w:rPr>
          <w:bCs/>
          <w:color w:val="000000"/>
          <w:sz w:val="24"/>
          <w:szCs w:val="24"/>
        </w:rPr>
      </w:pPr>
      <w:r>
        <w:rPr>
          <w:bCs/>
          <w:color w:val="000000"/>
          <w:sz w:val="24"/>
          <w:szCs w:val="24"/>
        </w:rPr>
        <w:t xml:space="preserve">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w:t>
        <w:br/>
        <w:t>и международных актов о противодействии коррупции, легализации (отмыванию) доходов, полученных преступным путем.</w:t>
      </w:r>
    </w:p>
    <w:p>
      <w:pPr>
        <w:pStyle w:val="ListParagraph"/>
        <w:numPr>
          <w:ilvl w:val="1"/>
          <w:numId w:val="2"/>
        </w:numPr>
        <w:shd w:val="clear" w:color="auto" w:fill="FFFFFF"/>
        <w:tabs>
          <w:tab w:val="clear" w:pos="709"/>
          <w:tab w:val="left" w:pos="1134" w:leader="none"/>
        </w:tabs>
        <w:ind w:firstLine="709" w:left="0"/>
        <w:jc w:val="both"/>
        <w:rPr>
          <w:bCs/>
          <w:color w:val="000000"/>
          <w:sz w:val="24"/>
          <w:szCs w:val="24"/>
        </w:rPr>
      </w:pPr>
      <w:r>
        <w:rPr>
          <w:bCs/>
          <w:color w:val="000000"/>
          <w:sz w:val="24"/>
          <w:szCs w:val="24"/>
        </w:rPr>
        <w:t xml:space="preserve">В случае возникновения у любой Стороны обоснованных предположений, что </w:t>
        <w:br/>
        <w:t xml:space="preserve">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w:t>
        <w:br/>
        <w:t>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ListParagraph"/>
        <w:numPr>
          <w:ilvl w:val="1"/>
          <w:numId w:val="2"/>
        </w:numPr>
        <w:shd w:val="clear" w:color="auto" w:fill="FFFFFF"/>
        <w:tabs>
          <w:tab w:val="clear" w:pos="709"/>
          <w:tab w:val="left" w:pos="1134" w:leader="none"/>
        </w:tabs>
        <w:ind w:firstLine="709" w:left="0"/>
        <w:jc w:val="both"/>
        <w:rPr>
          <w:bCs/>
          <w:color w:val="000000"/>
          <w:sz w:val="24"/>
          <w:szCs w:val="24"/>
        </w:rPr>
      </w:pPr>
      <w:r>
        <w:rPr>
          <w:bCs/>
          <w:color w:val="000000"/>
          <w:sz w:val="24"/>
          <w:szCs w:val="24"/>
        </w:rPr>
        <w:t xml:space="preserve">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не позднее </w:t>
        <w:br/>
        <w:t>5 (пяти) рабочих дней с даты получения письменного уведомления.</w:t>
      </w:r>
    </w:p>
    <w:p>
      <w:pPr>
        <w:pStyle w:val="ListParagraph"/>
        <w:numPr>
          <w:ilvl w:val="1"/>
          <w:numId w:val="2"/>
        </w:numPr>
        <w:shd w:val="clear" w:color="auto" w:fill="FFFFFF"/>
        <w:tabs>
          <w:tab w:val="clear" w:pos="709"/>
          <w:tab w:val="left" w:pos="1134" w:leader="none"/>
        </w:tabs>
        <w:ind w:firstLine="709" w:left="0"/>
        <w:jc w:val="both"/>
        <w:rPr>
          <w:bCs/>
          <w:color w:val="000000"/>
          <w:sz w:val="24"/>
          <w:szCs w:val="24"/>
        </w:rPr>
      </w:pPr>
      <w:r>
        <w:rPr>
          <w:bCs/>
          <w:color w:val="000000"/>
          <w:sz w:val="24"/>
          <w:szCs w:val="24"/>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w:t>
        <w:br/>
        <w:t xml:space="preserve">для уведомившей Стороны в целом, так и для конкретных работников уведомившей Стороны, сообщивших о факте нарушений. </w:t>
      </w:r>
    </w:p>
    <w:p>
      <w:pPr>
        <w:pStyle w:val="ListParagraph"/>
        <w:numPr>
          <w:ilvl w:val="1"/>
          <w:numId w:val="2"/>
        </w:numPr>
        <w:shd w:val="clear" w:color="auto" w:fill="FFFFFF"/>
        <w:tabs>
          <w:tab w:val="clear" w:pos="709"/>
          <w:tab w:val="left" w:pos="1134" w:leader="none"/>
        </w:tabs>
        <w:ind w:firstLine="709" w:left="0"/>
        <w:jc w:val="both"/>
        <w:rPr>
          <w:bCs/>
          <w:color w:val="000000"/>
          <w:sz w:val="24"/>
          <w:szCs w:val="24"/>
        </w:rPr>
      </w:pPr>
      <w:r>
        <w:rPr>
          <w:bCs/>
          <w:color w:val="000000"/>
          <w:sz w:val="24"/>
          <w:szCs w:val="24"/>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w:t>
        <w:br/>
        <w:t xml:space="preserve">не позднее 5 (пяти) календарных дней до даты прекращения действия Договора. </w:t>
      </w:r>
    </w:p>
    <w:p>
      <w:pPr>
        <w:pStyle w:val="ListParagraph"/>
        <w:numPr>
          <w:ilvl w:val="1"/>
          <w:numId w:val="2"/>
        </w:numPr>
        <w:shd w:val="clear" w:color="auto" w:fill="FFFFFF"/>
        <w:tabs>
          <w:tab w:val="clear" w:pos="709"/>
          <w:tab w:val="left" w:pos="1134" w:leader="none"/>
        </w:tabs>
        <w:ind w:firstLine="709" w:left="0"/>
        <w:jc w:val="both"/>
        <w:rPr>
          <w:bCs/>
          <w:color w:val="000000"/>
          <w:sz w:val="24"/>
          <w:szCs w:val="24"/>
        </w:rPr>
      </w:pPr>
      <w:r>
        <w:rPr>
          <w:color w:val="000000"/>
          <w:sz w:val="24"/>
          <w:szCs w:val="24"/>
        </w:rPr>
        <w:t xml:space="preserve">Каналы связи Линии доверия Группы РусГидро: </w:t>
      </w:r>
    </w:p>
    <w:p>
      <w:pPr>
        <w:pStyle w:val="Normal"/>
        <w:shd w:val="clear" w:color="auto" w:fill="FFFFFF"/>
        <w:tabs>
          <w:tab w:val="clear" w:pos="709"/>
          <w:tab w:val="left" w:pos="567" w:leader="none"/>
          <w:tab w:val="left" w:pos="1134" w:leader="none"/>
        </w:tabs>
        <w:ind w:firstLine="709"/>
        <w:jc w:val="both"/>
        <w:rPr>
          <w:sz w:val="24"/>
          <w:szCs w:val="24"/>
        </w:rPr>
      </w:pPr>
      <w:r>
        <w:rPr>
          <w:sz w:val="24"/>
          <w:szCs w:val="24"/>
        </w:rPr>
        <w:t>8</w:t>
      </w:r>
      <w:r>
        <w:rPr>
          <w:sz w:val="24"/>
          <w:szCs w:val="24"/>
        </w:rPr>
        <w:t>.7.1. Электронная почта: ld@rushydro.ru.</w:t>
      </w:r>
    </w:p>
    <w:p>
      <w:pPr>
        <w:pStyle w:val="Normal"/>
        <w:shd w:val="clear" w:color="auto" w:fill="FFFFFF"/>
        <w:tabs>
          <w:tab w:val="clear" w:pos="709"/>
          <w:tab w:val="left" w:pos="567" w:leader="none"/>
          <w:tab w:val="left" w:pos="1134" w:leader="none"/>
        </w:tabs>
        <w:ind w:firstLine="709"/>
        <w:jc w:val="both"/>
        <w:rPr>
          <w:sz w:val="24"/>
          <w:szCs w:val="24"/>
        </w:rPr>
      </w:pPr>
      <w:r>
        <w:rPr>
          <w:sz w:val="24"/>
          <w:szCs w:val="24"/>
        </w:rPr>
        <w:t>8</w:t>
      </w:r>
      <w:r>
        <w:rPr>
          <w:sz w:val="24"/>
          <w:szCs w:val="24"/>
        </w:rPr>
        <w:t xml:space="preserve">.7.2. Специальная форма «обратной связи», размещенная на официальном сайте </w:t>
        <w:br/>
        <w:t>ПАО «РусГидро» в сети интернет: http://www.rushydro.ru/ (далее перейти по ссылке «Линия доверия» и заполнить поля специальной формы «обратной связи»).</w:t>
      </w:r>
    </w:p>
    <w:p>
      <w:pPr>
        <w:pStyle w:val="Normal"/>
        <w:ind w:firstLine="709"/>
        <w:jc w:val="both"/>
        <w:rPr>
          <w:sz w:val="24"/>
          <w:szCs w:val="24"/>
        </w:rPr>
      </w:pPr>
      <w:r>
        <w:rPr>
          <w:sz w:val="24"/>
          <w:szCs w:val="24"/>
        </w:rPr>
        <w:t>8</w:t>
      </w:r>
      <w:r>
        <w:rPr>
          <w:sz w:val="24"/>
          <w:szCs w:val="24"/>
        </w:rPr>
        <w:t>.7.3. 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ListParagraph"/>
        <w:shd w:val="clear" w:color="auto" w:fill="FFFFFF"/>
        <w:tabs>
          <w:tab w:val="clear" w:pos="709"/>
          <w:tab w:val="left" w:pos="0" w:leader="none"/>
          <w:tab w:val="left" w:pos="284" w:leader="none"/>
          <w:tab w:val="left" w:pos="567" w:leader="none"/>
        </w:tabs>
        <w:ind w:firstLine="709" w:left="0"/>
        <w:jc w:val="both"/>
        <w:rPr>
          <w:b/>
          <w:bCs/>
          <w:sz w:val="24"/>
          <w:szCs w:val="24"/>
        </w:rPr>
      </w:pPr>
      <w:r>
        <w:rPr>
          <w:b/>
          <w:bCs/>
          <w:sz w:val="24"/>
          <w:szCs w:val="24"/>
        </w:rPr>
      </w:r>
    </w:p>
    <w:p>
      <w:pPr>
        <w:pStyle w:val="ListParagraph"/>
        <w:widowControl/>
        <w:numPr>
          <w:ilvl w:val="0"/>
          <w:numId w:val="2"/>
        </w:numPr>
        <w:shd w:val="clear" w:color="auto" w:fill="FFFFFF"/>
        <w:ind w:hanging="360" w:left="0"/>
        <w:jc w:val="center"/>
        <w:rPr>
          <w:b/>
          <w:bCs/>
          <w:sz w:val="24"/>
          <w:szCs w:val="24"/>
        </w:rPr>
      </w:pPr>
      <w:r>
        <w:rPr>
          <w:b/>
          <w:bCs/>
          <w:sz w:val="24"/>
          <w:szCs w:val="24"/>
        </w:rPr>
        <w:t>Обстоятельства непреодолимой силы (форс-мажор)</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Сторона имеет право ссылаться на обстоятельства непреодолимой силы только </w:t>
        <w:br/>
        <w:t>в случае, если такие обстоятельства непосредственно повлияли на возможность исполнения этой Стороной условий Договора.</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w:t>
        <w:br/>
        <w:t>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sz w:val="24"/>
          <w:szCs w:val="24"/>
        </w:rPr>
        <w:t xml:space="preserve">Надлежащим (достаточным) доказательством наличия / возникновения </w:t>
        <w:br/>
        <w:t xml:space="preserve">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w:t>
        <w:br/>
        <w:t>на которые заинтересованная Сторона ссылается в качестве обстоятельств непреодолимой силы (форс-мажора).</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Отсутствие уведомления или несвоевременное уведомление </w:t>
        <w:br/>
        <w:t xml:space="preserve">об обстоятельствах непреодолимой силы лишает соответствующую Сторону права </w:t>
        <w:br/>
        <w:t xml:space="preserve">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widowControl/>
        <w:numPr>
          <w:ilvl w:val="1"/>
          <w:numId w:val="2"/>
        </w:numPr>
        <w:shd w:val="clear" w:color="auto" w:fill="FFFFFF"/>
        <w:tabs>
          <w:tab w:val="clear" w:pos="709"/>
          <w:tab w:val="left" w:pos="0" w:leader="none"/>
          <w:tab w:val="left" w:pos="568" w:leader="none"/>
          <w:tab w:val="left" w:pos="1418" w:leader="none"/>
        </w:tabs>
        <w:ind w:firstLine="709" w:left="0"/>
        <w:jc w:val="both"/>
        <w:rPr>
          <w:bCs/>
          <w:sz w:val="24"/>
          <w:szCs w:val="24"/>
        </w:rPr>
      </w:pPr>
      <w:r>
        <w:rPr>
          <w:bCs/>
          <w:sz w:val="24"/>
          <w:szCs w:val="24"/>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shd w:val="clear" w:color="auto" w:fill="FFFFFF"/>
        <w:tabs>
          <w:tab w:val="clear" w:pos="709"/>
          <w:tab w:val="left" w:pos="0" w:leader="none"/>
          <w:tab w:val="left" w:pos="568" w:leader="none"/>
          <w:tab w:val="left" w:pos="1418" w:leader="none"/>
        </w:tabs>
        <w:ind w:firstLine="709" w:left="0"/>
        <w:jc w:val="both"/>
        <w:rPr>
          <w:bCs/>
          <w:sz w:val="24"/>
          <w:szCs w:val="24"/>
        </w:rPr>
      </w:pPr>
      <w:r>
        <w:rPr>
          <w:bCs/>
          <w:sz w:val="24"/>
          <w:szCs w:val="24"/>
        </w:rPr>
        <w:t xml:space="preserve">При этом любая из Сторон вправе отказаться от исполнения Договора </w:t>
        <w:br/>
        <w:t>в одностороннем внесудебном порядке.</w:t>
      </w:r>
    </w:p>
    <w:p>
      <w:pPr>
        <w:pStyle w:val="Normal"/>
        <w:shd w:val="clear" w:color="auto" w:fill="FFFFFF"/>
        <w:jc w:val="both"/>
        <w:rPr>
          <w:sz w:val="24"/>
          <w:szCs w:val="24"/>
        </w:rPr>
      </w:pPr>
      <w:r>
        <w:rPr>
          <w:sz w:val="24"/>
          <w:szCs w:val="24"/>
        </w:rPr>
      </w:r>
    </w:p>
    <w:p>
      <w:pPr>
        <w:pStyle w:val="Normal"/>
        <w:widowControl/>
        <w:numPr>
          <w:ilvl w:val="0"/>
          <w:numId w:val="2"/>
        </w:numPr>
        <w:shd w:val="clear" w:color="auto" w:fill="FFFFFF"/>
        <w:spacing w:lineRule="auto" w:line="259" w:before="0" w:after="0"/>
        <w:contextualSpacing/>
        <w:jc w:val="center"/>
        <w:rPr>
          <w:b/>
          <w:bCs/>
          <w:sz w:val="24"/>
          <w:szCs w:val="24"/>
        </w:rPr>
      </w:pPr>
      <w:r>
        <w:rPr>
          <w:b/>
          <w:bCs/>
          <w:sz w:val="24"/>
          <w:szCs w:val="24"/>
        </w:rPr>
        <w:t>Особые положения</w:t>
      </w:r>
    </w:p>
    <w:p>
      <w:pPr>
        <w:pStyle w:val="ListParagraph"/>
        <w:widowControl/>
        <w:numPr>
          <w:ilvl w:val="1"/>
          <w:numId w:val="2"/>
        </w:numPr>
        <w:shd w:val="clear" w:color="auto" w:fill="FFFFFF"/>
        <w:tabs>
          <w:tab w:val="clear" w:pos="709"/>
          <w:tab w:val="left" w:pos="1418" w:leader="none"/>
        </w:tabs>
        <w:ind w:firstLine="709" w:left="0"/>
        <w:jc w:val="both"/>
        <w:rPr>
          <w:bCs/>
          <w:sz w:val="24"/>
          <w:szCs w:val="24"/>
        </w:rPr>
      </w:pPr>
      <w:r>
        <w:rPr>
          <w:bCs/>
          <w:sz w:val="24"/>
          <w:szCs w:val="24"/>
        </w:rPr>
        <w:t xml:space="preserve">Поставщик обязуется не привлекать и не допускать привлечения к исполнению обязательств по Договору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bCs/>
            <w:sz w:val="24"/>
            <w:szCs w:val="24"/>
          </w:rPr>
          <w:t>№ 18162/09</w:t>
        </w:r>
      </w:hyperlink>
      <w:r>
        <w:rPr>
          <w:bCs/>
          <w:sz w:val="24"/>
          <w:szCs w:val="24"/>
        </w:rPr>
        <w:t xml:space="preserve"> и от 25.05.2010 </w:t>
      </w:r>
      <w:hyperlink r:id="rId3">
        <w:r>
          <w:rPr>
            <w:bCs/>
            <w:sz w:val="24"/>
            <w:szCs w:val="24"/>
          </w:rPr>
          <w:t>№ 15658/09</w:t>
        </w:r>
      </w:hyperlink>
      <w:r>
        <w:rPr>
          <w:bCs/>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w:t>
        <w:br/>
        <w:t xml:space="preserve">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4">
        <w:r>
          <w:rPr>
            <w:bCs/>
            <w:sz w:val="24"/>
            <w:szCs w:val="24"/>
          </w:rPr>
          <w:t>Критери</w:t>
        </w:r>
      </w:hyperlink>
      <w:r>
        <w:rPr>
          <w:bCs/>
          <w:sz w:val="24"/>
          <w:szCs w:val="24"/>
        </w:rPr>
        <w:t>ям самостоятельной оценки рисков налогоплательщиков, используемым налоговыми органами в процессе отбора объектов для проведения выездных налоговых проверок (утв. приказом ФНС России от 30.05.2007 № ММ-3-06/333).</w:t>
      </w:r>
    </w:p>
    <w:p>
      <w:pPr>
        <w:pStyle w:val="ListParagraph"/>
        <w:widowControl/>
        <w:numPr>
          <w:ilvl w:val="1"/>
          <w:numId w:val="2"/>
        </w:numPr>
        <w:shd w:val="clear" w:color="auto" w:fill="FFFFFF"/>
        <w:tabs>
          <w:tab w:val="clear" w:pos="709"/>
          <w:tab w:val="left" w:pos="1418" w:leader="none"/>
        </w:tabs>
        <w:ind w:firstLine="709" w:left="0"/>
        <w:jc w:val="both"/>
        <w:rPr>
          <w:bCs/>
          <w:sz w:val="24"/>
          <w:szCs w:val="24"/>
        </w:rPr>
      </w:pPr>
      <w:r>
        <w:rPr>
          <w:bCs/>
          <w:sz w:val="24"/>
          <w:szCs w:val="24"/>
        </w:rPr>
        <w:t xml:space="preserve">Поставщик обязуется незамедлительно уведомить Покупателя о появлении </w:t>
        <w:br/>
        <w:t>в ходе исполнения Договора у привлеченных организаций признаков недобросовестности, указанных в пункте 11.1 Договора, а также обеспечить прекращение участия таких организаций в исполнении Договора.</w:t>
      </w:r>
    </w:p>
    <w:p>
      <w:pPr>
        <w:pStyle w:val="ListParagraph"/>
        <w:widowControl/>
        <w:numPr>
          <w:ilvl w:val="1"/>
          <w:numId w:val="2"/>
        </w:numPr>
        <w:shd w:val="clear" w:color="auto" w:fill="FFFFFF"/>
        <w:tabs>
          <w:tab w:val="clear" w:pos="709"/>
          <w:tab w:val="left" w:pos="1418" w:leader="none"/>
        </w:tabs>
        <w:ind w:firstLine="709" w:left="0"/>
        <w:jc w:val="both"/>
        <w:rPr>
          <w:bCs/>
          <w:sz w:val="24"/>
          <w:szCs w:val="24"/>
        </w:rPr>
      </w:pPr>
      <w:r>
        <w:rPr>
          <w:bCs/>
          <w:sz w:val="24"/>
          <w:szCs w:val="24"/>
        </w:rPr>
        <w:t xml:space="preserve">В случае нарушения Поставщиком обязательств, установленных пунктами 11.1, 11.2 Договора, Покупатель в дополнение к основаниям, предусмотренным Договором,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должна наступать ранее 10 (десяти) рабочих дней с даты получения Поставщиком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Покупатель не отзовет указанное Уведомление по итогам рассмотрения мотивированных письменных возражений Поставщика, представленных </w:t>
        <w:br/>
        <w:t>до наступления указанной Покупателем даты расторжения.</w:t>
      </w:r>
    </w:p>
    <w:p>
      <w:pPr>
        <w:pStyle w:val="ListParagraph"/>
        <w:widowControl/>
        <w:numPr>
          <w:ilvl w:val="1"/>
          <w:numId w:val="2"/>
        </w:numPr>
        <w:shd w:val="clear" w:color="auto" w:fill="FFFFFF"/>
        <w:tabs>
          <w:tab w:val="clear" w:pos="709"/>
          <w:tab w:val="left" w:pos="1418" w:leader="none"/>
        </w:tabs>
        <w:ind w:firstLine="709" w:left="0"/>
        <w:jc w:val="both"/>
        <w:rPr>
          <w:bCs/>
          <w:sz w:val="24"/>
          <w:szCs w:val="24"/>
        </w:rPr>
      </w:pPr>
      <w:r>
        <w:rPr>
          <w:bCs/>
          <w:sz w:val="24"/>
          <w:szCs w:val="24"/>
        </w:rPr>
        <w:t>Поставщик обязан уплатить Покупателю штраф в размере суммы денежных средств, перечисленной организации, отвечающей признакам недобросовестности, а также дополнительно компенсировать Покупателю убытки, причиненные в результате нарушения обязательств, установленных пунктами 11.1, 11.2 Договора.</w:t>
      </w:r>
    </w:p>
    <w:p>
      <w:pPr>
        <w:pStyle w:val="ListParagraph"/>
        <w:widowControl/>
        <w:numPr>
          <w:ilvl w:val="1"/>
          <w:numId w:val="2"/>
        </w:numPr>
        <w:shd w:val="clear" w:color="auto" w:fill="FFFFFF"/>
        <w:tabs>
          <w:tab w:val="clear" w:pos="709"/>
          <w:tab w:val="left" w:pos="1418" w:leader="none"/>
        </w:tabs>
        <w:ind w:firstLine="709" w:left="0"/>
        <w:jc w:val="both"/>
        <w:rPr>
          <w:bCs/>
          <w:sz w:val="24"/>
          <w:szCs w:val="24"/>
        </w:rPr>
      </w:pPr>
      <w:r>
        <w:rPr>
          <w:bCs/>
          <w:sz w:val="24"/>
          <w:szCs w:val="24"/>
        </w:rPr>
        <w:t>Штраф, предусмотренный пунктом 11.4 Договора, оплачивается Поставщиком в течение 10 (десяти) рабочих дней с даты получения соответствующего письменного требования Покупателя. Покупатель вправе предъявить требование об уплате штрафа вне зависимости от направления уведомления об отказе от Договора (исполнения Договора), предусмотренного пунктом 11.3 Договора.</w:t>
      </w:r>
    </w:p>
    <w:p>
      <w:pPr>
        <w:pStyle w:val="ListParagraph"/>
        <w:widowControl/>
        <w:numPr>
          <w:ilvl w:val="1"/>
          <w:numId w:val="2"/>
        </w:numPr>
        <w:shd w:val="clear" w:color="auto" w:fill="FFFFFF"/>
        <w:tabs>
          <w:tab w:val="clear" w:pos="709"/>
          <w:tab w:val="left" w:pos="1418" w:leader="none"/>
        </w:tabs>
        <w:ind w:firstLine="709" w:left="0"/>
        <w:jc w:val="both"/>
        <w:rPr>
          <w:bCs/>
          <w:sz w:val="24"/>
          <w:szCs w:val="24"/>
        </w:rPr>
      </w:pPr>
      <w:r>
        <w:rPr>
          <w:bCs/>
          <w:sz w:val="24"/>
          <w:szCs w:val="24"/>
        </w:rPr>
        <w:t xml:space="preserve">Покупатель вправе приостановить осуществление любых платежей </w:t>
        <w:br/>
        <w:t>по Договору, причитающихся Поставщику, независимо от наличия оснований и наступления сроков таких платежей, до уплаты Поставщиком штрафа, предусмотренного пунктом 11.4 Договора. При этом Покупатель не будет считаться просрочившим и / или нарушившим свои обязательства по Договору.</w:t>
      </w:r>
    </w:p>
    <w:p>
      <w:pPr>
        <w:pStyle w:val="ListParagraph"/>
        <w:widowControl/>
        <w:numPr>
          <w:ilvl w:val="1"/>
          <w:numId w:val="2"/>
        </w:numPr>
        <w:shd w:val="clear" w:color="auto" w:fill="FFFFFF"/>
        <w:tabs>
          <w:tab w:val="clear" w:pos="709"/>
          <w:tab w:val="left" w:pos="1418" w:leader="none"/>
        </w:tabs>
        <w:ind w:firstLine="709" w:left="0"/>
        <w:jc w:val="both"/>
        <w:rPr>
          <w:bCs/>
          <w:sz w:val="24"/>
          <w:szCs w:val="24"/>
        </w:rPr>
      </w:pPr>
      <w:r>
        <w:rPr>
          <w:bCs/>
          <w:sz w:val="24"/>
          <w:szCs w:val="24"/>
        </w:rPr>
        <w:t>Независимо от других положений Договора, положения пунктов 11.4, 11.5 Договора продолжают действовать в течение 4 (четырех) лет после его прекращения (расторжения) или исполнения.</w:t>
      </w:r>
    </w:p>
    <w:p>
      <w:pPr>
        <w:pStyle w:val="Normal"/>
        <w:shd w:val="clear" w:color="auto" w:fill="FFFFFF"/>
        <w:jc w:val="both"/>
        <w:rPr>
          <w:sz w:val="24"/>
          <w:szCs w:val="24"/>
        </w:rPr>
      </w:pPr>
      <w:r>
        <w:rPr>
          <w:sz w:val="24"/>
          <w:szCs w:val="24"/>
        </w:rPr>
      </w:r>
    </w:p>
    <w:p>
      <w:pPr>
        <w:pStyle w:val="ListParagraph"/>
        <w:widowControl/>
        <w:numPr>
          <w:ilvl w:val="0"/>
          <w:numId w:val="2"/>
        </w:numPr>
        <w:shd w:val="clear" w:color="auto" w:fill="FFFFFF"/>
        <w:tabs>
          <w:tab w:val="clear" w:pos="709"/>
          <w:tab w:val="left" w:pos="426" w:leader="none"/>
        </w:tabs>
        <w:ind w:hanging="360" w:left="0"/>
        <w:jc w:val="center"/>
        <w:rPr>
          <w:b/>
          <w:sz w:val="24"/>
          <w:szCs w:val="24"/>
        </w:rPr>
      </w:pPr>
      <w:r>
        <w:rPr>
          <w:b/>
          <w:bCs/>
          <w:sz w:val="24"/>
          <w:szCs w:val="24"/>
        </w:rPr>
        <w:t>Заверения</w:t>
      </w:r>
      <w:r>
        <w:rPr>
          <w:b/>
          <w:sz w:val="24"/>
          <w:szCs w:val="24"/>
        </w:rPr>
        <w:t xml:space="preserve"> Сторон</w:t>
      </w:r>
    </w:p>
    <w:p>
      <w:pPr>
        <w:pStyle w:val="ListParagraph"/>
        <w:widowControl/>
        <w:numPr>
          <w:ilvl w:val="1"/>
          <w:numId w:val="2"/>
        </w:numPr>
        <w:shd w:val="clear" w:color="auto" w:fill="FFFFFF"/>
        <w:tabs>
          <w:tab w:val="clear" w:pos="709"/>
          <w:tab w:val="left" w:pos="1134" w:leader="none"/>
          <w:tab w:val="left" w:pos="1418" w:leader="none"/>
        </w:tabs>
        <w:ind w:firstLine="709" w:left="0"/>
        <w:jc w:val="both"/>
        <w:rPr>
          <w:sz w:val="24"/>
          <w:szCs w:val="24"/>
        </w:rPr>
      </w:pPr>
      <w:r>
        <w:rPr>
          <w:bCs/>
          <w:sz w:val="24"/>
          <w:szCs w:val="24"/>
        </w:rPr>
        <w:t>Каждая</w:t>
      </w:r>
      <w:r>
        <w:rPr>
          <w:sz w:val="24"/>
          <w:szCs w:val="24"/>
        </w:rPr>
        <w:t xml:space="preserve"> из Сторон заявляет и подтверждает другой Стороне, что: </w:t>
      </w:r>
    </w:p>
    <w:p>
      <w:pPr>
        <w:pStyle w:val="ListParagraph"/>
        <w:widowControl/>
        <w:numPr>
          <w:ilvl w:val="0"/>
          <w:numId w:val="6"/>
        </w:numPr>
        <w:shd w:val="clear" w:color="auto" w:fill="FFFFFF"/>
        <w:tabs>
          <w:tab w:val="left" w:pos="0" w:leader="none"/>
          <w:tab w:val="left" w:pos="709" w:leader="none"/>
          <w:tab w:val="left" w:pos="1418" w:leader="none"/>
        </w:tabs>
        <w:ind w:firstLine="709" w:left="0"/>
        <w:jc w:val="both"/>
        <w:rPr>
          <w:sz w:val="24"/>
          <w:szCs w:val="24"/>
        </w:rPr>
      </w:pPr>
      <w:r>
        <w:rPr>
          <w:sz w:val="24"/>
          <w:szCs w:val="24"/>
        </w:rPr>
        <w:t xml:space="preserve">она является юридическим лицом, надлежащим образом учрежденным </w:t>
        <w:br/>
        <w:t>и правомерно осуществляющим свою деятельность в соответствии с законодательством Российской Федерации;</w:t>
      </w:r>
    </w:p>
    <w:p>
      <w:pPr>
        <w:pStyle w:val="ListParagraph"/>
        <w:widowControl/>
        <w:numPr>
          <w:ilvl w:val="0"/>
          <w:numId w:val="6"/>
        </w:numPr>
        <w:shd w:val="clear" w:color="auto" w:fill="FFFFFF"/>
        <w:tabs>
          <w:tab w:val="left" w:pos="0" w:leader="none"/>
          <w:tab w:val="left" w:pos="709" w:leader="none"/>
          <w:tab w:val="left" w:pos="1418" w:leader="none"/>
        </w:tabs>
        <w:ind w:firstLine="709" w:left="0"/>
        <w:jc w:val="both"/>
        <w:rPr>
          <w:sz w:val="24"/>
          <w:szCs w:val="24"/>
        </w:rPr>
      </w:pPr>
      <w:r>
        <w:rPr>
          <w:sz w:val="24"/>
          <w:szCs w:val="24"/>
        </w:rPr>
        <w:t xml:space="preserve">она обладает полной правоспособностью на заключение Договора </w:t>
        <w:br/>
        <w:t>и исполнение всех своих обязательств, возникающих из Договора или в связи с ним;</w:t>
      </w:r>
    </w:p>
    <w:p>
      <w:pPr>
        <w:pStyle w:val="ListParagraph"/>
        <w:widowControl/>
        <w:numPr>
          <w:ilvl w:val="0"/>
          <w:numId w:val="6"/>
        </w:numPr>
        <w:shd w:val="clear" w:color="auto" w:fill="FFFFFF"/>
        <w:tabs>
          <w:tab w:val="left" w:pos="0" w:leader="none"/>
          <w:tab w:val="left" w:pos="709" w:leader="none"/>
          <w:tab w:val="left" w:pos="1418" w:leader="none"/>
        </w:tabs>
        <w:ind w:firstLine="709" w:left="0"/>
        <w:jc w:val="both"/>
        <w:rPr>
          <w:sz w:val="24"/>
          <w:szCs w:val="24"/>
        </w:rPr>
      </w:pPr>
      <w:r>
        <w:rPr>
          <w:sz w:val="24"/>
          <w:szCs w:val="24"/>
        </w:rPr>
        <w:t xml:space="preserve">она получила все корпоративные одобрения Договора органами управления </w:t>
        <w:br/>
        <w:t xml:space="preserve">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w:t>
        <w:br/>
        <w:t>и иных лиц, необходимые для заключения и исполнения Договора;</w:t>
      </w:r>
    </w:p>
    <w:p>
      <w:pPr>
        <w:pStyle w:val="ListParagraph"/>
        <w:widowControl/>
        <w:numPr>
          <w:ilvl w:val="0"/>
          <w:numId w:val="6"/>
        </w:numPr>
        <w:shd w:val="clear" w:color="auto" w:fill="FFFFFF"/>
        <w:tabs>
          <w:tab w:val="left" w:pos="0" w:leader="none"/>
          <w:tab w:val="left" w:pos="709" w:leader="none"/>
          <w:tab w:val="left" w:pos="1418" w:leader="none"/>
        </w:tabs>
        <w:ind w:firstLine="709" w:left="0"/>
        <w:jc w:val="both"/>
        <w:rPr>
          <w:sz w:val="24"/>
          <w:szCs w:val="24"/>
        </w:rPr>
      </w:pPr>
      <w:r>
        <w:rPr>
          <w:sz w:val="24"/>
          <w:szCs w:val="24"/>
        </w:rPr>
        <w:t>лица, подписывающие от имени Сторон Договор, надлежащим образом уполномочены на его подписание;</w:t>
      </w:r>
    </w:p>
    <w:p>
      <w:pPr>
        <w:pStyle w:val="ListParagraph"/>
        <w:widowControl/>
        <w:numPr>
          <w:ilvl w:val="0"/>
          <w:numId w:val="6"/>
        </w:numPr>
        <w:shd w:val="clear" w:color="auto" w:fill="FFFFFF"/>
        <w:tabs>
          <w:tab w:val="left" w:pos="0" w:leader="none"/>
          <w:tab w:val="left" w:pos="709" w:leader="none"/>
          <w:tab w:val="left" w:pos="1418" w:leader="none"/>
        </w:tabs>
        <w:ind w:firstLine="709" w:left="0"/>
        <w:jc w:val="both"/>
        <w:rPr>
          <w:sz w:val="24"/>
          <w:szCs w:val="24"/>
        </w:rPr>
      </w:pPr>
      <w:r>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w:t>
        <w:br/>
        <w:t xml:space="preserve">или в связи с ним. </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Поставщик заявляет и заверяет Покупателя в том, что на момент заключения Договора:</w:t>
      </w:r>
    </w:p>
    <w:p>
      <w:pPr>
        <w:pStyle w:val="ListParagraph"/>
        <w:widowControl/>
        <w:numPr>
          <w:ilvl w:val="0"/>
          <w:numId w:val="8"/>
        </w:numPr>
        <w:shd w:val="clear" w:color="auto" w:fill="FFFFFF"/>
        <w:tabs>
          <w:tab w:val="left" w:pos="0" w:leader="none"/>
          <w:tab w:val="left" w:pos="709" w:leader="none"/>
        </w:tabs>
        <w:ind w:firstLine="709" w:left="0"/>
        <w:jc w:val="both"/>
        <w:rPr>
          <w:sz w:val="24"/>
          <w:szCs w:val="24"/>
        </w:rPr>
      </w:pPr>
      <w:r>
        <w:rPr>
          <w:sz w:val="24"/>
          <w:szCs w:val="24"/>
        </w:rPr>
        <w:t>учредителем / учредителями Поставщика являются лица, не являющиеся массовыми учредителем / учредителями;</w:t>
      </w:r>
    </w:p>
    <w:p>
      <w:pPr>
        <w:pStyle w:val="ListParagraph"/>
        <w:widowControl/>
        <w:numPr>
          <w:ilvl w:val="0"/>
          <w:numId w:val="8"/>
        </w:numPr>
        <w:shd w:val="clear" w:color="auto" w:fill="FFFFFF"/>
        <w:tabs>
          <w:tab w:val="left" w:pos="0" w:leader="none"/>
          <w:tab w:val="left" w:pos="709" w:leader="none"/>
        </w:tabs>
        <w:ind w:firstLine="709" w:left="0"/>
        <w:jc w:val="both"/>
        <w:rPr>
          <w:sz w:val="24"/>
          <w:szCs w:val="24"/>
        </w:rPr>
      </w:pPr>
      <w:r>
        <w:rPr>
          <w:sz w:val="24"/>
          <w:szCs w:val="24"/>
        </w:rPr>
        <w:t>руководителем Поставщика является лицо, не являющееся массовым руководителем;</w:t>
      </w:r>
    </w:p>
    <w:p>
      <w:pPr>
        <w:pStyle w:val="ListParagraph"/>
        <w:widowControl/>
        <w:numPr>
          <w:ilvl w:val="0"/>
          <w:numId w:val="8"/>
        </w:numPr>
        <w:shd w:val="clear" w:color="auto" w:fill="FFFFFF"/>
        <w:tabs>
          <w:tab w:val="left" w:pos="0" w:leader="none"/>
          <w:tab w:val="left" w:pos="709" w:leader="none"/>
        </w:tabs>
        <w:ind w:firstLine="709" w:left="0"/>
        <w:jc w:val="both"/>
        <w:rPr>
          <w:sz w:val="24"/>
          <w:szCs w:val="24"/>
        </w:rPr>
      </w:pPr>
      <w:r>
        <w:rPr>
          <w:sz w:val="24"/>
          <w:szCs w:val="24"/>
        </w:rPr>
        <w:t xml:space="preserve">Поставщик фактически находится по адресу, указанному в Едином государственном реестре юридических лиц; </w:t>
      </w:r>
    </w:p>
    <w:p>
      <w:pPr>
        <w:pStyle w:val="ListParagraph"/>
        <w:widowControl/>
        <w:numPr>
          <w:ilvl w:val="0"/>
          <w:numId w:val="8"/>
        </w:numPr>
        <w:shd w:val="clear" w:color="auto" w:fill="FFFFFF"/>
        <w:tabs>
          <w:tab w:val="left" w:pos="0" w:leader="none"/>
          <w:tab w:val="left" w:pos="709" w:leader="none"/>
        </w:tabs>
        <w:ind w:firstLine="709" w:left="0"/>
        <w:jc w:val="both"/>
        <w:rPr>
          <w:sz w:val="24"/>
          <w:szCs w:val="24"/>
        </w:rPr>
      </w:pPr>
      <w:r>
        <w:rPr>
          <w:sz w:val="24"/>
          <w:szCs w:val="24"/>
        </w:rPr>
        <w:t xml:space="preserve">Поставщик своевременно и в полном объеме уплачивает налоги и сборы </w:t>
        <w:br/>
        <w:t>в соответствии с законодательством Российской Федерации;</w:t>
      </w:r>
    </w:p>
    <w:p>
      <w:pPr>
        <w:pStyle w:val="ListParagraph"/>
        <w:widowControl/>
        <w:numPr>
          <w:ilvl w:val="0"/>
          <w:numId w:val="7"/>
        </w:numPr>
        <w:shd w:val="clear" w:color="auto" w:fill="FFFFFF"/>
        <w:tabs>
          <w:tab w:val="clear" w:pos="709"/>
          <w:tab w:val="left" w:pos="0" w:leader="none"/>
          <w:tab w:val="left" w:pos="567" w:leader="none"/>
        </w:tabs>
        <w:ind w:firstLine="709" w:left="0"/>
        <w:jc w:val="both"/>
        <w:rPr>
          <w:sz w:val="24"/>
          <w:szCs w:val="24"/>
        </w:rPr>
      </w:pPr>
      <w:r>
        <w:rPr>
          <w:sz w:val="24"/>
          <w:szCs w:val="24"/>
        </w:rPr>
        <w:t xml:space="preserve">Поставщик не находится в процедуре несостоятельности (банкротства) </w:t>
        <w:br/>
        <w:t>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Договора или в связи с ним;</w:t>
      </w:r>
    </w:p>
    <w:p>
      <w:pPr>
        <w:pStyle w:val="ListParagraph"/>
        <w:widowControl/>
        <w:numPr>
          <w:ilvl w:val="0"/>
          <w:numId w:val="7"/>
        </w:numPr>
        <w:shd w:val="clear" w:color="auto" w:fill="FFFFFF"/>
        <w:tabs>
          <w:tab w:val="clear" w:pos="709"/>
          <w:tab w:val="left" w:pos="0" w:leader="none"/>
          <w:tab w:val="left" w:pos="567" w:leader="none"/>
        </w:tabs>
        <w:ind w:firstLine="709" w:left="0"/>
        <w:jc w:val="both"/>
        <w:rPr>
          <w:sz w:val="24"/>
          <w:szCs w:val="24"/>
        </w:rPr>
      </w:pPr>
      <w:r>
        <w:rPr>
          <w:sz w:val="24"/>
          <w:szCs w:val="24"/>
        </w:rPr>
        <w:t xml:space="preserve">Поставщик тщательно изучил всю информацию, связанную с Договором, </w:t>
        <w:br/>
        <w:t xml:space="preserve">в том числе по вопросам, влияющим на сроки, стоимость и качество Товара, полностью ознакомлен со всеми условиями поставки Товара, и принимает на себя все расходы, риски </w:t>
        <w:br/>
        <w:t>и трудности исполнения обязательств, возникающих из Договора или в связи с ним;</w:t>
      </w:r>
    </w:p>
    <w:p>
      <w:pPr>
        <w:pStyle w:val="ListParagraph"/>
        <w:widowControl/>
        <w:numPr>
          <w:ilvl w:val="0"/>
          <w:numId w:val="7"/>
        </w:numPr>
        <w:shd w:val="clear" w:color="auto" w:fill="FFFFFF"/>
        <w:tabs>
          <w:tab w:val="clear" w:pos="709"/>
          <w:tab w:val="left" w:pos="0" w:leader="none"/>
          <w:tab w:val="left" w:pos="567" w:leader="none"/>
        </w:tabs>
        <w:ind w:firstLine="709" w:left="0"/>
        <w:jc w:val="both"/>
        <w:rPr>
          <w:sz w:val="24"/>
          <w:szCs w:val="24"/>
        </w:rPr>
      </w:pPr>
      <w:r>
        <w:rPr>
          <w:sz w:val="24"/>
          <w:szCs w:val="24"/>
        </w:rPr>
        <w:t xml:space="preserve">Поставщик своевременно и в полном объеме в соответствии </w:t>
        <w:br/>
        <w:t>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widowControl/>
        <w:numPr>
          <w:ilvl w:val="0"/>
          <w:numId w:val="7"/>
        </w:numPr>
        <w:shd w:val="clear" w:color="auto" w:fill="FFFFFF"/>
        <w:tabs>
          <w:tab w:val="clear" w:pos="709"/>
          <w:tab w:val="left" w:pos="0" w:leader="none"/>
          <w:tab w:val="left" w:pos="567" w:leader="none"/>
        </w:tabs>
        <w:ind w:firstLine="709" w:left="0"/>
        <w:jc w:val="both"/>
        <w:rPr>
          <w:sz w:val="24"/>
          <w:szCs w:val="24"/>
        </w:rPr>
      </w:pPr>
      <w:r>
        <w:rPr>
          <w:sz w:val="24"/>
          <w:szCs w:val="24"/>
        </w:rPr>
        <w:t xml:space="preserve">вся информация, предоставленная Покупателю, является достоверной, полной </w:t>
        <w:br/>
        <w:t xml:space="preserve">и точной, и Поставщик не скрыл никаких обстоятельств, которые при их обнаружении могли </w:t>
        <w:br/>
        <w:t>бы негативно повлиять на решение Покупателя заключить Договор на указанных в нем условиях.</w:t>
      </w:r>
    </w:p>
    <w:p>
      <w:pPr>
        <w:pStyle w:val="Normal"/>
        <w:widowControl/>
        <w:numPr>
          <w:ilvl w:val="1"/>
          <w:numId w:val="2"/>
        </w:numPr>
        <w:tabs>
          <w:tab w:val="clear" w:pos="709"/>
          <w:tab w:val="left" w:pos="1418" w:leader="none"/>
        </w:tabs>
        <w:ind w:firstLine="709" w:left="0"/>
        <w:jc w:val="both"/>
        <w:rPr>
          <w:sz w:val="24"/>
          <w:szCs w:val="24"/>
        </w:rPr>
      </w:pPr>
      <w:r>
        <w:rPr>
          <w:sz w:val="24"/>
          <w:szCs w:val="24"/>
        </w:rPr>
        <w:t xml:space="preserve">При заключении и исполнении Договора каждая Сторона полагается </w:t>
        <w:br/>
        <w:t xml:space="preserve">на достоверность, точность и полноту заверений другой Стороны, изложенных в настоящем разделе Договора. </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В случае, если </w:t>
      </w:r>
      <w:r>
        <w:rPr>
          <w:bCs/>
          <w:sz w:val="24"/>
          <w:szCs w:val="24"/>
        </w:rPr>
        <w:t xml:space="preserve">Поставщик </w:t>
      </w:r>
      <w:r>
        <w:rPr>
          <w:sz w:val="24"/>
          <w:szCs w:val="24"/>
        </w:rPr>
        <w:t xml:space="preserve">при заключении Договора предоставил Покупателю недостоверные заверения о любом из указанных в настоящем разделе Договора обстоятельств, имеющих существенное значение для заключения и исполнения Договора, </w:t>
      </w:r>
      <w:r>
        <w:rPr>
          <w:bCs/>
          <w:sz w:val="24"/>
          <w:szCs w:val="24"/>
        </w:rPr>
        <w:t xml:space="preserve">Поставщик </w:t>
      </w:r>
      <w:r>
        <w:rPr>
          <w:sz w:val="24"/>
          <w:szCs w:val="24"/>
        </w:rPr>
        <w:t xml:space="preserve">обязан по письменному требованию Покупателя уплатить последнему штраф </w:t>
        <w:br/>
        <w:t>в размере 5 (пяти) процентов от Цены Договора, указанной в пункте 2.1 Договора.</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Недостоверность, неточность или неполнота любых указанных в настоящем разделе Договора обстоятельств в значительной степени лишает получившую указанные заверения Сторону того, на что она была вправе рассчитывать при заключении Договора, </w:t>
        <w:br/>
        <w:t>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widowControl/>
        <w:shd w:val="clear" w:color="auto" w:fill="FFFFFF"/>
        <w:tabs>
          <w:tab w:val="clear" w:pos="709"/>
          <w:tab w:val="left" w:pos="1134" w:leader="none"/>
          <w:tab w:val="left" w:pos="1418" w:leader="none"/>
        </w:tabs>
        <w:ind w:hanging="0" w:left="709"/>
        <w:jc w:val="both"/>
        <w:rPr>
          <w:sz w:val="24"/>
          <w:szCs w:val="24"/>
        </w:rPr>
      </w:pPr>
      <w:r>
        <w:rPr>
          <w:sz w:val="24"/>
          <w:szCs w:val="24"/>
        </w:rPr>
      </w:r>
    </w:p>
    <w:p>
      <w:pPr>
        <w:pStyle w:val="ListParagraph"/>
        <w:widowControl/>
        <w:numPr>
          <w:ilvl w:val="0"/>
          <w:numId w:val="2"/>
        </w:numPr>
        <w:shd w:val="clear" w:color="auto" w:fill="FFFFFF"/>
        <w:ind w:hanging="360" w:left="0"/>
        <w:jc w:val="center"/>
        <w:rPr>
          <w:b/>
          <w:sz w:val="24"/>
          <w:szCs w:val="24"/>
        </w:rPr>
      </w:pPr>
      <w:r>
        <w:rPr>
          <w:b/>
          <w:bCs/>
          <w:sz w:val="24"/>
          <w:szCs w:val="24"/>
        </w:rPr>
        <w:t>П</w:t>
      </w:r>
      <w:r>
        <w:rPr>
          <w:b/>
          <w:sz w:val="24"/>
          <w:szCs w:val="24"/>
        </w:rPr>
        <w:t>рекращение (расторжение) Договора</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w:t>
      </w:r>
      <w:r>
        <w:rPr>
          <w:sz w:val="24"/>
          <w:szCs w:val="24"/>
          <w:highlight w:val="lightGray"/>
        </w:rPr>
        <w:t>1</w:t>
      </w:r>
      <w:r>
        <w:rPr>
          <w:sz w:val="24"/>
          <w:szCs w:val="24"/>
          <w:highlight w:val="lightGray"/>
        </w:rPr>
        <w:t>3</w:t>
      </w:r>
      <w:r>
        <w:rPr>
          <w:sz w:val="24"/>
          <w:szCs w:val="24"/>
          <w:highlight w:val="lightGray"/>
        </w:rPr>
        <w:t>.8</w:t>
      </w:r>
      <w:r>
        <w:rPr>
          <w:sz w:val="24"/>
          <w:szCs w:val="24"/>
        </w:rPr>
        <w:t xml:space="preserve"> Договора, с приложением подписанного соглашения о расторжении Договора. Уведомление должно быть рассмотрено Стороной-получателем в течение 30 (тридцати) календарных дней со дня его получения.</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В случае существенного нарушения Договора Поставщиком Покупатель вправе </w:t>
        <w:br/>
        <w:t>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w:t>
      </w:r>
    </w:p>
    <w:p>
      <w:pPr>
        <w:pStyle w:val="ListParagraph"/>
        <w:shd w:val="clear" w:color="auto" w:fill="FFFFFF"/>
        <w:tabs>
          <w:tab w:val="clear" w:pos="709"/>
          <w:tab w:val="left" w:pos="0" w:leader="none"/>
          <w:tab w:val="left" w:pos="1418" w:leader="none"/>
        </w:tabs>
        <w:ind w:firstLine="709" w:left="0"/>
        <w:jc w:val="both"/>
        <w:rPr>
          <w:sz w:val="24"/>
          <w:szCs w:val="24"/>
        </w:rPr>
      </w:pPr>
      <w:r>
        <w:rPr>
          <w:sz w:val="24"/>
          <w:szCs w:val="24"/>
        </w:rPr>
        <w:t xml:space="preserve">Покупатель одновременно с уведомлением об отказе от Договора (исполнения Договора) направляет Поставщику письменное требование о возмещении убытков </w:t>
        <w:br/>
        <w:t xml:space="preserve">с приложением расчета суммы убытков. Поставщик обязан возместить Покупателю убытки не позднее 15 (пятнадцати) календарных дней с момента получения расчета суммы убытков </w:t>
        <w:br/>
        <w:t>от Покупателя.</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Стороны установили, что существенным нарушением Договора Поставщиком является:</w:t>
      </w:r>
    </w:p>
    <w:p>
      <w:pPr>
        <w:pStyle w:val="ListParagraph"/>
        <w:widowControl/>
        <w:numPr>
          <w:ilvl w:val="0"/>
          <w:numId w:val="5"/>
        </w:numPr>
        <w:tabs>
          <w:tab w:val="clear" w:pos="709"/>
          <w:tab w:val="left" w:pos="0" w:leader="none"/>
          <w:tab w:val="left" w:pos="1418" w:leader="none"/>
        </w:tabs>
        <w:ind w:firstLine="709" w:left="0" w:right="23"/>
        <w:jc w:val="both"/>
        <w:rPr>
          <w:sz w:val="24"/>
          <w:szCs w:val="24"/>
        </w:rPr>
      </w:pPr>
      <w:r>
        <w:rPr>
          <w:sz w:val="24"/>
          <w:szCs w:val="24"/>
        </w:rPr>
        <w:t xml:space="preserve">нарушение Поставщиком общего срока поставки Товара по Договору, а также промежуточных сроков поставки Товара, установленных Договором, более чем </w:t>
        <w:br/>
        <w:t>на 60 (шестьдесят) календарных дней по причинам, не зависящим от Покупателя;</w:t>
      </w:r>
    </w:p>
    <w:p>
      <w:pPr>
        <w:pStyle w:val="ListParagraph"/>
        <w:widowControl/>
        <w:numPr>
          <w:ilvl w:val="0"/>
          <w:numId w:val="5"/>
        </w:numPr>
        <w:tabs>
          <w:tab w:val="clear" w:pos="709"/>
          <w:tab w:val="left" w:pos="0" w:leader="none"/>
          <w:tab w:val="left" w:pos="1418" w:leader="none"/>
        </w:tabs>
        <w:ind w:firstLine="709" w:left="0" w:right="23"/>
        <w:jc w:val="both"/>
        <w:rPr>
          <w:sz w:val="24"/>
          <w:szCs w:val="24"/>
        </w:rPr>
      </w:pPr>
      <w:r>
        <w:rPr>
          <w:sz w:val="24"/>
          <w:szCs w:val="24"/>
        </w:rPr>
        <w:t>несоблюдение Поставщиком требований к качеству Товара, если исправление выявленных Покупателем недостатков (дефектов) Товара, влечет нарушение сроков поставки Товара, более чем на 60 (шестьдесят) календарных дней либо такие недостатки (дефекты) являются неустранимыми;</w:t>
      </w:r>
    </w:p>
    <w:p>
      <w:pPr>
        <w:pStyle w:val="ListParagraph"/>
        <w:widowControl/>
        <w:numPr>
          <w:ilvl w:val="0"/>
          <w:numId w:val="5"/>
        </w:numPr>
        <w:tabs>
          <w:tab w:val="clear" w:pos="709"/>
          <w:tab w:val="left" w:pos="0" w:leader="none"/>
          <w:tab w:val="left" w:pos="1418" w:leader="none"/>
        </w:tabs>
        <w:ind w:firstLine="709" w:left="0" w:right="23"/>
        <w:jc w:val="both"/>
        <w:rPr>
          <w:sz w:val="24"/>
          <w:szCs w:val="24"/>
        </w:rPr>
      </w:pPr>
      <w:r>
        <w:rPr>
          <w:sz w:val="24"/>
          <w:szCs w:val="24"/>
        </w:rPr>
        <w:t>наложение ареста на имущество Поставщика, введение арбитражным судом процедуры несостоятельности (банкротства) в отношении Поставщика;</w:t>
      </w:r>
    </w:p>
    <w:p>
      <w:pPr>
        <w:pStyle w:val="ListParagraph"/>
        <w:widowControl/>
        <w:numPr>
          <w:ilvl w:val="0"/>
          <w:numId w:val="5"/>
        </w:numPr>
        <w:tabs>
          <w:tab w:val="clear" w:pos="709"/>
          <w:tab w:val="left" w:pos="0" w:leader="none"/>
          <w:tab w:val="left" w:pos="1418" w:leader="none"/>
        </w:tabs>
        <w:ind w:firstLine="709" w:left="0" w:right="23"/>
        <w:jc w:val="both"/>
        <w:rPr>
          <w:sz w:val="24"/>
          <w:szCs w:val="24"/>
        </w:rPr>
      </w:pPr>
      <w:r>
        <w:rPr>
          <w:sz w:val="24"/>
          <w:szCs w:val="24"/>
        </w:rPr>
        <w:t>нарушение более чем на 30 (тридцать)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Покупателю таких документов;</w:t>
      </w:r>
    </w:p>
    <w:p>
      <w:pPr>
        <w:pStyle w:val="ListParagraph"/>
        <w:widowControl/>
        <w:numPr>
          <w:ilvl w:val="0"/>
          <w:numId w:val="5"/>
        </w:numPr>
        <w:tabs>
          <w:tab w:val="clear" w:pos="709"/>
          <w:tab w:val="left" w:pos="0" w:leader="none"/>
          <w:tab w:val="left" w:pos="1418" w:leader="none"/>
        </w:tabs>
        <w:ind w:firstLine="709" w:left="0" w:right="23"/>
        <w:jc w:val="both"/>
        <w:rPr>
          <w:sz w:val="24"/>
          <w:szCs w:val="24"/>
        </w:rPr>
      </w:pPr>
      <w:r>
        <w:rPr>
          <w:sz w:val="24"/>
          <w:szCs w:val="24"/>
        </w:rPr>
        <w:t xml:space="preserve">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w:t>
        <w:br/>
        <w:t xml:space="preserve">а также недостоверности, неточности или неполноты заверений Поставщика </w:t>
        <w:br/>
        <w:t>об обстоятельствах, указанных в разделе 12 Договора, и имеющих существенное значение для его заключения и исполнения.</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В случае отказа Покупателя от Договора в случаях, предусмотренных пунктами 13.2, 13.3 Договора, последний считается прекращенным (расторгнутым) со дня, следующего за днем получения Поставщиком уведомления Покупателя об отказе </w:t>
        <w:br/>
        <w:t xml:space="preserve">от Договора (исполнения Договора). </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С даты прекращения (расторжения) Договора Поставщик обязан прекратить поставку Товара.</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При прекращении (расторжении) Договора по основаниям, указанным </w:t>
        <w:br/>
        <w:t>в настоящем разделе Договора, все обязательства Сторон по Договору считаются прекратившимися, за исключением обязательств по незавершенным расчетам, гарантийных обязательств Поставщика в соответствии с разделом 4 Договора, а также обязательств Поставщика по оплате неустойки, штрафов, возмещению убытков в случаях и размерах, предусмотренных Договором.</w:t>
      </w:r>
    </w:p>
    <w:p>
      <w:pPr>
        <w:pStyle w:val="ListParagraph"/>
        <w:widowControl/>
        <w:shd w:val="clear" w:color="auto" w:fill="FFFFFF"/>
        <w:tabs>
          <w:tab w:val="clear" w:pos="709"/>
          <w:tab w:val="left" w:pos="0" w:leader="none"/>
        </w:tabs>
        <w:ind w:hanging="0" w:left="709"/>
        <w:jc w:val="both"/>
        <w:rPr>
          <w:bCs/>
          <w:sz w:val="24"/>
          <w:szCs w:val="24"/>
        </w:rPr>
      </w:pPr>
      <w:r>
        <w:rPr>
          <w:bCs/>
          <w:sz w:val="24"/>
          <w:szCs w:val="24"/>
        </w:rPr>
      </w:r>
    </w:p>
    <w:p>
      <w:pPr>
        <w:pStyle w:val="ListParagraph"/>
        <w:widowControl/>
        <w:numPr>
          <w:ilvl w:val="0"/>
          <w:numId w:val="2"/>
        </w:numPr>
        <w:shd w:val="clear" w:color="auto" w:fill="FFFFFF"/>
        <w:ind w:hanging="360" w:left="0"/>
        <w:jc w:val="center"/>
        <w:rPr>
          <w:b/>
          <w:bCs/>
          <w:sz w:val="24"/>
          <w:szCs w:val="24"/>
        </w:rPr>
      </w:pPr>
      <w:r>
        <w:rPr>
          <w:b/>
          <w:bCs/>
          <w:sz w:val="24"/>
          <w:szCs w:val="24"/>
        </w:rPr>
        <w:t>Заключительные положения</w:t>
      </w:r>
    </w:p>
    <w:p>
      <w:pPr>
        <w:pStyle w:val="ListParagraph"/>
        <w:widowControl/>
        <w:numPr>
          <w:ilvl w:val="1"/>
          <w:numId w:val="2"/>
        </w:numPr>
        <w:shd w:val="clear" w:color="auto" w:fill="FFFFFF"/>
        <w:tabs>
          <w:tab w:val="clear" w:pos="709"/>
          <w:tab w:val="left" w:pos="142" w:leader="none"/>
          <w:tab w:val="left" w:pos="1418" w:leader="none"/>
        </w:tabs>
        <w:ind w:firstLine="709" w:left="0"/>
        <w:jc w:val="both"/>
        <w:rPr>
          <w:sz w:val="24"/>
          <w:szCs w:val="24"/>
        </w:rPr>
      </w:pPr>
      <w:r>
        <w:rPr>
          <w:sz w:val="24"/>
          <w:szCs w:val="24"/>
        </w:rPr>
        <w:t xml:space="preserve">Договор вступает в силу с даты его подписания Сторонами и действует </w:t>
        <w:br/>
        <w:t>до полного исполнения ими принятых на себя обязательств.</w:t>
      </w:r>
    </w:p>
    <w:p>
      <w:pPr>
        <w:pStyle w:val="Normal"/>
        <w:widowControl/>
        <w:numPr>
          <w:ilvl w:val="1"/>
          <w:numId w:val="2"/>
        </w:numPr>
        <w:tabs>
          <w:tab w:val="clear" w:pos="709"/>
          <w:tab w:val="left" w:pos="142" w:leader="none"/>
          <w:tab w:val="left" w:pos="1418" w:leader="none"/>
        </w:tabs>
        <w:snapToGrid w:val="false"/>
        <w:ind w:firstLine="709" w:left="0"/>
        <w:jc w:val="both"/>
        <w:rPr>
          <w:sz w:val="24"/>
          <w:szCs w:val="24"/>
          <w:highlight w:val="lightGray"/>
          <w:lang w:eastAsia="en-US"/>
        </w:rPr>
      </w:pPr>
      <w:r>
        <w:rPr>
          <w:sz w:val="24"/>
          <w:szCs w:val="24"/>
          <w:highlight w:val="lightGray"/>
          <w:lang w:eastAsia="en-US"/>
        </w:rPr>
        <w:t xml:space="preserve">Договор заключается в электронной форме с использованием программно-аппаратных средств информационной системы электронного документооборота общего пользования путем его подписания усиленными квалифицированными электронными подписями (далее – УКЭП) уполномоченных представителей Сторон. </w:t>
      </w:r>
    </w:p>
    <w:p>
      <w:pPr>
        <w:pStyle w:val="Normal"/>
        <w:tabs>
          <w:tab w:val="clear" w:pos="709"/>
          <w:tab w:val="left" w:pos="142" w:leader="none"/>
        </w:tabs>
        <w:ind w:firstLine="709"/>
        <w:jc w:val="both"/>
        <w:rPr>
          <w:sz w:val="24"/>
          <w:szCs w:val="24"/>
          <w:lang w:eastAsia="en-US"/>
        </w:rPr>
      </w:pPr>
      <w:r>
        <w:rPr>
          <w:sz w:val="24"/>
          <w:szCs w:val="24"/>
          <w:highlight w:val="lightGray"/>
          <w:lang w:eastAsia="en-US"/>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w:t>
      </w:r>
      <w:r>
        <w:rPr>
          <w:sz w:val="24"/>
          <w:szCs w:val="24"/>
          <w:highlight w:val="lightGray"/>
        </w:rPr>
        <w:t>1</w:t>
      </w:r>
      <w:r>
        <w:rPr>
          <w:sz w:val="24"/>
          <w:szCs w:val="24"/>
          <w:highlight w:val="lightGray"/>
        </w:rPr>
        <w:t>3</w:t>
      </w:r>
      <w:r>
        <w:rPr>
          <w:sz w:val="24"/>
          <w:szCs w:val="24"/>
          <w:highlight w:val="lightGray"/>
        </w:rPr>
        <w:t>.7</w:t>
      </w:r>
      <w:r>
        <w:rPr>
          <w:sz w:val="24"/>
          <w:szCs w:val="24"/>
        </w:rPr>
        <w:t xml:space="preserve"> Договора. </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 xml:space="preserve">В случае наличия любых расхождений между содержанием Договора </w:t>
        <w:br/>
        <w:t>и приложений к нему, приоритет имеет текст Договора.</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 xml:space="preserve">Обмен информацией между Сторонами по любым вопросам, связанным </w:t>
        <w:br/>
        <w:t xml:space="preserve">с исполнением Договора, включая уведомления и иные сообщения, осуществляется только </w:t>
        <w:br/>
        <w:t xml:space="preserve">в письменной форме в порядке, предусмотренном пунктом </w:t>
      </w:r>
      <w:r>
        <w:rPr>
          <w:sz w:val="24"/>
          <w:szCs w:val="24"/>
          <w:highlight w:val="lightGray"/>
        </w:rPr>
        <w:t>1</w:t>
      </w:r>
      <w:r>
        <w:rPr>
          <w:sz w:val="24"/>
          <w:szCs w:val="24"/>
          <w:highlight w:val="lightGray"/>
        </w:rPr>
        <w:t>3</w:t>
      </w:r>
      <w:r>
        <w:rPr>
          <w:sz w:val="24"/>
          <w:szCs w:val="24"/>
          <w:highlight w:val="lightGray"/>
        </w:rPr>
        <w:t>.8</w:t>
      </w:r>
      <w:r>
        <w:rPr>
          <w:sz w:val="24"/>
          <w:szCs w:val="24"/>
        </w:rPr>
        <w:t xml:space="preserve"> Договора. </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bookmarkStart w:id="9" w:name="_Ref361338004"/>
      <w:r>
        <w:rPr>
          <w:sz w:val="24"/>
          <w:szCs w:val="24"/>
        </w:rPr>
        <w:t xml:space="preserve">Стороны обязуются уведомлять друг друга об изменении адреса и / или реквизитов, указанных в разделе 16 Договора, не позднее 3 (трех) рабочих дней после такого изменения в порядке, установленном пунктом </w:t>
      </w:r>
      <w:r>
        <w:rPr>
          <w:sz w:val="24"/>
          <w:szCs w:val="24"/>
          <w:highlight w:val="lightGray"/>
        </w:rPr>
        <w:t>1</w:t>
      </w:r>
      <w:r>
        <w:rPr>
          <w:sz w:val="24"/>
          <w:szCs w:val="24"/>
          <w:highlight w:val="lightGray"/>
        </w:rPr>
        <w:t>3</w:t>
      </w:r>
      <w:r>
        <w:rPr>
          <w:sz w:val="24"/>
          <w:szCs w:val="24"/>
          <w:highlight w:val="lightGray"/>
        </w:rPr>
        <w:t>.8</w:t>
      </w:r>
      <w:r>
        <w:rPr>
          <w:sz w:val="24"/>
          <w:szCs w:val="24"/>
        </w:rPr>
        <w:t xml:space="preserve"> Договора.</w:t>
      </w:r>
      <w:bookmarkEnd w:id="9"/>
      <w:r>
        <w:rPr>
          <w:sz w:val="24"/>
          <w:szCs w:val="24"/>
        </w:rPr>
        <w:t xml:space="preserve"> </w:t>
      </w:r>
    </w:p>
    <w:p>
      <w:pPr>
        <w:pStyle w:val="ListParagraph"/>
        <w:widowControl/>
        <w:numPr>
          <w:ilvl w:val="1"/>
          <w:numId w:val="2"/>
        </w:numPr>
        <w:shd w:val="clear" w:color="auto" w:fill="FFFFFF"/>
        <w:tabs>
          <w:tab w:val="clear" w:pos="709"/>
          <w:tab w:val="left" w:pos="0" w:leader="none"/>
          <w:tab w:val="left" w:pos="1134" w:leader="none"/>
          <w:tab w:val="left" w:pos="1418" w:leader="none"/>
        </w:tabs>
        <w:ind w:firstLine="709" w:left="0"/>
        <w:jc w:val="both"/>
        <w:rPr>
          <w:bCs/>
          <w:sz w:val="24"/>
          <w:szCs w:val="24"/>
        </w:rPr>
      </w:pPr>
      <w:r>
        <w:rPr>
          <w:sz w:val="24"/>
          <w:szCs w:val="24"/>
        </w:rPr>
        <w:t>Письма, уведомления и / или сообщения направляются Стороне</w:t>
      </w:r>
      <w:r>
        <w:rPr>
          <w:bCs/>
          <w:sz w:val="24"/>
          <w:szCs w:val="24"/>
        </w:rPr>
        <w:t>-</w:t>
      </w:r>
      <w:r>
        <w:rPr>
          <w:sz w:val="24"/>
          <w:szCs w:val="24"/>
        </w:rPr>
        <w:t>получателю по адресу ее места нахождения, указанному в разделе 16 Договора, или в ранее полученном уведомлении Стороны об изменении адреса, одним из следующих способов, при этом документ</w:t>
      </w:r>
      <w:r>
        <w:rPr>
          <w:bCs/>
          <w:sz w:val="24"/>
          <w:szCs w:val="24"/>
        </w:rPr>
        <w:t xml:space="preserve"> будет считаться полученным</w:t>
      </w:r>
      <w:r>
        <w:rPr>
          <w:sz w:val="24"/>
          <w:szCs w:val="24"/>
        </w:rPr>
        <w:t xml:space="preserve">: </w:t>
      </w:r>
    </w:p>
    <w:p>
      <w:pPr>
        <w:pStyle w:val="ListParagraph"/>
        <w:numPr>
          <w:ilvl w:val="2"/>
          <w:numId w:val="2"/>
        </w:numPr>
        <w:ind w:firstLine="709" w:left="0"/>
        <w:jc w:val="both"/>
        <w:rPr>
          <w:sz w:val="24"/>
          <w:szCs w:val="24"/>
        </w:rPr>
      </w:pPr>
      <w:r>
        <w:rPr>
          <w:bCs/>
          <w:sz w:val="24"/>
          <w:szCs w:val="24"/>
        </w:rPr>
        <w:t xml:space="preserve">Заказным почтовым отправлением с уведомлением о вручении – </w:t>
      </w:r>
      <w:r>
        <w:rPr>
          <w:sz w:val="24"/>
          <w:szCs w:val="24"/>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pPr>
        <w:pStyle w:val="ListParagraph"/>
        <w:numPr>
          <w:ilvl w:val="2"/>
          <w:numId w:val="2"/>
        </w:numPr>
        <w:ind w:firstLine="709" w:left="0"/>
        <w:jc w:val="both"/>
        <w:rPr>
          <w:sz w:val="24"/>
          <w:szCs w:val="24"/>
        </w:rPr>
      </w:pPr>
      <w:r>
        <w:rPr>
          <w:bCs/>
          <w:sz w:val="24"/>
          <w:szCs w:val="24"/>
        </w:rPr>
        <w:t>Доставкой лично или курьером Стороны-отправителя – в дату и время фактического приема уведомления Стороной-получателем с отметкой о получении</w:t>
      </w:r>
      <w:r>
        <w:rPr>
          <w:sz w:val="24"/>
          <w:szCs w:val="24"/>
        </w:rPr>
        <w:t xml:space="preserve">; </w:t>
      </w:r>
    </w:p>
    <w:p>
      <w:pPr>
        <w:pStyle w:val="ListParagraph"/>
        <w:numPr>
          <w:ilvl w:val="2"/>
          <w:numId w:val="2"/>
        </w:numPr>
        <w:ind w:firstLine="709" w:left="0"/>
        <w:jc w:val="both"/>
        <w:rPr>
          <w:bCs/>
          <w:sz w:val="24"/>
          <w:szCs w:val="24"/>
        </w:rPr>
      </w:pPr>
      <w:r>
        <w:rPr>
          <w:bCs/>
          <w:sz w:val="24"/>
          <w:szCs w:val="24"/>
        </w:rPr>
        <w:t>Посредством электронной почты (</w:t>
      </w:r>
      <w:r>
        <w:rPr>
          <w:bCs/>
          <w:sz w:val="24"/>
          <w:szCs w:val="24"/>
          <w:lang w:val="en-US"/>
        </w:rPr>
        <w:t>e</w:t>
      </w:r>
      <w:r>
        <w:rPr>
          <w:bCs/>
          <w:sz w:val="24"/>
          <w:szCs w:val="24"/>
        </w:rPr>
        <w:t>-</w:t>
      </w:r>
      <w:r>
        <w:rPr>
          <w:bCs/>
          <w:sz w:val="24"/>
          <w:szCs w:val="24"/>
          <w:lang w:val="en-US"/>
        </w:rPr>
        <w:t>mail</w:t>
      </w:r>
      <w:r>
        <w:rPr>
          <w:bCs/>
          <w:sz w:val="24"/>
          <w:szCs w:val="24"/>
        </w:rPr>
        <w:t>) – в дату направления электронного сообщения, зафиксированную на почтовом сервере отправителя.</w:t>
      </w:r>
    </w:p>
    <w:p>
      <w:pPr>
        <w:pStyle w:val="ListParagraph"/>
        <w:shd w:val="clear" w:color="auto" w:fill="FFFFFF"/>
        <w:tabs>
          <w:tab w:val="clear" w:pos="709"/>
          <w:tab w:val="left" w:pos="0" w:leader="none"/>
          <w:tab w:val="left" w:pos="1418" w:leader="none"/>
          <w:tab w:val="left" w:pos="1701" w:leader="none"/>
        </w:tabs>
        <w:ind w:firstLine="709" w:left="0"/>
        <w:jc w:val="both"/>
        <w:rPr>
          <w:bCs/>
          <w:sz w:val="24"/>
          <w:szCs w:val="24"/>
        </w:rPr>
      </w:pPr>
      <w:r>
        <w:rPr>
          <w:bCs/>
          <w:sz w:val="24"/>
          <w:szCs w:val="24"/>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w:t>
      </w:r>
      <w:r>
        <w:rPr>
          <w:bCs/>
          <w:sz w:val="24"/>
          <w:szCs w:val="24"/>
          <w:highlight w:val="lightGray"/>
        </w:rPr>
        <w:t>1</w:t>
      </w:r>
      <w:r>
        <w:rPr>
          <w:bCs/>
          <w:sz w:val="24"/>
          <w:szCs w:val="24"/>
          <w:highlight w:val="lightGray"/>
        </w:rPr>
        <w:t>3</w:t>
      </w:r>
      <w:r>
        <w:rPr>
          <w:bCs/>
          <w:sz w:val="24"/>
          <w:szCs w:val="24"/>
          <w:highlight w:val="lightGray"/>
        </w:rPr>
        <w:t>.8.1 – 1</w:t>
      </w:r>
      <w:r>
        <w:rPr>
          <w:bCs/>
          <w:sz w:val="24"/>
          <w:szCs w:val="24"/>
          <w:highlight w:val="lightGray"/>
        </w:rPr>
        <w:t>3</w:t>
      </w:r>
      <w:r>
        <w:rPr>
          <w:bCs/>
          <w:sz w:val="24"/>
          <w:szCs w:val="24"/>
          <w:highlight w:val="lightGray"/>
        </w:rPr>
        <w:t>.8.2</w:t>
      </w:r>
      <w:r>
        <w:rPr>
          <w:bCs/>
          <w:sz w:val="24"/>
          <w:szCs w:val="24"/>
        </w:rPr>
        <w:t xml:space="preserve"> Договора. </w:t>
      </w:r>
    </w:p>
    <w:p>
      <w:pPr>
        <w:pStyle w:val="Normal"/>
        <w:widowControl/>
        <w:numPr>
          <w:ilvl w:val="1"/>
          <w:numId w:val="2"/>
        </w:numPr>
        <w:tabs>
          <w:tab w:val="clear" w:pos="709"/>
          <w:tab w:val="left" w:pos="0" w:leader="none"/>
          <w:tab w:val="left" w:pos="1418" w:leader="none"/>
          <w:tab w:val="left" w:pos="1985" w:leader="none"/>
        </w:tabs>
        <w:ind w:firstLine="709" w:left="0"/>
        <w:jc w:val="both"/>
        <w:rPr>
          <w:bCs/>
          <w:sz w:val="24"/>
          <w:szCs w:val="24"/>
        </w:rPr>
      </w:pPr>
      <w:r>
        <w:rPr>
          <w:bCs/>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widowControl/>
        <w:numPr>
          <w:ilvl w:val="1"/>
          <w:numId w:val="2"/>
        </w:numPr>
        <w:shd w:val="clear" w:color="auto" w:fill="FFFFFF"/>
        <w:tabs>
          <w:tab w:val="clear" w:pos="709"/>
          <w:tab w:val="left" w:pos="0" w:leader="none"/>
          <w:tab w:val="left" w:pos="1418" w:leader="none"/>
          <w:tab w:val="left" w:pos="1985" w:leader="none"/>
        </w:tabs>
        <w:ind w:firstLine="709" w:left="0"/>
        <w:jc w:val="both"/>
        <w:rPr>
          <w:bCs/>
          <w:sz w:val="24"/>
          <w:szCs w:val="24"/>
        </w:rPr>
      </w:pPr>
      <w:r>
        <w:rPr>
          <w:sz w:val="24"/>
          <w:szCs w:val="24"/>
        </w:rPr>
        <w:t xml:space="preserve">Уступка (передача), в том числе в залог, прав (требований) к Покупателю </w:t>
        <w:br/>
        <w:t>по денежным обязательствам, принадлежащих Поставщику на основании Договора, допускается только с предварительного письменного согласия Покупателя и оформляется трехсторонним договором</w:t>
      </w:r>
      <w:r>
        <w:rPr>
          <w:bCs/>
          <w:sz w:val="24"/>
          <w:szCs w:val="24"/>
        </w:rPr>
        <w:t>.</w:t>
      </w:r>
      <w:r>
        <w:rPr>
          <w:sz w:val="24"/>
          <w:szCs w:val="24"/>
        </w:rPr>
        <w:t xml:space="preserve"> </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Во всем остальном, что не урегулировано Договором, Стороны руководствуются законодательством Российской Федерации.</w:t>
      </w:r>
    </w:p>
    <w:p>
      <w:pPr>
        <w:pStyle w:val="Normal"/>
        <w:shd w:val="clear" w:color="auto" w:fill="FFFFFF"/>
        <w:ind w:firstLine="567"/>
        <w:jc w:val="both"/>
        <w:rPr>
          <w:sz w:val="24"/>
          <w:szCs w:val="24"/>
        </w:rPr>
      </w:pPr>
      <w:r>
        <w:rPr>
          <w:sz w:val="24"/>
          <w:szCs w:val="24"/>
        </w:rPr>
      </w:r>
    </w:p>
    <w:p>
      <w:pPr>
        <w:pStyle w:val="Normal"/>
        <w:widowControl/>
        <w:numPr>
          <w:ilvl w:val="0"/>
          <w:numId w:val="2"/>
        </w:numPr>
        <w:shd w:val="clear" w:color="auto" w:fill="FFFFFF"/>
        <w:tabs>
          <w:tab w:val="clear" w:pos="709"/>
          <w:tab w:val="left" w:pos="284" w:leader="none"/>
        </w:tabs>
        <w:spacing w:lineRule="auto" w:line="259" w:before="0" w:after="0"/>
        <w:contextualSpacing/>
        <w:jc w:val="center"/>
        <w:rPr>
          <w:b/>
          <w:bCs/>
          <w:sz w:val="24"/>
          <w:szCs w:val="24"/>
        </w:rPr>
      </w:pPr>
      <w:r>
        <w:rPr>
          <w:b/>
          <w:bCs/>
          <w:sz w:val="24"/>
          <w:szCs w:val="24"/>
        </w:rPr>
        <w:t xml:space="preserve">Список приложений </w:t>
      </w:r>
    </w:p>
    <w:p>
      <w:pPr>
        <w:pStyle w:val="Normal"/>
        <w:widowControl/>
        <w:shd w:val="clear" w:color="auto" w:fill="FFFFFF"/>
        <w:tabs>
          <w:tab w:val="clear" w:pos="709"/>
          <w:tab w:val="left" w:pos="0" w:leader="none"/>
        </w:tabs>
        <w:ind w:firstLine="709"/>
        <w:jc w:val="both"/>
        <w:rPr>
          <w:rFonts w:eastAsia="Calibri"/>
          <w:sz w:val="24"/>
          <w:szCs w:val="24"/>
          <w:lang w:eastAsia="en-US"/>
        </w:rPr>
      </w:pPr>
      <w:bookmarkStart w:id="10" w:name="sub_1"/>
      <w:r>
        <w:rPr>
          <w:rFonts w:eastAsia="Calibri"/>
          <w:sz w:val="24"/>
          <w:szCs w:val="24"/>
          <w:lang w:eastAsia="en-US"/>
        </w:rPr>
        <w:t>Приложение № 1 – Спецификация.</w:t>
      </w:r>
    </w:p>
    <w:p>
      <w:pPr>
        <w:pStyle w:val="Normal"/>
        <w:widowControl/>
        <w:shd w:val="clear" w:color="auto" w:fill="FFFFFF"/>
        <w:tabs>
          <w:tab w:val="clear" w:pos="709"/>
          <w:tab w:val="left" w:pos="0" w:leader="none"/>
          <w:tab w:val="left" w:pos="2694" w:leader="none"/>
        </w:tabs>
        <w:ind w:firstLine="709"/>
        <w:jc w:val="both"/>
        <w:rPr>
          <w:rFonts w:eastAsia="Calibri"/>
          <w:sz w:val="24"/>
          <w:szCs w:val="24"/>
          <w:lang w:eastAsia="en-US"/>
        </w:rPr>
      </w:pPr>
      <w:r>
        <w:rPr>
          <w:rFonts w:eastAsia="Calibri"/>
          <w:sz w:val="24"/>
          <w:szCs w:val="24"/>
          <w:lang w:eastAsia="en-US"/>
        </w:rPr>
        <w:t xml:space="preserve">Приложение № 2 – </w:t>
      </w:r>
      <w:r>
        <w:rPr>
          <w:sz w:val="24"/>
          <w:szCs w:val="24"/>
          <w:lang w:eastAsia="x-none"/>
        </w:rPr>
        <w:t>Технические требования.</w:t>
      </w:r>
    </w:p>
    <w:p>
      <w:pPr>
        <w:pStyle w:val="Normal"/>
        <w:widowControl/>
        <w:shd w:val="clear" w:color="auto" w:fill="FFFFFF"/>
        <w:tabs>
          <w:tab w:val="clear" w:pos="709"/>
          <w:tab w:val="left" w:pos="0" w:leader="none"/>
          <w:tab w:val="left" w:pos="2694" w:leader="none"/>
        </w:tabs>
        <w:ind w:firstLine="709"/>
        <w:jc w:val="both"/>
        <w:rPr>
          <w:sz w:val="24"/>
          <w:szCs w:val="24"/>
        </w:rPr>
      </w:pPr>
      <w:r>
        <w:rPr>
          <w:sz w:val="24"/>
          <w:szCs w:val="24"/>
          <w:lang w:eastAsia="x-none"/>
        </w:rPr>
        <w:t>Приложение № 3 –</w:t>
      </w:r>
      <w:r>
        <w:rPr>
          <w:rFonts w:eastAsia="Calibri"/>
          <w:sz w:val="24"/>
          <w:szCs w:val="24"/>
          <w:lang w:eastAsia="en-US"/>
        </w:rPr>
        <w:t xml:space="preserve"> </w:t>
      </w:r>
      <w:bookmarkEnd w:id="10"/>
      <w:r>
        <w:rPr>
          <w:rFonts w:eastAsia="Calibri"/>
          <w:bCs/>
          <w:sz w:val="24"/>
          <w:szCs w:val="24"/>
          <w:lang w:eastAsia="en-US"/>
        </w:rPr>
        <w:t xml:space="preserve">Размер ответственности Поставщика за нарушения пропускного </w:t>
        <w:br/>
        <w:t>и внутриобъектового режима, требований охраны труда, пожарной и промышленной безопасности.</w:t>
      </w:r>
    </w:p>
    <w:p>
      <w:pPr>
        <w:pStyle w:val="Normal"/>
        <w:ind w:firstLine="709"/>
        <w:jc w:val="both"/>
        <w:rPr>
          <w:sz w:val="24"/>
          <w:szCs w:val="24"/>
        </w:rPr>
      </w:pPr>
      <w:r>
        <w:rPr>
          <w:sz w:val="24"/>
          <w:szCs w:val="24"/>
        </w:rPr>
      </w:r>
    </w:p>
    <w:p>
      <w:pPr>
        <w:pStyle w:val="ListParagraph"/>
        <w:widowControl/>
        <w:numPr>
          <w:ilvl w:val="0"/>
          <w:numId w:val="2"/>
        </w:numPr>
        <w:shd w:val="clear" w:color="auto" w:fill="FFFFFF"/>
        <w:tabs>
          <w:tab w:val="clear" w:pos="709"/>
          <w:tab w:val="left" w:pos="426" w:leader="none"/>
        </w:tabs>
        <w:ind w:hanging="360" w:left="0"/>
        <w:jc w:val="center"/>
        <w:rPr>
          <w:b/>
          <w:bCs/>
          <w:sz w:val="24"/>
          <w:szCs w:val="24"/>
        </w:rPr>
      </w:pPr>
      <w:r>
        <w:rPr>
          <w:b/>
          <w:bCs/>
          <w:sz w:val="24"/>
          <w:szCs w:val="24"/>
        </w:rPr>
        <w:t>Адреса и платежные реквизиты Сторон</w:t>
      </w:r>
    </w:p>
    <w:p>
      <w:pPr>
        <w:pStyle w:val="ListParagraph"/>
        <w:widowControl/>
        <w:shd w:val="clear" w:color="auto" w:fill="FFFFFF"/>
        <w:tabs>
          <w:tab w:val="clear" w:pos="709"/>
          <w:tab w:val="left" w:pos="426" w:leader="none"/>
        </w:tabs>
        <w:ind w:hanging="0" w:left="360"/>
        <w:rPr>
          <w:b/>
          <w:bCs/>
          <w:sz w:val="24"/>
          <w:szCs w:val="24"/>
        </w:rPr>
      </w:pPr>
      <w:r>
        <w:rPr>
          <w:b/>
          <w:bCs/>
          <w:sz w:val="24"/>
          <w:szCs w:val="24"/>
        </w:rPr>
      </w:r>
    </w:p>
    <w:tbl>
      <w:tblPr>
        <w:tblW w:w="9890"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4928"/>
        <w:gridCol w:w="4638"/>
        <w:gridCol w:w="324"/>
      </w:tblGrid>
      <w:tr>
        <w:trPr/>
        <w:tc>
          <w:tcPr>
            <w:tcW w:w="4928" w:type="dxa"/>
            <w:tcBorders/>
          </w:tcPr>
          <w:p>
            <w:pPr>
              <w:pStyle w:val="Normal"/>
              <w:widowControl w:val="false"/>
              <w:rPr>
                <w:sz w:val="24"/>
                <w:szCs w:val="24"/>
              </w:rPr>
            </w:pPr>
            <w:r>
              <w:rPr>
                <w:sz w:val="24"/>
                <w:szCs w:val="24"/>
              </w:rPr>
              <w:t>ПОКУПАТЕЛЬ:</w:t>
            </w:r>
          </w:p>
        </w:tc>
        <w:tc>
          <w:tcPr>
            <w:tcW w:w="4962" w:type="dxa"/>
            <w:gridSpan w:val="2"/>
            <w:tcBorders/>
          </w:tcPr>
          <w:p>
            <w:pPr>
              <w:pStyle w:val="Normal"/>
              <w:widowControl w:val="false"/>
              <w:rPr>
                <w:sz w:val="24"/>
                <w:szCs w:val="24"/>
              </w:rPr>
            </w:pPr>
            <w:r>
              <w:rPr>
                <w:sz w:val="24"/>
                <w:szCs w:val="24"/>
              </w:rPr>
              <w:t>ПОСТАВЩИК:</w:t>
            </w:r>
          </w:p>
        </w:tc>
      </w:tr>
      <w:tr>
        <w:trPr/>
        <w:tc>
          <w:tcPr>
            <w:tcW w:w="4928" w:type="dxa"/>
            <w:vMerge w:val="restart"/>
            <w:tcBorders/>
            <w:shd w:color="auto" w:fill="BFBFBF" w:val="clear"/>
          </w:tcPr>
          <w:p>
            <w:pPr>
              <w:pStyle w:val="Normal"/>
              <w:widowControl w:val="false"/>
              <w:rPr>
                <w:sz w:val="24"/>
                <w:szCs w:val="24"/>
                <w:highlight w:val="lightGray"/>
              </w:rPr>
            </w:pPr>
            <w:r>
              <w:rPr>
                <w:sz w:val="24"/>
                <w:szCs w:val="24"/>
                <w:highlight w:val="lightGray"/>
              </w:rPr>
            </w:r>
          </w:p>
          <w:p>
            <w:pPr>
              <w:pStyle w:val="Normal"/>
              <w:widowControl w:val="false"/>
              <w:rPr>
                <w:sz w:val="24"/>
                <w:szCs w:val="24"/>
              </w:rPr>
            </w:pPr>
            <w:r>
              <w:rPr>
                <w:b/>
                <w:sz w:val="24"/>
                <w:szCs w:val="24"/>
              </w:rPr>
              <w:t>Акционерное общество «Транспортная компания РусГидро»</w:t>
            </w:r>
          </w:p>
          <w:p>
            <w:pPr>
              <w:pStyle w:val="Normal"/>
              <w:widowControl w:val="false"/>
              <w:rPr>
                <w:sz w:val="24"/>
                <w:szCs w:val="24"/>
              </w:rPr>
            </w:pPr>
            <w:r>
              <w:rPr>
                <w:b/>
                <w:sz w:val="24"/>
                <w:szCs w:val="24"/>
              </w:rPr>
              <w:t>(АО «ТК РусГидро»)</w:t>
            </w:r>
          </w:p>
          <w:p>
            <w:pPr>
              <w:pStyle w:val="Normal"/>
              <w:widowControl w:val="false"/>
              <w:rPr>
                <w:b w:val="false"/>
                <w:bCs w:val="false"/>
              </w:rPr>
            </w:pPr>
            <w:r>
              <w:rPr>
                <w:b w:val="false"/>
                <w:bCs w:val="false"/>
                <w:sz w:val="24"/>
                <w:szCs w:val="24"/>
              </w:rPr>
              <w:t>Юридический адрес: 655619, Республика Хакасия, г. Саяногорск, рп. Черемушки, стр. 101.</w:t>
            </w:r>
          </w:p>
          <w:p>
            <w:pPr>
              <w:pStyle w:val="Normal"/>
              <w:widowControl w:val="false"/>
              <w:rPr>
                <w:sz w:val="24"/>
                <w:szCs w:val="24"/>
              </w:rPr>
            </w:pPr>
            <w:r>
              <w:rPr>
                <w:b/>
                <w:sz w:val="24"/>
                <w:szCs w:val="24"/>
              </w:rPr>
              <w:t>Дальневосточный филиал АО «ТК РусГидро»</w:t>
            </w:r>
          </w:p>
          <w:p>
            <w:pPr>
              <w:pStyle w:val="Normal"/>
              <w:widowControl w:val="false"/>
              <w:rPr>
                <w:b w:val="false"/>
                <w:bCs w:val="false"/>
              </w:rPr>
            </w:pPr>
            <w:r>
              <w:rPr>
                <w:b w:val="false"/>
                <w:bCs w:val="false"/>
                <w:sz w:val="24"/>
                <w:szCs w:val="24"/>
              </w:rPr>
              <w:t>Почтовый адрес: 680021, Хабаровский край, г. Хабаровск, ул. Ленинградская, д. 46.</w:t>
            </w:r>
          </w:p>
          <w:p>
            <w:pPr>
              <w:pStyle w:val="Normal"/>
              <w:widowControl w:val="false"/>
              <w:rPr>
                <w:b w:val="false"/>
                <w:bCs w:val="false"/>
              </w:rPr>
            </w:pPr>
            <w:r>
              <w:rPr>
                <w:b w:val="false"/>
                <w:bCs w:val="false"/>
                <w:sz w:val="24"/>
                <w:szCs w:val="24"/>
              </w:rPr>
              <w:t>ИНН: 1902018248; КПП: 272443001;</w:t>
            </w:r>
          </w:p>
          <w:p>
            <w:pPr>
              <w:pStyle w:val="Normal"/>
              <w:widowControl w:val="false"/>
              <w:rPr>
                <w:b w:val="false"/>
                <w:bCs w:val="false"/>
              </w:rPr>
            </w:pPr>
            <w:r>
              <w:rPr>
                <w:b w:val="false"/>
                <w:bCs w:val="false"/>
                <w:sz w:val="24"/>
                <w:szCs w:val="24"/>
              </w:rPr>
              <w:t>ОГРН: 1031900676356;</w:t>
            </w:r>
          </w:p>
          <w:p>
            <w:pPr>
              <w:pStyle w:val="Normal"/>
              <w:widowControl w:val="false"/>
              <w:rPr>
                <w:b w:val="false"/>
                <w:bCs w:val="false"/>
              </w:rPr>
            </w:pPr>
            <w:r>
              <w:rPr>
                <w:b w:val="false"/>
                <w:bCs w:val="false"/>
                <w:sz w:val="24"/>
                <w:szCs w:val="24"/>
              </w:rPr>
              <w:t>Р/счет: 40702810903000031136,</w:t>
            </w:r>
          </w:p>
          <w:p>
            <w:pPr>
              <w:pStyle w:val="Normal"/>
              <w:widowControl w:val="false"/>
              <w:rPr>
                <w:b w:val="false"/>
                <w:bCs w:val="false"/>
              </w:rPr>
            </w:pPr>
            <w:r>
              <w:rPr>
                <w:b w:val="false"/>
                <w:bCs w:val="false"/>
                <w:sz w:val="24"/>
                <w:szCs w:val="24"/>
              </w:rPr>
              <w:t>Банк: Дальневосточный филиал</w:t>
            </w:r>
          </w:p>
          <w:p>
            <w:pPr>
              <w:pStyle w:val="Normal"/>
              <w:widowControl w:val="false"/>
              <w:rPr>
                <w:b w:val="false"/>
                <w:bCs w:val="false"/>
              </w:rPr>
            </w:pPr>
            <w:r>
              <w:rPr>
                <w:b w:val="false"/>
                <w:bCs w:val="false"/>
                <w:sz w:val="24"/>
                <w:szCs w:val="24"/>
              </w:rPr>
              <w:t>ПАО «Сбербанк России» г. Хабаровск,</w:t>
            </w:r>
          </w:p>
          <w:p>
            <w:pPr>
              <w:pStyle w:val="Normal"/>
              <w:widowControl w:val="false"/>
              <w:rPr>
                <w:b w:val="false"/>
                <w:bCs w:val="false"/>
              </w:rPr>
            </w:pPr>
            <w:r>
              <w:rPr>
                <w:b w:val="false"/>
                <w:bCs w:val="false"/>
                <w:sz w:val="24"/>
                <w:szCs w:val="24"/>
              </w:rPr>
              <w:t>К/счет: 30101810600000000608;</w:t>
            </w:r>
          </w:p>
          <w:p>
            <w:pPr>
              <w:pStyle w:val="Normal"/>
              <w:widowControl w:val="false"/>
              <w:rPr>
                <w:b w:val="false"/>
                <w:bCs w:val="false"/>
              </w:rPr>
            </w:pPr>
            <w:r>
              <w:rPr>
                <w:b w:val="false"/>
                <w:bCs w:val="false"/>
                <w:sz w:val="24"/>
                <w:szCs w:val="24"/>
              </w:rPr>
              <w:t>БИК: 040813608</w:t>
            </w:r>
          </w:p>
          <w:p>
            <w:pPr>
              <w:pStyle w:val="Normal"/>
              <w:widowControl w:val="false"/>
              <w:rPr>
                <w:b w:val="false"/>
                <w:bCs w:val="false"/>
              </w:rPr>
            </w:pPr>
            <w:r>
              <w:rPr>
                <w:b w:val="false"/>
                <w:bCs w:val="false"/>
              </w:rPr>
            </w:r>
          </w:p>
          <w:p>
            <w:pPr>
              <w:pStyle w:val="Normal"/>
              <w:widowControl w:val="false"/>
              <w:rPr>
                <w:b w:val="false"/>
                <w:bCs w:val="false"/>
              </w:rPr>
            </w:pPr>
            <w:r>
              <w:rPr>
                <w:b w:val="false"/>
                <w:bCs w:val="false"/>
                <w:sz w:val="24"/>
                <w:szCs w:val="24"/>
              </w:rPr>
              <w:t>Покупатель:</w:t>
            </w:r>
          </w:p>
          <w:p>
            <w:pPr>
              <w:pStyle w:val="Normal"/>
              <w:widowControl w:val="false"/>
              <w:rPr>
                <w:b w:val="false"/>
                <w:bCs w:val="false"/>
              </w:rPr>
            </w:pPr>
            <w:r>
              <w:rPr>
                <w:b w:val="false"/>
                <w:bCs w:val="false"/>
                <w:sz w:val="24"/>
                <w:szCs w:val="24"/>
              </w:rPr>
              <w:t>Директор</w:t>
            </w:r>
          </w:p>
          <w:p>
            <w:pPr>
              <w:pStyle w:val="Normal"/>
              <w:widowControl w:val="false"/>
              <w:rPr>
                <w:b w:val="false"/>
                <w:bCs w:val="false"/>
              </w:rPr>
            </w:pPr>
            <w:r>
              <w:rPr>
                <w:b w:val="false"/>
                <w:bCs w:val="false"/>
                <w:sz w:val="24"/>
                <w:szCs w:val="24"/>
              </w:rPr>
              <w:t>Дальневосточного филиала</w:t>
            </w:r>
          </w:p>
          <w:p>
            <w:pPr>
              <w:pStyle w:val="Normal"/>
              <w:widowControl w:val="false"/>
              <w:rPr>
                <w:b w:val="false"/>
                <w:bCs w:val="false"/>
              </w:rPr>
            </w:pPr>
            <w:r>
              <w:rPr>
                <w:b w:val="false"/>
                <w:bCs w:val="false"/>
                <w:sz w:val="24"/>
                <w:szCs w:val="24"/>
              </w:rPr>
              <w:t>АО «ТК РусГидро»</w:t>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b w:val="false"/>
                <w:bCs w:val="false"/>
              </w:rPr>
            </w:pPr>
            <w:r>
              <w:rPr>
                <w:b w:val="false"/>
                <w:bCs w:val="false"/>
                <w:sz w:val="24"/>
                <w:szCs w:val="24"/>
                <w:highlight w:val="lightGray"/>
              </w:rPr>
              <w:t>_______________ / В.Ю. Золотарев /</w:t>
            </w:r>
          </w:p>
          <w:p>
            <w:pPr>
              <w:pStyle w:val="Normal"/>
              <w:rPr/>
            </w:pPr>
            <w:r>
              <w:rPr/>
            </w:r>
          </w:p>
        </w:tc>
        <w:tc>
          <w:tcPr>
            <w:tcW w:w="4962" w:type="dxa"/>
            <w:gridSpan w:val="2"/>
            <w:tcBorders/>
            <w:shd w:color="auto" w:fill="BFBFBF" w:val="clear"/>
          </w:tcPr>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(наименование юридического лица)</w:t>
            </w:r>
          </w:p>
          <w:p>
            <w:pPr>
              <w:pStyle w:val="Normal"/>
              <w:widowControl w:val="false"/>
              <w:rPr>
                <w:sz w:val="24"/>
                <w:szCs w:val="24"/>
              </w:rPr>
            </w:pPr>
            <w:r>
              <w:rPr>
                <w:sz w:val="24"/>
                <w:szCs w:val="24"/>
              </w:rPr>
            </w:r>
          </w:p>
          <w:p>
            <w:pPr>
              <w:pStyle w:val="Normal"/>
              <w:widowControl w:val="false"/>
              <w:rPr>
                <w:sz w:val="24"/>
                <w:szCs w:val="24"/>
              </w:rPr>
            </w:pPr>
            <w:r>
              <w:rPr>
                <w:sz w:val="24"/>
                <w:szCs w:val="24"/>
              </w:rPr>
              <w:t>Юридический адрес:</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t>Почтовый адрес:</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ОГРН ___________________________</w:t>
            </w:r>
          </w:p>
          <w:p>
            <w:pPr>
              <w:pStyle w:val="Normal"/>
              <w:widowControl w:val="false"/>
              <w:rPr>
                <w:sz w:val="24"/>
                <w:szCs w:val="24"/>
              </w:rPr>
            </w:pPr>
            <w:r>
              <w:rPr>
                <w:sz w:val="24"/>
                <w:szCs w:val="24"/>
              </w:rPr>
              <w:t>ИНН ____________ / КПП___________</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(номер расчетного счета)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(наименование банка, в котором</w:t>
            </w:r>
          </w:p>
          <w:p>
            <w:pPr>
              <w:pStyle w:val="Normal"/>
              <w:widowControl w:val="false"/>
              <w:rPr>
                <w:sz w:val="24"/>
                <w:szCs w:val="24"/>
              </w:rPr>
            </w:pPr>
            <w:r>
              <w:rPr>
                <w:sz w:val="24"/>
                <w:szCs w:val="24"/>
              </w:rPr>
              <w:t>открыт расчетный счет)</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(номер корреспондентского счета банка)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(БИК банка)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(номер телефона)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(номер факса)</w:t>
            </w:r>
          </w:p>
          <w:p>
            <w:pPr>
              <w:pStyle w:val="Normal"/>
              <w:widowControl w:val="false"/>
              <w:rPr>
                <w:sz w:val="24"/>
                <w:szCs w:val="24"/>
              </w:rPr>
            </w:pPr>
            <w:r>
              <w:rPr>
                <w:sz w:val="24"/>
                <w:szCs w:val="24"/>
              </w:rPr>
            </w:r>
          </w:p>
        </w:tc>
      </w:tr>
      <w:tr>
        <w:trPr/>
        <w:tc>
          <w:tcPr>
            <w:tcW w:w="4928" w:type="dxa"/>
            <w:vMerge w:val="continue"/>
            <w:tcBorders/>
            <w:shd w:color="auto" w:fill="BFBFBF" w:val="clear"/>
          </w:tcPr>
          <w:p>
            <w:pPr>
              <w:pStyle w:val="Normal"/>
              <w:widowControl w:val="false"/>
              <w:rPr>
                <w:sz w:val="24"/>
                <w:szCs w:val="24"/>
                <w:highlight w:val="lightGray"/>
              </w:rPr>
            </w:pPr>
            <w:r>
              <w:rPr>
                <w:sz w:val="24"/>
                <w:szCs w:val="24"/>
                <w:highlight w:val="lightGray"/>
              </w:rPr>
            </w:r>
          </w:p>
        </w:tc>
        <w:tc>
          <w:tcPr>
            <w:tcW w:w="4638" w:type="dxa"/>
            <w:tcBorders/>
          </w:tcPr>
          <w:p>
            <w:pPr>
              <w:pStyle w:val="Normal"/>
              <w:widowControl w:val="false"/>
              <w:rPr>
                <w:sz w:val="24"/>
                <w:szCs w:val="24"/>
              </w:rPr>
            </w:pPr>
            <w:r>
              <w:rPr>
                <w:sz w:val="24"/>
                <w:szCs w:val="24"/>
                <w:highlight w:val="lightGray"/>
              </w:rPr>
              <w:t>_______________ / _______________</w:t>
            </w:r>
            <w:r>
              <w:rPr>
                <w:sz w:val="24"/>
                <w:szCs w:val="24"/>
              </w:rPr>
              <w:t xml:space="preserve"> </w:t>
            </w:r>
          </w:p>
        </w:tc>
        <w:tc>
          <w:tcPr>
            <w:tcW w:w="324" w:type="dxa"/>
            <w:tcBorders/>
          </w:tcPr>
          <w:p>
            <w:pPr>
              <w:pStyle w:val="Normal"/>
              <w:widowControl w:val="false"/>
              <w:rPr/>
            </w:pPr>
            <w:r>
              <w:rPr/>
            </w:r>
          </w:p>
        </w:tc>
      </w:tr>
    </w:tbl>
    <w:p>
      <w:pPr>
        <w:sectPr>
          <w:headerReference w:type="default" r:id="rId5"/>
          <w:headerReference w:type="first" r:id="rId6"/>
          <w:footerReference w:type="default" r:id="rId7"/>
          <w:type w:val="nextPage"/>
          <w:pgSz w:w="11906" w:h="16838"/>
          <w:pgMar w:left="1560" w:right="851" w:gutter="0" w:header="709" w:top="1134" w:footer="709" w:bottom="1135"/>
          <w:pgNumType w:fmt="decimal"/>
          <w:formProt w:val="false"/>
          <w:titlePg/>
          <w:textDirection w:val="lrTb"/>
          <w:docGrid w:type="default" w:linePitch="360" w:charSpace="16384"/>
        </w:sectPr>
      </w:pPr>
    </w:p>
    <w:p>
      <w:pPr>
        <w:pStyle w:val="Normal"/>
        <w:ind w:hanging="0" w:left="5103" w:right="96"/>
        <w:rPr>
          <w:sz w:val="22"/>
          <w:szCs w:val="22"/>
        </w:rPr>
      </w:pPr>
      <w:r>
        <w:rPr>
          <w:sz w:val="22"/>
          <w:szCs w:val="22"/>
        </w:rPr>
        <w:t>Приложение № 1</w:t>
      </w:r>
    </w:p>
    <w:p>
      <w:pPr>
        <w:pStyle w:val="Normal"/>
        <w:ind w:hanging="0" w:left="5103" w:right="96"/>
        <w:rPr>
          <w:sz w:val="22"/>
          <w:szCs w:val="22"/>
        </w:rPr>
      </w:pPr>
      <w:r>
        <w:rPr>
          <w:sz w:val="22"/>
          <w:szCs w:val="22"/>
        </w:rPr>
        <w:t>к Договору поставки</w:t>
      </w:r>
    </w:p>
    <w:p>
      <w:pPr>
        <w:pStyle w:val="Normal"/>
        <w:ind w:hanging="0" w:left="5103" w:right="96"/>
        <w:rPr>
          <w:sz w:val="22"/>
          <w:szCs w:val="22"/>
        </w:rPr>
      </w:pPr>
      <w:r>
        <w:rPr>
          <w:sz w:val="22"/>
          <w:szCs w:val="22"/>
        </w:rPr>
        <w:t>от «____» __________ 20 _ г. № _____</w:t>
      </w:r>
    </w:p>
    <w:p>
      <w:pPr>
        <w:pStyle w:val="Normal"/>
        <w:jc w:val="center"/>
        <w:rPr>
          <w:b/>
          <w:sz w:val="24"/>
          <w:szCs w:val="24"/>
        </w:rPr>
      </w:pPr>
      <w:r>
        <w:rPr>
          <w:b/>
          <w:sz w:val="24"/>
          <w:szCs w:val="24"/>
        </w:rPr>
      </w:r>
    </w:p>
    <w:p>
      <w:pPr>
        <w:pStyle w:val="Normal"/>
        <w:jc w:val="center"/>
        <w:rPr>
          <w:b/>
          <w:sz w:val="24"/>
          <w:szCs w:val="24"/>
        </w:rPr>
      </w:pPr>
      <w:r>
        <w:rPr>
          <w:b/>
          <w:sz w:val="24"/>
          <w:szCs w:val="24"/>
        </w:rPr>
        <w:t xml:space="preserve">СПЕЦИФИКАЦИЯ </w:t>
      </w:r>
    </w:p>
    <w:p>
      <w:pPr>
        <w:pStyle w:val="Normal"/>
        <w:jc w:val="center"/>
        <w:rPr>
          <w:b/>
          <w:sz w:val="24"/>
          <w:szCs w:val="24"/>
        </w:rPr>
      </w:pPr>
      <w:r>
        <w:rPr>
          <w:b/>
          <w:sz w:val="24"/>
          <w:szCs w:val="24"/>
        </w:rPr>
      </w:r>
    </w:p>
    <w:tbl>
      <w:tblPr>
        <w:tblW w:w="5000" w:type="pct"/>
        <w:jc w:val="left"/>
        <w:tblInd w:w="-714" w:type="dxa"/>
        <w:tblLayout w:type="fixed"/>
        <w:tblCellMar>
          <w:top w:w="0" w:type="dxa"/>
          <w:left w:w="108" w:type="dxa"/>
          <w:bottom w:w="0" w:type="dxa"/>
          <w:right w:w="108" w:type="dxa"/>
        </w:tblCellMar>
        <w:tblLook w:val="04a0" w:noHBand="0" w:noVBand="1" w:firstColumn="1" w:lastRow="0" w:lastColumn="0" w:firstRow="1"/>
      </w:tblPr>
      <w:tblGrid>
        <w:gridCol w:w="398"/>
        <w:gridCol w:w="634"/>
        <w:gridCol w:w="636"/>
        <w:gridCol w:w="637"/>
        <w:gridCol w:w="798"/>
        <w:gridCol w:w="767"/>
        <w:gridCol w:w="643"/>
        <w:gridCol w:w="762"/>
        <w:gridCol w:w="720"/>
        <w:gridCol w:w="381"/>
        <w:gridCol w:w="152"/>
        <w:gridCol w:w="670"/>
        <w:gridCol w:w="578"/>
        <w:gridCol w:w="533"/>
        <w:gridCol w:w="744"/>
        <w:gridCol w:w="584"/>
      </w:tblGrid>
      <w:tr>
        <w:trPr>
          <w:trHeight w:val="526" w:hRule="atLeast"/>
        </w:trPr>
        <w:tc>
          <w:tcPr>
            <w:tcW w:w="39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 xml:space="preserve">№ </w:t>
            </w:r>
            <w:r>
              <w:rPr>
                <w:bCs/>
              </w:rPr>
              <w:t>поз.</w:t>
            </w:r>
          </w:p>
        </w:tc>
        <w:tc>
          <w:tcPr>
            <w:tcW w:w="6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Наименование Товара</w:t>
            </w:r>
          </w:p>
        </w:tc>
        <w:tc>
          <w:tcPr>
            <w:tcW w:w="63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t>Артикул, тип, марка</w:t>
            </w:r>
          </w:p>
        </w:tc>
        <w:tc>
          <w:tcPr>
            <w:tcW w:w="63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Завод изготовитель</w:t>
            </w:r>
          </w:p>
        </w:tc>
        <w:tc>
          <w:tcPr>
            <w:tcW w:w="79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t>Страна происхождения Товара</w:t>
            </w:r>
            <w:r>
              <w:rPr>
                <w:rStyle w:val="FootnoteReference"/>
                <w:bCs/>
              </w:rPr>
              <w:footnoteReference w:id="2"/>
            </w:r>
          </w:p>
        </w:tc>
        <w:tc>
          <w:tcPr>
            <w:tcW w:w="76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t>Страна регистрации производителя Товара</w:t>
            </w:r>
          </w:p>
        </w:tc>
        <w:tc>
          <w:tcPr>
            <w:tcW w:w="64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Код ОКПД 2 (с наименованием)</w:t>
            </w:r>
          </w:p>
        </w:tc>
        <w:tc>
          <w:tcPr>
            <w:tcW w:w="76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Единица измерения</w:t>
            </w:r>
          </w:p>
        </w:tc>
        <w:tc>
          <w:tcPr>
            <w:tcW w:w="72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
                <w:bCs/>
              </w:rPr>
            </w:pPr>
            <w:r>
              <w:rPr>
                <w:b/>
                <w:bCs/>
              </w:rPr>
            </w:r>
          </w:p>
          <w:p>
            <w:pPr>
              <w:pStyle w:val="Normal"/>
              <w:widowControl w:val="false"/>
              <w:jc w:val="center"/>
              <w:rPr>
                <w:bCs/>
              </w:rPr>
            </w:pPr>
            <w:r>
              <w:rPr>
                <w:bCs/>
                <w:highlight w:val="lightGray"/>
              </w:rPr>
              <w:t>Порядковый номер(а) реестровой(ых) записи(ей)</w:t>
            </w:r>
            <w:r>
              <w:rPr>
                <w:rStyle w:val="FootnoteReference"/>
                <w:bCs/>
                <w:highlight w:val="lightGray"/>
              </w:rPr>
              <w:footnoteReference w:id="3"/>
            </w:r>
          </w:p>
          <w:p>
            <w:pPr>
              <w:pStyle w:val="Normal"/>
              <w:widowControl w:val="false"/>
              <w:jc w:val="center"/>
              <w:rPr>
                <w:bCs/>
              </w:rPr>
            </w:pPr>
            <w:r>
              <w:rPr>
                <w:bCs/>
              </w:rPr>
            </w:r>
          </w:p>
        </w:tc>
        <w:tc>
          <w:tcPr>
            <w:tcW w:w="533"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Количество</w:t>
            </w:r>
          </w:p>
        </w:tc>
        <w:tc>
          <w:tcPr>
            <w:tcW w:w="67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Цена за единицу, руб. без НДС</w:t>
            </w:r>
          </w:p>
        </w:tc>
        <w:tc>
          <w:tcPr>
            <w:tcW w:w="57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Цена, руб. без НДС</w:t>
            </w:r>
          </w:p>
        </w:tc>
        <w:tc>
          <w:tcPr>
            <w:tcW w:w="53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НДС</w:t>
            </w:r>
          </w:p>
          <w:p>
            <w:pPr>
              <w:pStyle w:val="Normal"/>
              <w:widowControl w:val="false"/>
              <w:jc w:val="center"/>
              <w:rPr>
                <w:bCs/>
              </w:rPr>
            </w:pPr>
            <w:r>
              <w:rPr>
                <w:bCs/>
              </w:rPr>
              <w:t>(___%) руб.*</w:t>
            </w:r>
          </w:p>
        </w:tc>
        <w:tc>
          <w:tcPr>
            <w:tcW w:w="74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Стоимость, руб., с НДС*</w:t>
            </w:r>
          </w:p>
        </w:tc>
        <w:tc>
          <w:tcPr>
            <w:tcW w:w="58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Перечень сопроводительных документов (в том числе подтверждающих качество Товара)</w:t>
            </w:r>
          </w:p>
        </w:tc>
      </w:tr>
      <w:tr>
        <w:trPr>
          <w:trHeight w:val="538" w:hRule="atLeast"/>
        </w:trPr>
        <w:tc>
          <w:tcPr>
            <w:tcW w:w="39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lightGray"/>
              </w:rPr>
            </w:pPr>
            <w:r>
              <w:rPr>
                <w:highlight w:val="lightGray"/>
              </w:rPr>
              <w:t>1</w:t>
            </w:r>
          </w:p>
        </w:tc>
        <w:tc>
          <w:tcPr>
            <w:tcW w:w="6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36"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37"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98"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67"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43"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62"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20"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533"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7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7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3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c>
          <w:tcPr>
            <w:tcW w:w="74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8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r>
      <w:tr>
        <w:trPr>
          <w:trHeight w:val="538" w:hRule="atLeast"/>
        </w:trPr>
        <w:tc>
          <w:tcPr>
            <w:tcW w:w="39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lightGray"/>
              </w:rPr>
            </w:pPr>
            <w:r>
              <w:rPr>
                <w:highlight w:val="lightGray"/>
              </w:rPr>
              <w:t>2</w:t>
            </w:r>
          </w:p>
        </w:tc>
        <w:tc>
          <w:tcPr>
            <w:tcW w:w="6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36"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37"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98"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67"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43"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62"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20"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533"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7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7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3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c>
          <w:tcPr>
            <w:tcW w:w="74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8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r>
      <w:tr>
        <w:trPr>
          <w:trHeight w:val="62" w:hRule="atLeast"/>
        </w:trPr>
        <w:tc>
          <w:tcPr>
            <w:tcW w:w="6376" w:type="dxa"/>
            <w:gridSpan w:val="10"/>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lightGray"/>
              </w:rPr>
              <w:t>Итого стоимость всего Товара (с учетом доставки), руб. с НДС*:</w:t>
            </w:r>
          </w:p>
        </w:tc>
        <w:tc>
          <w:tcPr>
            <w:tcW w:w="3261" w:type="dxa"/>
            <w:gridSpan w:val="6"/>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r>
    </w:tbl>
    <w:p>
      <w:pPr>
        <w:pStyle w:val="Normal"/>
        <w:ind w:hanging="0" w:left="-737" w:right="680"/>
        <w:jc w:val="both"/>
        <w:rPr>
          <w:i/>
          <w:i/>
          <w:iCs/>
        </w:rPr>
      </w:pPr>
      <w:r>
        <w:rPr>
          <w:i/>
          <w:iCs/>
        </w:rPr>
        <w:t>* При этом сумма НДС является справочной и рассчитана исходя из ставки НДС в соответствии с действующим законодательством Российской Федерации.</w:t>
      </w:r>
    </w:p>
    <w:p>
      <w:pPr>
        <w:pStyle w:val="Normal"/>
        <w:ind w:hanging="0" w:left="-737" w:right="680"/>
        <w:jc w:val="both"/>
        <w:rPr>
          <w:i/>
          <w:i/>
          <w:iCs/>
        </w:rPr>
      </w:pPr>
      <w:r>
        <w:rPr>
          <w:i/>
          <w:iCs/>
        </w:rPr>
      </w:r>
    </w:p>
    <w:p>
      <w:pPr>
        <w:pStyle w:val="Normal"/>
        <w:rPr>
          <w:i/>
          <w:i/>
          <w:sz w:val="22"/>
          <w:szCs w:val="22"/>
          <w:highlight w:val="lightGray"/>
        </w:rPr>
      </w:pPr>
      <w:r>
        <w:rPr>
          <w:i/>
          <w:sz w:val="22"/>
          <w:szCs w:val="22"/>
          <w:highlight w:val="lightGray"/>
        </w:rPr>
        <w:t>1. В спецификацию при необходимости включаются требования к Товару, таре/упаковке, перечень нормативных документов, которым должен соответствовать Товар  (ГОСТ, ТУ) и иные сведения, имеющие значение для Договора;</w:t>
      </w:r>
    </w:p>
    <w:p>
      <w:pPr>
        <w:pStyle w:val="Normal"/>
        <w:jc w:val="both"/>
        <w:rPr>
          <w:i/>
          <w:i/>
          <w:sz w:val="22"/>
          <w:szCs w:val="22"/>
        </w:rPr>
      </w:pPr>
      <w:r>
        <w:rPr>
          <w:i/>
          <w:sz w:val="22"/>
          <w:szCs w:val="22"/>
          <w:highlight w:val="lightGray"/>
        </w:rPr>
        <w:t>2. По требованию Покупателя Поставщик обязан представить запрашиваемую информацию / документы, расчеты, обосновывающие стоимость доставки.</w:t>
      </w:r>
      <w:r>
        <w:rPr>
          <w:i/>
          <w:sz w:val="22"/>
          <w:szCs w:val="22"/>
        </w:rPr>
        <w:t xml:space="preserve"> </w:t>
      </w:r>
    </w:p>
    <w:p>
      <w:pPr>
        <w:pStyle w:val="Normal"/>
        <w:rPr>
          <w:i/>
          <w:i/>
          <w:sz w:val="22"/>
          <w:szCs w:val="22"/>
        </w:rPr>
      </w:pPr>
      <w:r>
        <w:rPr>
          <w:i/>
          <w:sz w:val="22"/>
          <w:szCs w:val="22"/>
        </w:rPr>
      </w:r>
    </w:p>
    <w:p>
      <w:pPr>
        <w:pStyle w:val="Normal"/>
        <w:rPr>
          <w:i/>
          <w:i/>
          <w:sz w:val="22"/>
          <w:szCs w:val="22"/>
        </w:rPr>
      </w:pPr>
      <w:r>
        <w:rPr>
          <w:i/>
          <w:sz w:val="22"/>
          <w:szCs w:val="22"/>
        </w:rPr>
      </w:r>
    </w:p>
    <w:tbl>
      <w:tblPr>
        <w:tblW w:w="9632"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826"/>
        <w:gridCol w:w="4805"/>
      </w:tblGrid>
      <w:tr>
        <w:trPr>
          <w:trHeight w:val="269" w:hRule="atLeast"/>
        </w:trPr>
        <w:tc>
          <w:tcPr>
            <w:tcW w:w="4826" w:type="dxa"/>
            <w:tcBorders/>
          </w:tcPr>
          <w:p>
            <w:pPr>
              <w:pStyle w:val="Normal"/>
              <w:widowControl w:val="false"/>
              <w:rPr>
                <w:b/>
                <w:sz w:val="24"/>
              </w:rPr>
            </w:pPr>
            <w:r>
              <w:rPr>
                <w:b/>
                <w:sz w:val="24"/>
              </w:rPr>
              <w:t>Покупатель:</w:t>
            </w:r>
          </w:p>
        </w:tc>
        <w:tc>
          <w:tcPr>
            <w:tcW w:w="4805" w:type="dxa"/>
            <w:tcBorders/>
          </w:tcPr>
          <w:p>
            <w:pPr>
              <w:pStyle w:val="Normal"/>
              <w:widowControl w:val="false"/>
              <w:rPr>
                <w:b/>
                <w:sz w:val="24"/>
              </w:rPr>
            </w:pPr>
            <w:r>
              <w:rPr>
                <w:b/>
                <w:sz w:val="24"/>
              </w:rPr>
              <w:t>Поставщик:</w:t>
            </w:r>
          </w:p>
        </w:tc>
      </w:tr>
    </w:tbl>
    <w:p>
      <w:pPr>
        <w:pStyle w:val="Normal"/>
        <w:rPr/>
      </w:pPr>
      <w:r>
        <w:rPr/>
      </w:r>
    </w:p>
    <w:p>
      <w:pPr>
        <w:pStyle w:val="Normal"/>
        <w:rPr/>
      </w:pPr>
      <w:r>
        <w:rPr/>
        <w:t xml:space="preserve"> </w:t>
      </w:r>
      <w:r>
        <w:rPr/>
        <w:t>__________ /__________</w:t>
        <w:tab/>
        <w:t xml:space="preserve">                                          ___________ /___________</w:t>
      </w:r>
    </w:p>
    <w:p>
      <w:pPr>
        <w:pStyle w:val="Normal"/>
        <w:rPr>
          <w:i/>
          <w:i/>
          <w:sz w:val="24"/>
          <w:szCs w:val="24"/>
          <w:highlight w:val="yellow"/>
        </w:rPr>
      </w:pPr>
      <w:r>
        <w:rPr>
          <w:i/>
          <w:sz w:val="24"/>
          <w:szCs w:val="24"/>
          <w:highlight w:val="yellow"/>
        </w:rPr>
      </w:r>
    </w:p>
    <w:p>
      <w:pPr>
        <w:pStyle w:val="Normal"/>
        <w:widowControl/>
        <w:rPr>
          <w:sz w:val="22"/>
          <w:szCs w:val="22"/>
        </w:rPr>
      </w:pPr>
      <w:r>
        <w:rPr>
          <w:sz w:val="22"/>
          <w:szCs w:val="22"/>
        </w:rPr>
      </w:r>
      <w:r>
        <w:br w:type="page"/>
      </w:r>
    </w:p>
    <w:p>
      <w:pPr>
        <w:pStyle w:val="Normal"/>
        <w:ind w:firstLine="5103" w:right="96"/>
        <w:rPr>
          <w:sz w:val="22"/>
          <w:szCs w:val="22"/>
        </w:rPr>
      </w:pPr>
      <w:r>
        <w:rPr>
          <w:sz w:val="22"/>
          <w:szCs w:val="22"/>
        </w:rPr>
        <w:t>Приложение № 2</w:t>
      </w:r>
    </w:p>
    <w:p>
      <w:pPr>
        <w:pStyle w:val="Normal"/>
        <w:ind w:firstLine="5103" w:right="96"/>
        <w:rPr>
          <w:sz w:val="22"/>
          <w:szCs w:val="22"/>
        </w:rPr>
      </w:pPr>
      <w:r>
        <w:rPr>
          <w:sz w:val="22"/>
          <w:szCs w:val="22"/>
        </w:rPr>
        <w:t xml:space="preserve">к Договору поставки </w:t>
      </w:r>
    </w:p>
    <w:p>
      <w:pPr>
        <w:pStyle w:val="Normal"/>
        <w:ind w:firstLine="5103" w:right="96"/>
        <w:rPr>
          <w:sz w:val="22"/>
          <w:szCs w:val="22"/>
        </w:rPr>
      </w:pPr>
      <w:r>
        <w:rPr>
          <w:sz w:val="22"/>
          <w:szCs w:val="22"/>
        </w:rPr>
        <w:t>от «____» __________ 20 _ г. № _____</w:t>
      </w:r>
    </w:p>
    <w:p>
      <w:pPr>
        <w:pStyle w:val="Normal"/>
        <w:widowControl/>
        <w:ind w:firstLine="567"/>
        <w:jc w:val="center"/>
        <w:rPr>
          <w:rFonts w:eastAsia="Calibri"/>
          <w:b/>
          <w:sz w:val="24"/>
          <w:szCs w:val="24"/>
          <w:lang w:eastAsia="en-US"/>
        </w:rPr>
      </w:pPr>
      <w:r>
        <w:rPr>
          <w:rFonts w:eastAsia="Calibri"/>
          <w:b/>
          <w:sz w:val="24"/>
          <w:szCs w:val="24"/>
          <w:lang w:eastAsia="en-US"/>
        </w:rPr>
      </w:r>
    </w:p>
    <w:p>
      <w:pPr>
        <w:pStyle w:val="Normal"/>
        <w:widowControl/>
        <w:ind w:firstLine="567"/>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t>ТЕХНИЧЕСКИЕ ТРЕБОВАНИЯ</w:t>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b/>
          <w:sz w:val="24"/>
          <w:szCs w:val="24"/>
        </w:rPr>
      </w:pPr>
      <w:r>
        <w:rPr>
          <w:b/>
          <w:sz w:val="24"/>
          <w:szCs w:val="24"/>
        </w:rPr>
      </w:r>
    </w:p>
    <w:p>
      <w:pPr>
        <w:pStyle w:val="Normal"/>
        <w:numPr>
          <w:ilvl w:val="0"/>
          <w:numId w:val="0"/>
        </w:numPr>
        <w:ind w:hanging="0" w:left="0"/>
        <w:jc w:val="center"/>
        <w:outlineLvl w:val="0"/>
        <w:rPr>
          <w:b/>
          <w:bCs/>
          <w:sz w:val="24"/>
          <w:szCs w:val="24"/>
        </w:rPr>
      </w:pPr>
      <w:r>
        <w:rPr>
          <w:b/>
          <w:bCs/>
          <w:sz w:val="24"/>
          <w:szCs w:val="24"/>
        </w:rPr>
        <w:t>ПОДПИСИ СТОРОН:</w:t>
      </w:r>
    </w:p>
    <w:p>
      <w:pPr>
        <w:pStyle w:val="Normal"/>
        <w:numPr>
          <w:ilvl w:val="0"/>
          <w:numId w:val="0"/>
        </w:numPr>
        <w:ind w:hanging="0" w:left="0"/>
        <w:jc w:val="center"/>
        <w:outlineLvl w:val="0"/>
        <w:rPr>
          <w:bCs/>
          <w:sz w:val="24"/>
          <w:szCs w:val="24"/>
        </w:rPr>
      </w:pPr>
      <w:r>
        <w:rPr>
          <w:bCs/>
          <w:sz w:val="24"/>
          <w:szCs w:val="24"/>
        </w:rPr>
      </w:r>
    </w:p>
    <w:tbl>
      <w:tblPr>
        <w:tblW w:w="9815" w:type="dxa"/>
        <w:jc w:val="left"/>
        <w:tblInd w:w="-176" w:type="dxa"/>
        <w:tblLayout w:type="fixed"/>
        <w:tblCellMar>
          <w:top w:w="0" w:type="dxa"/>
          <w:left w:w="108" w:type="dxa"/>
          <w:bottom w:w="0" w:type="dxa"/>
          <w:right w:w="108" w:type="dxa"/>
        </w:tblCellMar>
        <w:tblLook w:val="04a0" w:noHBand="0" w:noVBand="1" w:firstColumn="1" w:lastRow="0" w:lastColumn="0" w:firstRow="1"/>
      </w:tblPr>
      <w:tblGrid>
        <w:gridCol w:w="4995"/>
        <w:gridCol w:w="4819"/>
      </w:tblGrid>
      <w:tr>
        <w:trPr/>
        <w:tc>
          <w:tcPr>
            <w:tcW w:w="4995" w:type="dxa"/>
            <w:tcBorders/>
            <w:shd w:color="auto" w:fill="auto" w:val="clear"/>
          </w:tcPr>
          <w:p>
            <w:pPr>
              <w:pStyle w:val="Normal"/>
              <w:widowControl w:val="false"/>
              <w:rPr>
                <w:b/>
                <w:sz w:val="24"/>
                <w:szCs w:val="24"/>
              </w:rPr>
            </w:pPr>
            <w:r>
              <w:rPr>
                <w:b/>
                <w:sz w:val="24"/>
                <w:szCs w:val="24"/>
              </w:rPr>
              <w:t>Покупатель:</w:t>
            </w:r>
          </w:p>
          <w:p>
            <w:pPr>
              <w:pStyle w:val="Normal"/>
              <w:widowControl w:val="false"/>
              <w:spacing w:lineRule="auto" w:line="360"/>
              <w:rPr>
                <w:sz w:val="24"/>
                <w:szCs w:val="24"/>
              </w:rPr>
            </w:pPr>
            <w:r>
              <w:rPr>
                <w:sz w:val="24"/>
                <w:szCs w:val="24"/>
              </w:rPr>
            </w:r>
          </w:p>
          <w:p>
            <w:pPr>
              <w:pStyle w:val="Normal"/>
              <w:widowControl w:val="false"/>
              <w:spacing w:lineRule="auto" w:line="360"/>
              <w:rPr>
                <w:sz w:val="24"/>
                <w:szCs w:val="24"/>
              </w:rPr>
            </w:pPr>
            <w:r>
              <w:rPr>
                <w:sz w:val="24"/>
                <w:szCs w:val="24"/>
              </w:rPr>
              <w:t>_____________________/_____________</w:t>
            </w:r>
          </w:p>
          <w:p>
            <w:pPr>
              <w:pStyle w:val="Normal"/>
              <w:widowControl w:val="false"/>
              <w:spacing w:lineRule="auto" w:line="360"/>
              <w:rPr>
                <w:sz w:val="24"/>
                <w:szCs w:val="24"/>
              </w:rPr>
            </w:pPr>
            <w:r>
              <w:rPr>
                <w:sz w:val="24"/>
                <w:szCs w:val="24"/>
              </w:rPr>
            </w:r>
          </w:p>
        </w:tc>
        <w:tc>
          <w:tcPr>
            <w:tcW w:w="4819" w:type="dxa"/>
            <w:tcBorders/>
            <w:shd w:color="auto" w:fill="auto" w:val="clear"/>
          </w:tcPr>
          <w:p>
            <w:pPr>
              <w:pStyle w:val="Normal"/>
              <w:widowControl w:val="false"/>
              <w:rPr>
                <w:b/>
                <w:sz w:val="24"/>
                <w:szCs w:val="24"/>
              </w:rPr>
            </w:pPr>
            <w:r>
              <w:rPr>
                <w:b/>
                <w:sz w:val="24"/>
                <w:szCs w:val="24"/>
              </w:rPr>
              <w:t>Поставщик:</w:t>
            </w:r>
          </w:p>
          <w:p>
            <w:pPr>
              <w:pStyle w:val="Normal"/>
              <w:widowControl w:val="false"/>
              <w:spacing w:lineRule="auto" w:line="360"/>
              <w:rPr>
                <w:sz w:val="24"/>
                <w:szCs w:val="24"/>
              </w:rPr>
            </w:pPr>
            <w:r>
              <w:rPr>
                <w:sz w:val="24"/>
                <w:szCs w:val="24"/>
              </w:rPr>
            </w:r>
          </w:p>
          <w:p>
            <w:pPr>
              <w:pStyle w:val="Normal"/>
              <w:widowControl w:val="false"/>
              <w:spacing w:lineRule="auto" w:line="360"/>
              <w:rPr>
                <w:sz w:val="24"/>
                <w:szCs w:val="24"/>
              </w:rPr>
            </w:pPr>
            <w:r>
              <w:rPr>
                <w:sz w:val="24"/>
                <w:szCs w:val="24"/>
              </w:rPr>
              <w:t>_____________________/_____________</w:t>
            </w:r>
          </w:p>
          <w:p>
            <w:pPr>
              <w:pStyle w:val="Normal"/>
              <w:widowControl w:val="false"/>
              <w:spacing w:lineRule="auto" w:line="360"/>
              <w:ind w:firstLine="33"/>
              <w:rPr>
                <w:b/>
                <w:sz w:val="24"/>
                <w:szCs w:val="24"/>
              </w:rPr>
            </w:pPr>
            <w:r>
              <w:rPr>
                <w:b/>
                <w:sz w:val="24"/>
                <w:szCs w:val="24"/>
              </w:rPr>
            </w:r>
          </w:p>
        </w:tc>
      </w:tr>
    </w:tbl>
    <w:p>
      <w:pPr>
        <w:pStyle w:val="Normal"/>
        <w:ind w:firstLine="6237" w:right="96"/>
        <w:rPr>
          <w:sz w:val="24"/>
          <w:szCs w:val="24"/>
        </w:rPr>
      </w:pPr>
      <w:r>
        <w:rPr>
          <w:sz w:val="24"/>
          <w:szCs w:val="24"/>
        </w:rPr>
      </w:r>
    </w:p>
    <w:p>
      <w:pPr>
        <w:pStyle w:val="Normal"/>
        <w:widowControl/>
        <w:rPr>
          <w:sz w:val="24"/>
          <w:szCs w:val="24"/>
        </w:rPr>
      </w:pPr>
      <w:r>
        <w:rPr>
          <w:sz w:val="24"/>
          <w:szCs w:val="24"/>
        </w:rPr>
      </w:r>
      <w:r>
        <w:br w:type="page"/>
      </w:r>
    </w:p>
    <w:p>
      <w:pPr>
        <w:pStyle w:val="Normal"/>
        <w:ind w:firstLine="5529" w:right="96"/>
        <w:rPr>
          <w:sz w:val="22"/>
          <w:szCs w:val="22"/>
        </w:rPr>
      </w:pPr>
      <w:r>
        <w:rPr>
          <w:sz w:val="22"/>
          <w:szCs w:val="22"/>
        </w:rPr>
        <w:t xml:space="preserve">Приложение № </w:t>
      </w:r>
      <w:r>
        <w:rPr>
          <w:sz w:val="22"/>
          <w:szCs w:val="22"/>
        </w:rPr>
        <w:t>3</w:t>
      </w:r>
    </w:p>
    <w:p>
      <w:pPr>
        <w:pStyle w:val="Normal"/>
        <w:ind w:firstLine="5529" w:right="96"/>
        <w:rPr>
          <w:sz w:val="22"/>
          <w:szCs w:val="22"/>
        </w:rPr>
      </w:pPr>
      <w:r>
        <w:rPr>
          <w:sz w:val="22"/>
          <w:szCs w:val="22"/>
        </w:rPr>
        <w:t>к Договору поставки</w:t>
      </w:r>
    </w:p>
    <w:p>
      <w:pPr>
        <w:pStyle w:val="Normal"/>
        <w:ind w:firstLine="5529"/>
        <w:rPr>
          <w:bCs/>
          <w:sz w:val="24"/>
          <w:szCs w:val="24"/>
        </w:rPr>
      </w:pPr>
      <w:r>
        <w:rPr>
          <w:sz w:val="22"/>
          <w:szCs w:val="22"/>
        </w:rPr>
        <w:t>от «____» __________ 20 _ г.</w:t>
      </w:r>
      <w:r>
        <w:rPr>
          <w:sz w:val="24"/>
          <w:szCs w:val="24"/>
        </w:rPr>
        <w:t xml:space="preserve"> № _____</w:t>
      </w:r>
    </w:p>
    <w:p>
      <w:pPr>
        <w:pStyle w:val="Normal"/>
        <w:widowControl/>
        <w:shd w:val="clear" w:color="auto" w:fill="FFFFFF"/>
        <w:tabs>
          <w:tab w:val="clear" w:pos="709"/>
          <w:tab w:val="left" w:pos="1418" w:leader="none"/>
        </w:tabs>
        <w:spacing w:before="0" w:after="0"/>
        <w:contextualSpacing/>
        <w:jc w:val="center"/>
        <w:rPr>
          <w:bCs/>
          <w:sz w:val="24"/>
          <w:szCs w:val="24"/>
        </w:rPr>
      </w:pPr>
      <w:r>
        <w:rPr>
          <w:bCs/>
          <w:sz w:val="24"/>
          <w:szCs w:val="24"/>
        </w:rPr>
      </w:r>
    </w:p>
    <w:p>
      <w:pPr>
        <w:pStyle w:val="Normal"/>
        <w:widowControl/>
        <w:spacing w:lineRule="auto" w:line="259"/>
        <w:rPr>
          <w:rFonts w:eastAsia="Calibri"/>
          <w:sz w:val="24"/>
          <w:szCs w:val="24"/>
          <w:lang w:eastAsia="en-US"/>
        </w:rPr>
      </w:pPr>
      <w:r>
        <w:rPr>
          <w:rFonts w:eastAsia="Calibri"/>
          <w:sz w:val="24"/>
          <w:szCs w:val="24"/>
          <w:lang w:eastAsia="en-US"/>
        </w:rPr>
      </w:r>
    </w:p>
    <w:p>
      <w:pPr>
        <w:pStyle w:val="Normal"/>
        <w:jc w:val="center"/>
        <w:rPr>
          <w:b/>
          <w:bCs/>
          <w:sz w:val="24"/>
          <w:szCs w:val="24"/>
        </w:rPr>
      </w:pPr>
      <w:r>
        <w:rPr>
          <w:b/>
          <w:bCs/>
          <w:sz w:val="24"/>
          <w:szCs w:val="24"/>
        </w:rPr>
        <w:t>Размер ответственности Поставщика за нарушения</w:t>
      </w:r>
    </w:p>
    <w:p>
      <w:pPr>
        <w:pStyle w:val="Normal"/>
        <w:jc w:val="center"/>
        <w:rPr>
          <w:b/>
          <w:bCs/>
          <w:sz w:val="24"/>
          <w:szCs w:val="24"/>
        </w:rPr>
      </w:pPr>
      <w:r>
        <w:rPr>
          <w:b/>
          <w:bCs/>
          <w:sz w:val="24"/>
          <w:szCs w:val="24"/>
        </w:rPr>
        <w:t>пропускного и внутриобъектового режима, требований охраны труда,</w:t>
      </w:r>
    </w:p>
    <w:p>
      <w:pPr>
        <w:pStyle w:val="Normal"/>
        <w:jc w:val="center"/>
        <w:rPr>
          <w:b/>
          <w:sz w:val="24"/>
          <w:szCs w:val="24"/>
        </w:rPr>
      </w:pPr>
      <w:r>
        <w:rPr>
          <w:b/>
          <w:bCs/>
          <w:sz w:val="24"/>
          <w:szCs w:val="24"/>
        </w:rPr>
        <w:t>пожарной и промышленной безопасности</w:t>
      </w:r>
    </w:p>
    <w:p>
      <w:pPr>
        <w:pStyle w:val="Normal"/>
        <w:rPr>
          <w:b/>
          <w:sz w:val="24"/>
          <w:szCs w:val="24"/>
        </w:rPr>
      </w:pPr>
      <w:r>
        <w:rPr>
          <w:b/>
          <w:sz w:val="24"/>
          <w:szCs w:val="24"/>
        </w:rPr>
      </w:r>
    </w:p>
    <w:tbl>
      <w:tblPr>
        <w:tblW w:w="5000" w:type="pct"/>
        <w:jc w:val="left"/>
        <w:tblInd w:w="0" w:type="dxa"/>
        <w:tblLayout w:type="fixed"/>
        <w:tblCellMar>
          <w:top w:w="0" w:type="dxa"/>
          <w:left w:w="108" w:type="dxa"/>
          <w:bottom w:w="0" w:type="dxa"/>
          <w:right w:w="108" w:type="dxa"/>
        </w:tblCellMar>
        <w:tblLook w:val="01e0" w:noHBand="0" w:noVBand="0" w:firstColumn="1" w:lastRow="1" w:lastColumn="1" w:firstRow="1"/>
      </w:tblPr>
      <w:tblGrid>
        <w:gridCol w:w="3670"/>
        <w:gridCol w:w="5966"/>
      </w:tblGrid>
      <w:tr>
        <w:trPr/>
        <w:tc>
          <w:tcPr>
            <w:tcW w:w="3670" w:type="dxa"/>
            <w:tcBorders>
              <w:top w:val="single" w:sz="4" w:space="0" w:color="000000"/>
              <w:left w:val="single" w:sz="4" w:space="0" w:color="000000"/>
              <w:bottom w:val="single" w:sz="4" w:space="0" w:color="000000"/>
              <w:right w:val="single" w:sz="4" w:space="0" w:color="000000"/>
            </w:tcBorders>
          </w:tcPr>
          <w:p>
            <w:pPr>
              <w:pStyle w:val="Normal"/>
              <w:widowControl w:val="false"/>
              <w:rPr>
                <w:b/>
                <w:sz w:val="24"/>
                <w:szCs w:val="24"/>
              </w:rPr>
            </w:pPr>
            <w:r>
              <w:rPr>
                <w:b/>
                <w:sz w:val="24"/>
                <w:szCs w:val="24"/>
              </w:rPr>
              <w:t>Виды нарушений</w:t>
            </w:r>
          </w:p>
        </w:tc>
        <w:tc>
          <w:tcPr>
            <w:tcW w:w="5966" w:type="dxa"/>
            <w:tcBorders>
              <w:top w:val="single" w:sz="4" w:space="0" w:color="000000"/>
              <w:left w:val="single" w:sz="4" w:space="0" w:color="000000"/>
              <w:bottom w:val="single" w:sz="4" w:space="0" w:color="000000"/>
              <w:right w:val="single" w:sz="4" w:space="0" w:color="000000"/>
            </w:tcBorders>
          </w:tcPr>
          <w:p>
            <w:pPr>
              <w:pStyle w:val="Normal"/>
              <w:widowControl w:val="false"/>
              <w:rPr>
                <w:b/>
                <w:sz w:val="24"/>
                <w:szCs w:val="24"/>
              </w:rPr>
            </w:pPr>
            <w:r>
              <w:rPr>
                <w:b/>
                <w:sz w:val="24"/>
                <w:szCs w:val="24"/>
              </w:rPr>
              <w:t>Штрафные санкции</w:t>
            </w:r>
          </w:p>
        </w:tc>
      </w:tr>
      <w:tr>
        <w:trPr/>
        <w:tc>
          <w:tcPr>
            <w:tcW w:w="3670"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1. Нарушение правил пожарной безопасности (ППБ):</w:t>
            </w:r>
          </w:p>
        </w:tc>
        <w:tc>
          <w:tcPr>
            <w:tcW w:w="5966"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r>
          </w:p>
        </w:tc>
      </w:tr>
      <w:tr>
        <w:trPr/>
        <w:tc>
          <w:tcPr>
            <w:tcW w:w="3670"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1.1. Нарушение ППБ без возникновения пожара</w:t>
            </w:r>
          </w:p>
          <w:p>
            <w:pPr>
              <w:pStyle w:val="Normal"/>
              <w:widowControl w:val="false"/>
              <w:jc w:val="both"/>
              <w:rPr>
                <w:b/>
                <w:sz w:val="24"/>
                <w:szCs w:val="24"/>
              </w:rPr>
            </w:pPr>
            <w:r>
              <w:rPr>
                <w:b/>
                <w:sz w:val="24"/>
                <w:szCs w:val="24"/>
              </w:rPr>
            </w:r>
          </w:p>
        </w:tc>
        <w:tc>
          <w:tcPr>
            <w:tcW w:w="596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25 000 (Двадцать пять тысяч) рублей за каждый случай нарушения.</w:t>
            </w:r>
          </w:p>
          <w:p>
            <w:pPr>
              <w:pStyle w:val="Normal"/>
              <w:widowControl w:val="false"/>
              <w:jc w:val="both"/>
              <w:rPr>
                <w:sz w:val="24"/>
                <w:szCs w:val="24"/>
              </w:rPr>
            </w:pPr>
            <w:r>
              <w:rPr>
                <w:sz w:val="24"/>
                <w:szCs w:val="24"/>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trPr/>
        <w:tc>
          <w:tcPr>
            <w:tcW w:w="3670"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1.2. Нарушение ППБ, ставшее причиной возникновения пожара, не причинившего ущерб имуществу Покупателя</w:t>
            </w:r>
          </w:p>
        </w:tc>
        <w:tc>
          <w:tcPr>
            <w:tcW w:w="596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50 000 (Пятьдесят тысяч) рублей за каждый случай нарушения.</w:t>
            </w:r>
          </w:p>
          <w:p>
            <w:pPr>
              <w:pStyle w:val="Normal"/>
              <w:widowControl w:val="false"/>
              <w:jc w:val="both"/>
              <w:rPr>
                <w:sz w:val="24"/>
                <w:szCs w:val="24"/>
              </w:rPr>
            </w:pPr>
            <w:r>
              <w:rPr>
                <w:sz w:val="24"/>
                <w:szCs w:val="24"/>
              </w:rPr>
              <w:t xml:space="preserve">Сумма штрафа, установленная настоящим пунктом, увеличивается на 100 (Сто) процентов по отношению </w:t>
              <w:br/>
              <w:t>к предыдущему случаю за каждое следующее нарушение.</w:t>
            </w:r>
          </w:p>
        </w:tc>
      </w:tr>
      <w:tr>
        <w:trPr/>
        <w:tc>
          <w:tcPr>
            <w:tcW w:w="3670"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1.3. Нарушение ППБ, ставшее причиной возникновения пожара, причинившего ущерб имуществу Покупателя.</w:t>
            </w:r>
          </w:p>
        </w:tc>
        <w:tc>
          <w:tcPr>
            <w:tcW w:w="596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250 000 (Двести пятьдесят тысяч) рублей за каждый случай нарушения.</w:t>
            </w:r>
          </w:p>
        </w:tc>
      </w:tr>
      <w:tr>
        <w:trPr/>
        <w:tc>
          <w:tcPr>
            <w:tcW w:w="3670"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2.</w:t>
            </w:r>
            <w:r>
              <w:rPr>
                <w:b/>
                <w:sz w:val="24"/>
                <w:szCs w:val="24"/>
              </w:rPr>
              <w:t xml:space="preserve"> </w:t>
            </w:r>
            <w:r>
              <w:rPr>
                <w:sz w:val="24"/>
                <w:szCs w:val="24"/>
              </w:rPr>
              <w:t>Нарушение пропускного и внутриобъектового режима, требований охраны труда, промышленной безопасности, охраны окружающей среды, санитарно-эпидемиологических правил и норм.</w:t>
            </w:r>
            <w:r>
              <w:rPr>
                <w:b/>
                <w:sz w:val="24"/>
                <w:szCs w:val="24"/>
              </w:rPr>
              <w:t xml:space="preserve"> </w:t>
            </w:r>
          </w:p>
        </w:tc>
        <w:tc>
          <w:tcPr>
            <w:tcW w:w="596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- 50 000 (Пятьдесят тысяч) рублей за каждый случай нарушения;</w:t>
            </w:r>
          </w:p>
          <w:p>
            <w:pPr>
              <w:pStyle w:val="Normal"/>
              <w:widowControl w:val="false"/>
              <w:jc w:val="both"/>
              <w:rPr>
                <w:sz w:val="24"/>
                <w:szCs w:val="24"/>
              </w:rPr>
            </w:pPr>
            <w:r>
              <w:rPr>
                <w:sz w:val="24"/>
                <w:szCs w:val="24"/>
              </w:rPr>
              <w:t xml:space="preserve">- 500 (Пятьсот) рублей в случае утраты или приведения в негодность электронного пропуска, выданного Покупателем. </w:t>
            </w:r>
          </w:p>
          <w:p>
            <w:pPr>
              <w:pStyle w:val="Normal"/>
              <w:widowControl w:val="false"/>
              <w:jc w:val="both"/>
              <w:rPr>
                <w:sz w:val="24"/>
                <w:szCs w:val="24"/>
              </w:rPr>
            </w:pPr>
            <w:r>
              <w:rPr>
                <w:sz w:val="24"/>
                <w:szCs w:val="24"/>
              </w:rPr>
              <w:t xml:space="preserve">Сумма штрафа, установленная настоящим пунктом, увеличивается на 100 (Сто) процентов по отношению </w:t>
              <w:br/>
              <w:t>к предыдущему случаю за каждое следующее нарушение.</w:t>
            </w:r>
          </w:p>
        </w:tc>
      </w:tr>
    </w:tbl>
    <w:p>
      <w:pPr>
        <w:pStyle w:val="Normal"/>
        <w:ind w:hanging="0" w:left="5103"/>
        <w:rPr>
          <w:sz w:val="24"/>
          <w:szCs w:val="24"/>
        </w:rPr>
      </w:pPr>
      <w:r>
        <w:rPr>
          <w:sz w:val="24"/>
          <w:szCs w:val="24"/>
        </w:rPr>
      </w:r>
    </w:p>
    <w:p>
      <w:pPr>
        <w:pStyle w:val="Normal"/>
        <w:ind w:hanging="0" w:left="5103"/>
        <w:rPr>
          <w:sz w:val="24"/>
          <w:szCs w:val="24"/>
        </w:rPr>
      </w:pPr>
      <w:r>
        <w:rPr>
          <w:sz w:val="24"/>
          <w:szCs w:val="24"/>
        </w:rPr>
      </w:r>
    </w:p>
    <w:p>
      <w:pPr>
        <w:pStyle w:val="Normal"/>
        <w:numPr>
          <w:ilvl w:val="0"/>
          <w:numId w:val="0"/>
        </w:numPr>
        <w:ind w:hanging="0" w:left="0"/>
        <w:jc w:val="center"/>
        <w:outlineLvl w:val="0"/>
        <w:rPr>
          <w:b/>
          <w:bCs/>
          <w:sz w:val="24"/>
          <w:szCs w:val="24"/>
        </w:rPr>
      </w:pPr>
      <w:r>
        <w:rPr>
          <w:b/>
          <w:bCs/>
          <w:sz w:val="24"/>
          <w:szCs w:val="24"/>
        </w:rPr>
        <w:t>ПОДПИСИ СТОРОН:</w:t>
      </w:r>
    </w:p>
    <w:p>
      <w:pPr>
        <w:pStyle w:val="Normal"/>
        <w:numPr>
          <w:ilvl w:val="0"/>
          <w:numId w:val="0"/>
        </w:numPr>
        <w:ind w:hanging="0" w:left="0"/>
        <w:jc w:val="center"/>
        <w:outlineLvl w:val="0"/>
        <w:rPr>
          <w:bCs/>
          <w:sz w:val="24"/>
          <w:szCs w:val="24"/>
        </w:rPr>
      </w:pPr>
      <w:r>
        <w:rPr>
          <w:bCs/>
          <w:sz w:val="24"/>
          <w:szCs w:val="24"/>
        </w:rPr>
      </w:r>
    </w:p>
    <w:tbl>
      <w:tblPr>
        <w:tblW w:w="9815" w:type="dxa"/>
        <w:jc w:val="left"/>
        <w:tblInd w:w="-176" w:type="dxa"/>
        <w:tblLayout w:type="fixed"/>
        <w:tblCellMar>
          <w:top w:w="0" w:type="dxa"/>
          <w:left w:w="108" w:type="dxa"/>
          <w:bottom w:w="0" w:type="dxa"/>
          <w:right w:w="108" w:type="dxa"/>
        </w:tblCellMar>
        <w:tblLook w:val="04a0" w:noHBand="0" w:noVBand="1" w:firstColumn="1" w:lastRow="0" w:lastColumn="0" w:firstRow="1"/>
      </w:tblPr>
      <w:tblGrid>
        <w:gridCol w:w="4995"/>
        <w:gridCol w:w="4819"/>
      </w:tblGrid>
      <w:tr>
        <w:trPr/>
        <w:tc>
          <w:tcPr>
            <w:tcW w:w="4995" w:type="dxa"/>
            <w:tcBorders/>
            <w:shd w:color="auto" w:fill="auto" w:val="clear"/>
          </w:tcPr>
          <w:p>
            <w:pPr>
              <w:pStyle w:val="Normal"/>
              <w:widowControl w:val="false"/>
              <w:rPr>
                <w:b/>
                <w:sz w:val="24"/>
                <w:szCs w:val="24"/>
              </w:rPr>
            </w:pPr>
            <w:r>
              <w:rPr>
                <w:b/>
                <w:sz w:val="24"/>
                <w:szCs w:val="24"/>
              </w:rPr>
              <w:t>Покупатель:</w:t>
            </w:r>
          </w:p>
          <w:p>
            <w:pPr>
              <w:pStyle w:val="Normal"/>
              <w:widowControl w:val="false"/>
              <w:spacing w:lineRule="auto" w:line="360"/>
              <w:rPr>
                <w:sz w:val="24"/>
                <w:szCs w:val="24"/>
              </w:rPr>
            </w:pPr>
            <w:r>
              <w:rPr>
                <w:sz w:val="24"/>
                <w:szCs w:val="24"/>
              </w:rPr>
            </w:r>
          </w:p>
          <w:p>
            <w:pPr>
              <w:pStyle w:val="Normal"/>
              <w:widowControl w:val="false"/>
              <w:spacing w:lineRule="auto" w:line="360"/>
              <w:rPr>
                <w:sz w:val="24"/>
                <w:szCs w:val="24"/>
              </w:rPr>
            </w:pPr>
            <w:r>
              <w:rPr>
                <w:sz w:val="24"/>
                <w:szCs w:val="24"/>
              </w:rPr>
              <w:t>_____________________/_____________</w:t>
            </w:r>
          </w:p>
          <w:p>
            <w:pPr>
              <w:pStyle w:val="Normal"/>
              <w:widowControl w:val="false"/>
              <w:spacing w:lineRule="auto" w:line="360"/>
              <w:rPr>
                <w:sz w:val="24"/>
                <w:szCs w:val="24"/>
              </w:rPr>
            </w:pPr>
            <w:r>
              <w:rPr>
                <w:sz w:val="24"/>
                <w:szCs w:val="24"/>
              </w:rPr>
            </w:r>
          </w:p>
        </w:tc>
        <w:tc>
          <w:tcPr>
            <w:tcW w:w="4819" w:type="dxa"/>
            <w:tcBorders/>
            <w:shd w:color="auto" w:fill="auto" w:val="clear"/>
          </w:tcPr>
          <w:p>
            <w:pPr>
              <w:pStyle w:val="Normal"/>
              <w:widowControl w:val="false"/>
              <w:ind w:firstLine="34"/>
              <w:rPr>
                <w:b/>
                <w:sz w:val="24"/>
                <w:szCs w:val="24"/>
              </w:rPr>
            </w:pPr>
            <w:r>
              <w:rPr>
                <w:b/>
                <w:sz w:val="24"/>
                <w:szCs w:val="24"/>
              </w:rPr>
              <w:t>Поставщик:</w:t>
            </w:r>
          </w:p>
          <w:p>
            <w:pPr>
              <w:pStyle w:val="Normal"/>
              <w:widowControl w:val="false"/>
              <w:spacing w:lineRule="auto" w:line="360"/>
              <w:rPr>
                <w:sz w:val="24"/>
                <w:szCs w:val="24"/>
              </w:rPr>
            </w:pPr>
            <w:r>
              <w:rPr>
                <w:sz w:val="24"/>
                <w:szCs w:val="24"/>
              </w:rPr>
            </w:r>
          </w:p>
          <w:p>
            <w:pPr>
              <w:pStyle w:val="Normal"/>
              <w:widowControl w:val="false"/>
              <w:spacing w:lineRule="auto" w:line="360"/>
              <w:rPr>
                <w:sz w:val="24"/>
                <w:szCs w:val="24"/>
              </w:rPr>
            </w:pPr>
            <w:r>
              <w:rPr>
                <w:sz w:val="24"/>
                <w:szCs w:val="24"/>
              </w:rPr>
              <w:t>_____________________/_____________</w:t>
            </w:r>
          </w:p>
          <w:p>
            <w:pPr>
              <w:pStyle w:val="Normal"/>
              <w:widowControl w:val="false"/>
              <w:spacing w:lineRule="auto" w:line="360"/>
              <w:ind w:firstLine="33"/>
              <w:rPr>
                <w:b/>
                <w:sz w:val="24"/>
                <w:szCs w:val="24"/>
              </w:rPr>
            </w:pPr>
            <w:r>
              <w:rPr>
                <w:b/>
                <w:sz w:val="24"/>
                <w:szCs w:val="24"/>
              </w:rPr>
            </w:r>
          </w:p>
        </w:tc>
      </w:tr>
    </w:tbl>
    <w:p>
      <w:pPr>
        <w:pStyle w:val="Normal"/>
        <w:ind w:hanging="0" w:left="5103"/>
        <w:rPr>
          <w:b/>
          <w:bCs/>
          <w:sz w:val="24"/>
          <w:szCs w:val="24"/>
        </w:rPr>
      </w:pPr>
      <w:r>
        <w:rPr>
          <w:b/>
          <w:bCs/>
          <w:sz w:val="24"/>
          <w:szCs w:val="24"/>
        </w:rPr>
      </w:r>
    </w:p>
    <w:p>
      <w:pPr>
        <w:pStyle w:val="Normal"/>
        <w:widowControl/>
        <w:rPr>
          <w:b/>
          <w:bCs/>
          <w:sz w:val="24"/>
          <w:szCs w:val="24"/>
        </w:rPr>
      </w:pPr>
      <w:r>
        <w:rPr>
          <w:sz w:val="24"/>
          <w:szCs w:val="24"/>
        </w:rPr>
      </w:r>
    </w:p>
    <w:sectPr>
      <w:headerReference w:type="default" r:id="rId8"/>
      <w:headerReference w:type="first" r:id="rId9"/>
      <w:footerReference w:type="default" r:id="rId10"/>
      <w:footerReference w:type="first" r:id="rId11"/>
      <w:footnotePr>
        <w:numFmt w:val="decimal"/>
      </w:footnotePr>
      <w:type w:val="nextPage"/>
      <w:pgSz w:w="11906" w:h="16838"/>
      <w:pgMar w:left="1418" w:right="851" w:gutter="0" w:header="567" w:top="1134" w:footer="314" w:bottom="851"/>
      <w:pgNumType w:fmt="decimal"/>
      <w:formProt w:val="false"/>
      <w:textDirection w:val="lrTb"/>
      <w:docGrid w:type="default" w:linePitch="360" w:charSpace="16384"/>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Arial">
    <w:charset w:val="01"/>
    <w:family w:val="roman"/>
    <w:pitch w:val="variable"/>
  </w:font>
  <w:font w:name="Cambria">
    <w:charset w:val="01"/>
    <w:family w:val="roman"/>
    <w:pitch w:val="variable"/>
  </w:font>
  <w:font w:name="Liberation Sans">
    <w:altName w:val="Arial"/>
    <w:charset w:val="01"/>
    <w:family w:val="roman"/>
    <w:pitch w:val="variable"/>
  </w:font>
  <w:font w:name="Courier New">
    <w:charset w:val="01"/>
    <w:family w:val="roman"/>
    <w:pitch w:val="variable"/>
  </w:font>
  <w:font w:name="Tahoma">
    <w:charset w:val="01"/>
    <w:family w:val="roman"/>
    <w:pitch w:val="variable"/>
  </w:font>
  <w:font w:name="Verdana">
    <w:charset w:val="01"/>
    <w:family w:val="roman"/>
    <w:pitch w:val="variable"/>
  </w:font>
  <w:font w:name="Calibri">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fldChar w:fldCharType="begin"/>
    </w:r>
    <w:r>
      <w:rPr/>
      <w:instrText xml:space="preserve"> PAGE </w:instrText>
    </w:r>
    <w:r>
      <w:rPr/>
      <w:fldChar w:fldCharType="separate"/>
    </w:r>
    <w:r>
      <w:rPr/>
      <w:t>16</w:t>
    </w:r>
    <w:r>
      <w:rPr/>
      <w:fldChar w:fldCharType="end"/>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sz w:val="24"/>
        <w:szCs w:val="24"/>
      </w:rPr>
      <w:fldChar w:fldCharType="begin"/>
    </w:r>
    <w:r>
      <w:rPr>
        <w:sz w:val="24"/>
        <w:szCs w:val="24"/>
      </w:rPr>
      <w:instrText xml:space="preserve"> PAGE </w:instrText>
    </w:r>
    <w:r>
      <w:rPr>
        <w:sz w:val="24"/>
        <w:szCs w:val="24"/>
      </w:rPr>
      <w:fldChar w:fldCharType="separate"/>
    </w:r>
    <w:r>
      <w:rPr>
        <w:sz w:val="24"/>
        <w:szCs w:val="24"/>
      </w:rPr>
      <w:t>19</w:t>
    </w:r>
    <w:r>
      <w:rPr>
        <w:sz w:val="24"/>
        <w:szCs w:val="24"/>
      </w:rPr>
      <w:fldChar w:fldCharType="end"/>
    </w:r>
  </w:p>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pPr>
      <w:r>
        <w:rPr>
          <w:rStyle w:val="Style14"/>
        </w:rPr>
        <w:footnoteRef/>
      </w:r>
      <w:r>
        <w:rPr/>
        <w:t xml:space="preserve"> </w:t>
      </w:r>
      <w:r>
        <w:rPr/>
        <w:t xml:space="preserve">В соответствии с Общероссийским классификатором стран мира (утв. постановлением Госстандарта России </w:t>
        <w:br/>
        <w:t>от 14.12.2001 № 529-ст).</w:t>
      </w:r>
    </w:p>
  </w:footnote>
  <w:footnote w:id="3">
    <w:p>
      <w:pPr>
        <w:pStyle w:val="FootnoteText"/>
        <w:jc w:val="both"/>
        <w:rPr/>
      </w:pPr>
      <w:r>
        <w:rPr>
          <w:rStyle w:val="Style14"/>
        </w:rPr>
        <w:footnoteRef/>
      </w:r>
      <w:r>
        <w:rPr/>
        <w:t xml:space="preserve"> </w:t>
      </w:r>
      <w:r>
        <w:rPr>
          <w:bCs/>
        </w:rPr>
        <w:t>Порядковый номер (номера) реестровой записи (реестровых записей), под которой (которыми) Товар  включен</w:t>
      </w:r>
      <w:bookmarkStart w:id="11" w:name="_GoBack_Копия_1_Копия_1_Копия_1_Копия_1_"/>
      <w:bookmarkEnd w:id="11"/>
      <w:r>
        <w:rPr>
          <w:bCs/>
        </w:rPr>
        <w:t xml:space="preserve"> в реестры, предусмотренные пунктом 3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либо иным нормативно-правовым актом, устанавливающим защитные меры в соответствии с законодательством о Национальном режиме</w:t>
      </w:r>
      <w:r>
        <w:rPr>
          <w:rFonts w:eastAsia="Calibri" w:eastAsiaTheme="minorHAnsi"/>
          <w:lang w:eastAsia="en-US"/>
        </w:rPr>
        <w:t>.</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09"/>
        <w:tab w:val="left" w:pos="1875" w:leader="none"/>
        <w:tab w:val="center" w:pos="4153" w:leader="none"/>
        <w:tab w:val="right" w:pos="8364" w:leader="none"/>
      </w:tabs>
      <w:ind w:hanging="426" w:left="8364"/>
      <w:rPr>
        <w:i/>
        <w:i/>
      </w:rPr>
    </w:pPr>
    <w:r>
      <w:rPr/>
      <w:t xml:space="preserve">ТФД № </w:t>
    </w:r>
    <w:r>
      <w:rPr>
        <w:lang w:val="en-US"/>
      </w:rPr>
      <w:t>2</w:t>
    </w:r>
    <w:r>
      <w:rPr/>
      <w:t>.2.3.</w: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t xml:space="preserve"> </w:t>
    </w:r>
    <w:r>
      <w:rPr/>
      <w:t>ТФД № 2.2.3.</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360"/>
        </w:tabs>
        <w:ind w:left="360" w:hanging="360"/>
      </w:pPr>
      <w:rPr/>
    </w:lvl>
    <w:lvl w:ilvl="1">
      <w:start w:val="1"/>
      <w:numFmt w:val="decimal"/>
      <w:lvlText w:val="%1.%2."/>
      <w:lvlJc w:val="left"/>
      <w:pPr>
        <w:tabs>
          <w:tab w:val="num" w:pos="1851"/>
        </w:tabs>
        <w:ind w:left="1851" w:hanging="432"/>
      </w:pPr>
      <w:rPr>
        <w:sz w:val="24"/>
        <w:b w:val="false"/>
        <w:szCs w:val="24"/>
      </w:rPr>
    </w:lvl>
    <w:lvl w:ilvl="2">
      <w:start w:val="1"/>
      <w:numFmt w:val="decimal"/>
      <w:lvlText w:val="%1.%2.%3."/>
      <w:lvlJc w:val="left"/>
      <w:pPr>
        <w:tabs>
          <w:tab w:val="num" w:pos="1855"/>
        </w:tabs>
        <w:ind w:left="1639" w:hanging="504"/>
      </w:pPr>
      <w:rPr>
        <w:sz w:val="24"/>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3">
    <w:lvl w:ilvl="0">
      <w:start w:val="1"/>
      <w:numFmt w:val="bullet"/>
      <w:lvlText w:val=""/>
      <w:lvlJc w:val="left"/>
      <w:pPr>
        <w:tabs>
          <w:tab w:val="num" w:pos="1353"/>
        </w:tabs>
        <w:ind w:left="1353"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5">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9">
    <w:lvl w:ilvl="0">
      <w:start w:val="2"/>
      <w:numFmt w:val="decimal"/>
      <w:lvlText w:val="%1."/>
      <w:lvlJc w:val="left"/>
      <w:pPr>
        <w:tabs>
          <w:tab w:val="num" w:pos="0"/>
        </w:tabs>
        <w:ind w:left="540" w:hanging="540"/>
      </w:pPr>
      <w:rPr/>
    </w:lvl>
    <w:lvl w:ilvl="1">
      <w:start w:val="3"/>
      <w:numFmt w:val="decimal"/>
      <w:lvlText w:val="%1.%2."/>
      <w:lvlJc w:val="left"/>
      <w:pPr>
        <w:tabs>
          <w:tab w:val="num" w:pos="0"/>
        </w:tabs>
        <w:ind w:left="1107" w:hanging="540"/>
      </w:pPr>
      <w:rPr/>
    </w:lvl>
    <w:lvl w:ilvl="2">
      <w:start w:val="2"/>
      <w:numFmt w:val="decimal"/>
      <w:lvlText w:val="%1.%2.%3."/>
      <w:lvlJc w:val="left"/>
      <w:pPr>
        <w:tabs>
          <w:tab w:val="num" w:pos="0"/>
        </w:tabs>
        <w:ind w:left="1854" w:hanging="720"/>
      </w:pPr>
      <w:rPr/>
    </w:lvl>
    <w:lvl w:ilvl="3">
      <w:start w:val="1"/>
      <w:numFmt w:val="decimal"/>
      <w:lvlText w:val="%1.%2.%3.%4."/>
      <w:lvlJc w:val="left"/>
      <w:pPr>
        <w:tabs>
          <w:tab w:val="num" w:pos="0"/>
        </w:tabs>
        <w:ind w:left="2421" w:hanging="720"/>
      </w:pPr>
      <w:rPr/>
    </w:lvl>
    <w:lvl w:ilvl="4">
      <w:start w:val="1"/>
      <w:numFmt w:val="decimal"/>
      <w:lvlText w:val="%1.%2.%3.%4.%5."/>
      <w:lvlJc w:val="left"/>
      <w:pPr>
        <w:tabs>
          <w:tab w:val="num" w:pos="0"/>
        </w:tabs>
        <w:ind w:left="3348" w:hanging="1080"/>
      </w:pPr>
      <w:rPr/>
    </w:lvl>
    <w:lvl w:ilvl="5">
      <w:start w:val="1"/>
      <w:numFmt w:val="decimal"/>
      <w:lvlText w:val="%1.%2.%3.%4.%5.%6."/>
      <w:lvlJc w:val="left"/>
      <w:pPr>
        <w:tabs>
          <w:tab w:val="num" w:pos="0"/>
        </w:tabs>
        <w:ind w:left="3915" w:hanging="1080"/>
      </w:pPr>
      <w:rPr/>
    </w:lvl>
    <w:lvl w:ilvl="6">
      <w:start w:val="1"/>
      <w:numFmt w:val="decimal"/>
      <w:lvlText w:val="%1.%2.%3.%4.%5.%6.%7."/>
      <w:lvlJc w:val="left"/>
      <w:pPr>
        <w:tabs>
          <w:tab w:val="num" w:pos="0"/>
        </w:tabs>
        <w:ind w:left="4842" w:hanging="1440"/>
      </w:pPr>
      <w:rPr/>
    </w:lvl>
    <w:lvl w:ilvl="7">
      <w:start w:val="1"/>
      <w:numFmt w:val="decimal"/>
      <w:lvlText w:val="%1.%2.%3.%4.%5.%6.%7.%8."/>
      <w:lvlJc w:val="left"/>
      <w:pPr>
        <w:tabs>
          <w:tab w:val="num" w:pos="0"/>
        </w:tabs>
        <w:ind w:left="5409" w:hanging="1440"/>
      </w:pPr>
      <w:rPr/>
    </w:lvl>
    <w:lvl w:ilvl="8">
      <w:start w:val="1"/>
      <w:numFmt w:val="decimal"/>
      <w:lvlText w:val="%1.%2.%3.%4.%5.%6.%7.%8.%9."/>
      <w:lvlJc w:val="left"/>
      <w:pPr>
        <w:tabs>
          <w:tab w:val="num" w:pos="0"/>
        </w:tabs>
        <w:ind w:left="6336" w:hanging="180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w="http://schemas.openxmlformats.org/wordprocessingml/2006/main">
  <w:zoom w:percent="80"/>
  <w:defaultTabStop w:val="709"/>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semiHidden="1" w:unhideWhenUsed="1"/>
    <w:lsdException w:name="annotation text" w:semiHidden="1" w:unhideWhenUsed="1"/>
    <w:lsdException w:name="header" w:uiPriority="99"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99"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uiPriority="99"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99"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3b206e"/>
    <w:pPr>
      <w:widowControl w:val="false"/>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ing1">
    <w:name w:val="Heading 1"/>
    <w:basedOn w:val="Normal"/>
    <w:next w:val="Normal"/>
    <w:qFormat/>
    <w:rsid w:val="00a264b0"/>
    <w:pPr>
      <w:keepNext w:val="true"/>
      <w:spacing w:before="240" w:after="60"/>
      <w:outlineLvl w:val="0"/>
    </w:pPr>
    <w:rPr>
      <w:rFonts w:ascii="Arial" w:hAnsi="Arial" w:cs="Arial"/>
      <w:b/>
      <w:bCs/>
      <w:kern w:val="2"/>
      <w:sz w:val="32"/>
      <w:szCs w:val="32"/>
    </w:rPr>
  </w:style>
  <w:style w:type="paragraph" w:styleId="Heading3">
    <w:name w:val="Heading 3"/>
    <w:basedOn w:val="Normal"/>
    <w:next w:val="Normal"/>
    <w:link w:val="31"/>
    <w:qFormat/>
    <w:rsid w:val="001b1bd9"/>
    <w:pPr>
      <w:keepNext w:val="true"/>
      <w:keepLines/>
      <w:spacing w:before="200" w:after="0"/>
      <w:outlineLvl w:val="2"/>
    </w:pPr>
    <w:rPr>
      <w:rFonts w:ascii="Cambria" w:hAnsi="Cambria"/>
      <w:b/>
      <w:bCs/>
      <w:color w:val="4F81BD"/>
      <w:lang w:val="x-none" w:eastAsia="x-none"/>
    </w:rPr>
  </w:style>
  <w:style w:type="character" w:styleId="DefaultParagraphFont" w:default="1">
    <w:name w:val="Default Paragraph Font"/>
    <w:uiPriority w:val="1"/>
    <w:semiHidden/>
    <w:unhideWhenUsed/>
    <w:qFormat/>
    <w:rPr/>
  </w:style>
  <w:style w:type="character" w:styleId="Style7" w:customStyle="1">
    <w:name w:val="Заголовок Знак"/>
    <w:qFormat/>
    <w:locked/>
    <w:rsid w:val="00565582"/>
    <w:rPr>
      <w:b/>
      <w:bCs/>
      <w:sz w:val="24"/>
      <w:szCs w:val="24"/>
      <w:lang w:val="ru-RU" w:eastAsia="ru-RU" w:bidi="ar-SA"/>
    </w:rPr>
  </w:style>
  <w:style w:type="character" w:styleId="Style8" w:customStyle="1">
    <w:name w:val="Основной текст Знак"/>
    <w:qFormat/>
    <w:rsid w:val="00565582"/>
    <w:rPr>
      <w:lang w:val="ru-RU" w:eastAsia="ru-RU" w:bidi="ar-SA"/>
    </w:rPr>
  </w:style>
  <w:style w:type="character" w:styleId="Pagenumber">
    <w:name w:val="page number"/>
    <w:basedOn w:val="DefaultParagraphFont"/>
    <w:qFormat/>
    <w:rsid w:val="008b02a1"/>
    <w:rPr/>
  </w:style>
  <w:style w:type="character" w:styleId="3" w:customStyle="1">
    <w:name w:val="Основной текст 3 Знак"/>
    <w:link w:val="BodyText3"/>
    <w:qFormat/>
    <w:rsid w:val="005a0965"/>
    <w:rPr>
      <w:sz w:val="16"/>
      <w:szCs w:val="16"/>
    </w:rPr>
  </w:style>
  <w:style w:type="character" w:styleId="Annotationreference">
    <w:name w:val="annotation reference"/>
    <w:qFormat/>
    <w:rsid w:val="00d36934"/>
    <w:rPr>
      <w:sz w:val="16"/>
      <w:szCs w:val="16"/>
    </w:rPr>
  </w:style>
  <w:style w:type="character" w:styleId="Style9" w:customStyle="1">
    <w:name w:val="Текст примечания Знак"/>
    <w:basedOn w:val="DefaultParagraphFont"/>
    <w:link w:val="Annotationtext"/>
    <w:qFormat/>
    <w:rsid w:val="00d36934"/>
    <w:rPr/>
  </w:style>
  <w:style w:type="character" w:styleId="Style10" w:customStyle="1">
    <w:name w:val="Тема примечания Знак"/>
    <w:link w:val="Annotationsubject"/>
    <w:uiPriority w:val="99"/>
    <w:qFormat/>
    <w:rsid w:val="00d36934"/>
    <w:rPr>
      <w:b/>
      <w:bCs/>
    </w:rPr>
  </w:style>
  <w:style w:type="character" w:styleId="31" w:customStyle="1">
    <w:name w:val="Заголовок 3 Знак"/>
    <w:semiHidden/>
    <w:qFormat/>
    <w:rsid w:val="001b1bd9"/>
    <w:rPr>
      <w:rFonts w:ascii="Cambria" w:hAnsi="Cambria" w:eastAsia="Times New Roman" w:cs="Times New Roman"/>
      <w:b/>
      <w:bCs/>
      <w:color w:val="4F81BD"/>
    </w:rPr>
  </w:style>
  <w:style w:type="character" w:styleId="Style11" w:customStyle="1">
    <w:name w:val="Основной текст с отступом Знак"/>
    <w:basedOn w:val="DefaultParagraphFont"/>
    <w:qFormat/>
    <w:rsid w:val="00e00bca"/>
    <w:rPr/>
  </w:style>
  <w:style w:type="character" w:styleId="Style12" w:customStyle="1">
    <w:name w:val="комментарий"/>
    <w:uiPriority w:val="99"/>
    <w:qFormat/>
    <w:rsid w:val="00d562c0"/>
    <w:rPr>
      <w:rFonts w:cs="Times New Roman"/>
      <w:b/>
      <w:bCs/>
      <w:i/>
      <w:iCs/>
      <w:shd w:fill="FFFF99" w:val="clear"/>
    </w:rPr>
  </w:style>
  <w:style w:type="character" w:styleId="Style13" w:customStyle="1">
    <w:name w:val="Текст сноски Знак"/>
    <w:basedOn w:val="DefaultParagraphFont"/>
    <w:uiPriority w:val="99"/>
    <w:qFormat/>
    <w:rsid w:val="00f47c6a"/>
    <w:rPr/>
  </w:style>
  <w:style w:type="character" w:styleId="Style14" w:customStyle="1">
    <w:name w:val="Символ сноски"/>
    <w:uiPriority w:val="99"/>
    <w:qFormat/>
    <w:rsid w:val="00f47c6a"/>
    <w:rPr>
      <w:vertAlign w:val="superscript"/>
    </w:rPr>
  </w:style>
  <w:style w:type="character" w:styleId="FootnoteReference">
    <w:name w:val="Footnote Reference"/>
    <w:rPr>
      <w:vertAlign w:val="superscript"/>
    </w:rPr>
  </w:style>
  <w:style w:type="character" w:styleId="Style15" w:customStyle="1">
    <w:name w:val="Верхний колонтитул Знак"/>
    <w:basedOn w:val="DefaultParagraphFont"/>
    <w:uiPriority w:val="99"/>
    <w:qFormat/>
    <w:rsid w:val="000449a5"/>
    <w:rPr/>
  </w:style>
  <w:style w:type="character" w:styleId="Hyperlink">
    <w:name w:val="Hyperlink"/>
    <w:rsid w:val="005e6f32"/>
    <w:rPr>
      <w:color w:val="0000FF"/>
      <w:u w:val="single"/>
    </w:rPr>
  </w:style>
  <w:style w:type="character" w:styleId="Style16" w:customStyle="1">
    <w:name w:val="Нижний колонтитул Знак"/>
    <w:uiPriority w:val="99"/>
    <w:qFormat/>
    <w:rsid w:val="00d925fb"/>
    <w:rPr/>
  </w:style>
  <w:style w:type="character" w:styleId="Style17" w:customStyle="1">
    <w:name w:val="Абзац списка Знак"/>
    <w:link w:val="ListParagraph"/>
    <w:uiPriority w:val="34"/>
    <w:qFormat/>
    <w:locked/>
    <w:rsid w:val="00182860"/>
    <w:rPr/>
  </w:style>
  <w:style w:type="character" w:styleId="Linenumber">
    <w:name w:val="line number"/>
    <w:qFormat/>
    <w:rPr/>
  </w:style>
  <w:style w:type="character" w:styleId="Style18" w:customStyle="1">
    <w:name w:val="Символ концевой сноски"/>
    <w:qFormat/>
    <w:rPr>
      <w:vertAlign w:val="superscript"/>
    </w:rPr>
  </w:style>
  <w:style w:type="character" w:styleId="EndnoteReference">
    <w:name w:val="Endnote Reference"/>
    <w:rPr>
      <w:vertAlign w:val="superscript"/>
    </w:rPr>
  </w:style>
  <w:style w:type="character" w:styleId="FollowedHyperlink">
    <w:name w:val="FollowedHyperlink"/>
    <w:rPr>
      <w:color w:val="800000"/>
      <w:u w:val="single"/>
    </w:rPr>
  </w:style>
  <w:style w:type="character" w:styleId="Style19">
    <w:name w:val="Символ нумерации"/>
    <w:qFormat/>
    <w:rPr/>
  </w:style>
  <w:style w:type="paragraph" w:styleId="Style20">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link w:val="Style8"/>
    <w:rsid w:val="00084bde"/>
    <w:pPr>
      <w:spacing w:before="0" w:after="120"/>
    </w:pPr>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21">
    <w:name w:val="Указатель"/>
    <w:basedOn w:val="Normal"/>
    <w:qFormat/>
    <w:pPr>
      <w:suppressLineNumbers/>
    </w:pPr>
    <w:rPr/>
  </w:style>
  <w:style w:type="paragraph" w:styleId="Title">
    <w:name w:val="Title"/>
    <w:basedOn w:val="Normal"/>
    <w:next w:val="BodyText"/>
    <w:link w:val="Style7"/>
    <w:qFormat/>
    <w:rsid w:val="00a264b0"/>
    <w:pPr>
      <w:jc w:val="center"/>
    </w:pPr>
    <w:rPr>
      <w:b/>
      <w:bCs/>
      <w:sz w:val="24"/>
      <w:szCs w:val="24"/>
    </w:rPr>
  </w:style>
  <w:style w:type="paragraph" w:styleId="Caption1">
    <w:name w:val="caption1"/>
    <w:basedOn w:val="Normal"/>
    <w:qFormat/>
    <w:pPr>
      <w:suppressLineNumbers/>
      <w:spacing w:before="120" w:after="120"/>
    </w:pPr>
    <w:rPr>
      <w:i/>
      <w:iCs/>
      <w:sz w:val="24"/>
      <w:szCs w:val="24"/>
    </w:rPr>
  </w:style>
  <w:style w:type="paragraph" w:styleId="Indexheading">
    <w:name w:val="index heading"/>
    <w:basedOn w:val="Normal"/>
    <w:qFormat/>
    <w:pPr>
      <w:suppressLineNumbers/>
    </w:pPr>
    <w:rPr/>
  </w:style>
  <w:style w:type="paragraph" w:styleId="Style22" w:customStyle="1">
    <w:name w:val="Таблицы (моноширинный)"/>
    <w:basedOn w:val="Normal"/>
    <w:next w:val="Normal"/>
    <w:qFormat/>
    <w:rsid w:val="00a264b0"/>
    <w:pPr>
      <w:jc w:val="both"/>
    </w:pPr>
    <w:rPr>
      <w:rFonts w:ascii="Courier New" w:hAnsi="Courier New" w:cs="Courier New"/>
    </w:rPr>
  </w:style>
  <w:style w:type="paragraph" w:styleId="BodyTextIndent2">
    <w:name w:val="Body Text Indent 2"/>
    <w:basedOn w:val="Normal"/>
    <w:qFormat/>
    <w:rsid w:val="00a264b0"/>
    <w:pPr>
      <w:ind w:hanging="0" w:left="1843"/>
      <w:jc w:val="both"/>
    </w:pPr>
    <w:rPr>
      <w:sz w:val="24"/>
    </w:rPr>
  </w:style>
  <w:style w:type="paragraph" w:styleId="BalloonText">
    <w:name w:val="Balloon Text"/>
    <w:basedOn w:val="Normal"/>
    <w:semiHidden/>
    <w:qFormat/>
    <w:rsid w:val="00080acb"/>
    <w:pPr/>
    <w:rPr>
      <w:rFonts w:ascii="Tahoma" w:hAnsi="Tahoma" w:cs="Tahoma"/>
      <w:sz w:val="16"/>
      <w:szCs w:val="16"/>
    </w:rPr>
  </w:style>
  <w:style w:type="paragraph" w:styleId="BodyText2">
    <w:name w:val="Body Text 2"/>
    <w:basedOn w:val="Normal"/>
    <w:qFormat/>
    <w:rsid w:val="006257f9"/>
    <w:pPr>
      <w:widowControl/>
      <w:spacing w:lineRule="auto" w:line="480" w:before="0" w:after="120"/>
    </w:pPr>
    <w:rPr>
      <w:sz w:val="24"/>
      <w:szCs w:val="24"/>
    </w:rPr>
  </w:style>
  <w:style w:type="paragraph" w:styleId="Style23" w:customStyle="1">
    <w:name w:val="Колонтитул"/>
    <w:basedOn w:val="Normal"/>
    <w:qFormat/>
    <w:pPr/>
    <w:rPr/>
  </w:style>
  <w:style w:type="paragraph" w:styleId="Footer">
    <w:name w:val="Footer"/>
    <w:basedOn w:val="Normal"/>
    <w:link w:val="Style16"/>
    <w:uiPriority w:val="99"/>
    <w:rsid w:val="008b02a1"/>
    <w:pPr>
      <w:tabs>
        <w:tab w:val="clear" w:pos="709"/>
        <w:tab w:val="center" w:pos="4677" w:leader="none"/>
        <w:tab w:val="right" w:pos="9355" w:leader="none"/>
      </w:tabs>
    </w:pPr>
    <w:rPr/>
  </w:style>
  <w:style w:type="paragraph" w:styleId="BodyText3">
    <w:name w:val="Body Text 3"/>
    <w:basedOn w:val="Normal"/>
    <w:link w:val="3"/>
    <w:qFormat/>
    <w:rsid w:val="005a0965"/>
    <w:pPr>
      <w:spacing w:before="0" w:after="120"/>
    </w:pPr>
    <w:rPr>
      <w:sz w:val="16"/>
      <w:szCs w:val="16"/>
      <w:lang w:val="x-none" w:eastAsia="x-none"/>
    </w:rPr>
  </w:style>
  <w:style w:type="paragraph" w:styleId="Annotationtext">
    <w:name w:val="annotation text"/>
    <w:basedOn w:val="Normal"/>
    <w:link w:val="Style9"/>
    <w:qFormat/>
    <w:rsid w:val="00d36934"/>
    <w:pPr/>
    <w:rPr/>
  </w:style>
  <w:style w:type="paragraph" w:styleId="Annotationsubject">
    <w:name w:val="annotation subject"/>
    <w:basedOn w:val="Annotationtext"/>
    <w:next w:val="Annotationtext"/>
    <w:link w:val="Style10"/>
    <w:uiPriority w:val="99"/>
    <w:qFormat/>
    <w:rsid w:val="00d36934"/>
    <w:pPr/>
    <w:rPr>
      <w:b/>
      <w:bCs/>
      <w:lang w:val="x-none" w:eastAsia="x-none"/>
    </w:rPr>
  </w:style>
  <w:style w:type="paragraph" w:styleId="ListParagraph">
    <w:name w:val="List Paragraph"/>
    <w:basedOn w:val="Normal"/>
    <w:link w:val="Style17"/>
    <w:uiPriority w:val="34"/>
    <w:qFormat/>
    <w:rsid w:val="00ec6e7d"/>
    <w:pPr>
      <w:spacing w:before="0" w:after="0"/>
      <w:ind w:hanging="0" w:left="720"/>
      <w:contextualSpacing/>
    </w:pPr>
    <w:rPr/>
  </w:style>
  <w:style w:type="paragraph" w:styleId="Style24" w:customStyle="1">
    <w:name w:val="Знак Знак Знак Знак Знак Знак Знак Знак Знак"/>
    <w:basedOn w:val="Normal"/>
    <w:uiPriority w:val="99"/>
    <w:qFormat/>
    <w:rsid w:val="00d31bfd"/>
    <w:pPr>
      <w:widowControl/>
      <w:spacing w:lineRule="exact" w:line="240" w:before="0" w:after="160"/>
      <w:jc w:val="both"/>
    </w:pPr>
    <w:rPr>
      <w:rFonts w:ascii="Verdana" w:hAnsi="Verdana"/>
      <w:sz w:val="22"/>
      <w:lang w:val="en-US" w:eastAsia="en-US"/>
    </w:rPr>
  </w:style>
  <w:style w:type="paragraph" w:styleId="Style25" w:customStyle="1">
    <w:name w:val="Подпункт договора"/>
    <w:basedOn w:val="Normal"/>
    <w:qFormat/>
    <w:rsid w:val="00d31bfd"/>
    <w:pPr>
      <w:widowControl/>
      <w:tabs>
        <w:tab w:val="clear" w:pos="709"/>
        <w:tab w:val="left" w:pos="360" w:leader="none"/>
      </w:tabs>
      <w:jc w:val="both"/>
    </w:pPr>
    <w:rPr>
      <w:rFonts w:ascii="Arial" w:hAnsi="Arial"/>
    </w:rPr>
  </w:style>
  <w:style w:type="paragraph" w:styleId="ConsNormal" w:customStyle="1">
    <w:name w:val="ConsNormal"/>
    <w:qFormat/>
    <w:rsid w:val="00b53021"/>
    <w:pPr>
      <w:widowControl/>
      <w:suppressAutoHyphens w:val="true"/>
      <w:bidi w:val="0"/>
      <w:spacing w:before="0" w:after="0"/>
      <w:ind w:firstLine="720" w:right="19772"/>
      <w:jc w:val="left"/>
    </w:pPr>
    <w:rPr>
      <w:rFonts w:ascii="Arial" w:hAnsi="Arial" w:eastAsia="Times New Roman" w:cs="Times New Roman"/>
      <w:color w:val="auto"/>
      <w:kern w:val="0"/>
      <w:sz w:val="32"/>
      <w:szCs w:val="20"/>
      <w:lang w:val="ru-RU" w:eastAsia="en-US" w:bidi="ar-SA"/>
    </w:rPr>
  </w:style>
  <w:style w:type="paragraph" w:styleId="BodyTextIndent">
    <w:name w:val="Body Text Indent"/>
    <w:basedOn w:val="Normal"/>
    <w:link w:val="Style11"/>
    <w:rsid w:val="00e00bca"/>
    <w:pPr>
      <w:spacing w:before="0" w:after="120"/>
      <w:ind w:hanging="0" w:left="283"/>
    </w:pPr>
    <w:rPr/>
  </w:style>
  <w:style w:type="paragraph" w:styleId="Style26" w:customStyle="1">
    <w:name w:val="Знак"/>
    <w:basedOn w:val="Normal"/>
    <w:qFormat/>
    <w:rsid w:val="00d562c0"/>
    <w:pPr>
      <w:widowControl/>
      <w:spacing w:lineRule="exact" w:line="240" w:before="0" w:after="160"/>
    </w:pPr>
    <w:rPr>
      <w:rFonts w:ascii="Verdana" w:hAnsi="Verdana" w:cs="Verdana"/>
      <w:lang w:val="en-US" w:eastAsia="en-US"/>
    </w:rPr>
  </w:style>
  <w:style w:type="paragraph" w:styleId="FootnoteText">
    <w:name w:val="Footnote Text"/>
    <w:basedOn w:val="Normal"/>
    <w:link w:val="Style13"/>
    <w:uiPriority w:val="99"/>
    <w:rsid w:val="00f47c6a"/>
    <w:pPr/>
    <w:rPr/>
  </w:style>
  <w:style w:type="paragraph" w:styleId="ListBullet3">
    <w:name w:val="List Bullet 3"/>
    <w:basedOn w:val="Normal"/>
    <w:uiPriority w:val="99"/>
    <w:unhideWhenUsed/>
    <w:qFormat/>
    <w:rsid w:val="00fa3bf9"/>
    <w:pPr>
      <w:widowControl/>
      <w:tabs>
        <w:tab w:val="clear" w:pos="709"/>
        <w:tab w:val="left" w:pos="1418" w:leader="none"/>
      </w:tabs>
      <w:spacing w:lineRule="auto" w:line="360" w:before="120" w:after="0"/>
      <w:ind w:firstLine="720"/>
      <w:jc w:val="both"/>
    </w:pPr>
    <w:rPr>
      <w:rFonts w:eastAsia="Calibri"/>
      <w:i/>
      <w:iCs/>
      <w:sz w:val="24"/>
      <w:szCs w:val="24"/>
    </w:rPr>
  </w:style>
  <w:style w:type="paragraph" w:styleId="-" w:customStyle="1">
    <w:name w:val="Контракт-пункт"/>
    <w:basedOn w:val="Normal"/>
    <w:qFormat/>
    <w:rsid w:val="00fa3bf9"/>
    <w:pPr>
      <w:widowControl/>
      <w:tabs>
        <w:tab w:val="clear" w:pos="709"/>
        <w:tab w:val="left" w:pos="851" w:leader="none"/>
      </w:tabs>
      <w:spacing w:lineRule="auto" w:line="360"/>
      <w:ind w:hanging="851" w:left="851"/>
      <w:jc w:val="both"/>
    </w:pPr>
    <w:rPr>
      <w:rFonts w:eastAsia="Calibri"/>
      <w:sz w:val="28"/>
      <w:szCs w:val="28"/>
    </w:rPr>
  </w:style>
  <w:style w:type="paragraph" w:styleId="DocumentMap">
    <w:name w:val="Document Map"/>
    <w:basedOn w:val="Normal"/>
    <w:semiHidden/>
    <w:qFormat/>
    <w:rsid w:val="00936d2a"/>
    <w:pPr>
      <w:shd w:val="clear" w:color="auto" w:fill="000080"/>
    </w:pPr>
    <w:rPr>
      <w:rFonts w:ascii="Tahoma" w:hAnsi="Tahoma" w:cs="Tahoma"/>
    </w:rPr>
  </w:style>
  <w:style w:type="paragraph" w:styleId="Revision">
    <w:name w:val="Revision"/>
    <w:uiPriority w:val="99"/>
    <w:semiHidden/>
    <w:qFormat/>
    <w:rsid w:val="00f2582e"/>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er">
    <w:name w:val="Header"/>
    <w:basedOn w:val="Normal"/>
    <w:link w:val="Style15"/>
    <w:uiPriority w:val="99"/>
    <w:rsid w:val="000449a5"/>
    <w:pPr>
      <w:tabs>
        <w:tab w:val="clear" w:pos="709"/>
        <w:tab w:val="center" w:pos="4677" w:leader="none"/>
        <w:tab w:val="right" w:pos="9355" w:leader="none"/>
      </w:tabs>
    </w:pPr>
    <w:rPr/>
  </w:style>
  <w:style w:type="paragraph" w:styleId="Style27" w:customStyle="1">
    <w:name w:val="Пункт договора"/>
    <w:basedOn w:val="Normal"/>
    <w:qFormat/>
    <w:rsid w:val="00e65842"/>
    <w:pPr>
      <w:jc w:val="both"/>
    </w:pPr>
    <w:rPr>
      <w:rFonts w:ascii="Arial" w:hAnsi="Arial"/>
    </w:rPr>
  </w:style>
  <w:style w:type="paragraph" w:styleId="1" w:customStyle="1">
    <w:name w:val="Знак Знак Знак Знак Знак Знак Знак Знак Знак1"/>
    <w:basedOn w:val="Normal"/>
    <w:qFormat/>
    <w:rsid w:val="007d41d8"/>
    <w:pPr>
      <w:widowControl/>
      <w:spacing w:lineRule="exact" w:line="240" w:before="0" w:after="160"/>
      <w:jc w:val="both"/>
    </w:pPr>
    <w:rPr>
      <w:rFonts w:ascii="Verdana" w:hAnsi="Verdana"/>
      <w:sz w:val="22"/>
      <w:lang w:val="en-US" w:eastAsia="en-US"/>
    </w:rPr>
  </w:style>
  <w:style w:type="paragraph" w:styleId="11" w:customStyle="1">
    <w:name w:val="Обычный1"/>
    <w:qFormat/>
    <w:rsid w:val="0073039c"/>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ConsPlusNormal" w:customStyle="1">
    <w:name w:val="ConsPlusNormal"/>
    <w:qFormat/>
    <w:rsid w:val="00a510bb"/>
    <w:pPr>
      <w:widowControl w:val="false"/>
      <w:suppressAutoHyphens w:val="true"/>
      <w:bidi w:val="0"/>
      <w:spacing w:before="0" w:after="0"/>
      <w:jc w:val="left"/>
    </w:pPr>
    <w:rPr>
      <w:rFonts w:ascii="Calibri" w:hAnsi="Calibri" w:eastAsia="Times New Roman" w:cs="Calibri"/>
      <w:color w:val="auto"/>
      <w:kern w:val="0"/>
      <w:sz w:val="22"/>
      <w:szCs w:val="20"/>
      <w:lang w:val="ru-RU" w:eastAsia="ru-RU" w:bidi="ar-SA"/>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ffb">
    <w:name w:val="Table Grid"/>
    <w:basedOn w:val="a1"/>
    <w:rsid w:val="00084bde"/>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header" Target="header3.xml"/><Relationship Id="rId9" Type="http://schemas.openxmlformats.org/officeDocument/2006/relationships/header" Target="header4.xml"/><Relationship Id="rId10" Type="http://schemas.openxmlformats.org/officeDocument/2006/relationships/footer" Target="footer2.xml"/><Relationship Id="rId11" Type="http://schemas.openxmlformats.org/officeDocument/2006/relationships/footer" Target="footer3.xml"/><Relationship Id="rId12" Type="http://schemas.openxmlformats.org/officeDocument/2006/relationships/footnotes" Target="footnotes.xml"/><Relationship Id="rId13" Type="http://schemas.openxmlformats.org/officeDocument/2006/relationships/numbering" Target="numbering.xml"/><Relationship Id="rId14" Type="http://schemas.openxmlformats.org/officeDocument/2006/relationships/fontTable" Target="fontTable.xml"/><Relationship Id="rId15" Type="http://schemas.openxmlformats.org/officeDocument/2006/relationships/settings" Target="settings.xml"/><Relationship Id="rId16" Type="http://schemas.openxmlformats.org/officeDocument/2006/relationships/theme" Target="theme/theme1.xml"/><Relationship Id="rId17" Type="http://schemas.openxmlformats.org/officeDocument/2006/relationships/customXml" Target="../customXml/item1.xml"/><Relationship Id="rId18" Type="http://schemas.openxmlformats.org/officeDocument/2006/relationships/customXml" Target="../customXml/item2.xml"/><Relationship Id="rId19" Type="http://schemas.openxmlformats.org/officeDocument/2006/relationships/customXml" Target="../customXml/item3.xml"/><Relationship Id="rId20" Type="http://schemas.openxmlformats.org/officeDocument/2006/relationships/customXml" Target="../customXml/item4.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4B0BAB9-8B8F-4B85-B8DF-266ED50E1B2E}">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7245F010-B91C-4CB9-B37A-3E8BDFBAAF03}">
  <ds:schemaRefs>
    <ds:schemaRef ds:uri="http://schemas.microsoft.com/sharepoint/v3/contenttype/forms"/>
  </ds:schemaRefs>
</ds:datastoreItem>
</file>

<file path=customXml/itemProps3.xml><?xml version="1.0" encoding="utf-8"?>
<ds:datastoreItem xmlns:ds="http://schemas.openxmlformats.org/officeDocument/2006/customXml" ds:itemID="{9B0D606D-4B15-4B5E-8E7C-8A1A8F83DE80}">
  <ds:schemaRefs>
    <ds:schemaRef ds:uri="http://schemas.openxmlformats.org/officeDocument/2006/bibliography"/>
  </ds:schemaRefs>
</ds:datastoreItem>
</file>

<file path=customXml/itemProps4.xml><?xml version="1.0" encoding="utf-8"?>
<ds:datastoreItem xmlns:ds="http://schemas.openxmlformats.org/officeDocument/2006/customXml" ds:itemID="{B160C69B-2C2A-40E1-B81F-0B6FB38451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427</TotalTime>
  <Application>AlterOffice/2026.2.0.0$Linux_X86_64 LibreOffice_project/bc4ef1adf80b36c7a6365f8ed6cbf29021361edd</Application>
  <AppVersion>15.0000</AppVersion>
  <Pages>19</Pages>
  <Words>6881</Words>
  <Characters>49261</Characters>
  <CharactersWithSpaces>55907</CharactersWithSpaces>
  <Paragraphs>326</Paragraphs>
  <Company>Inter RAO UES</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2024-04-03T13:12:00Z</dcterms:created>
  <dc:creator>tsypilev_ag</dc:creator>
  <dc:description/>
  <dc:language>ru-RU</dc:language>
  <cp:lastModifiedBy>melnikovoi@corp.gidroogk.com</cp:lastModifiedBy>
  <cp:lastPrinted>2018-05-22T09:46:00Z</cp:lastPrinted>
  <dcterms:modified xsi:type="dcterms:W3CDTF">2026-09-21T17:14:32Z</dcterms:modified>
  <cp:revision>53</cp:revision>
  <dc:subject/>
  <dc:title>Договор № _________</dc:title>
</cp:coreProperties>
</file>

<file path=docProps/custom.xml><?xml version="1.0" encoding="utf-8"?>
<Properties xmlns="http://schemas.openxmlformats.org/officeDocument/2006/custom-properties" xmlns:vt="http://schemas.openxmlformats.org/officeDocument/2006/docPropsVTypes"/>
</file>