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.xml" ContentType="application/vnd.openxmlformats-officedocument.wordprocessingml.comments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widowControl/>
        <w:suppressAutoHyphens w:val="true"/>
        <w:bidi w:val="0"/>
        <w:spacing w:before="0" w:after="0"/>
        <w:ind w:left="0" w:right="0" w:firstLine="5386"/>
        <w:jc w:val="left"/>
        <w:rPr/>
      </w:pPr>
      <w:r>
        <w:rPr>
          <w:sz w:val="26"/>
          <w:szCs w:val="26"/>
        </w:rPr>
        <w:t>УТВЕРЖДАЮ</w:t>
      </w:r>
    </w:p>
    <w:p>
      <w:pPr>
        <w:pStyle w:val="Normal"/>
        <w:widowControl/>
        <w:suppressAutoHyphens w:val="true"/>
        <w:bidi w:val="0"/>
        <w:spacing w:before="0" w:after="0"/>
        <w:ind w:left="0" w:right="0" w:firstLine="5386"/>
        <w:jc w:val="left"/>
        <w:rPr/>
      </w:pPr>
      <w:r>
        <w:rPr>
          <w:sz w:val="26"/>
          <w:szCs w:val="26"/>
        </w:rPr>
        <w:t xml:space="preserve">Директор Дальневосточного </w:t>
      </w:r>
    </w:p>
    <w:p>
      <w:pPr>
        <w:pStyle w:val="Normal"/>
        <w:widowControl/>
        <w:suppressAutoHyphens w:val="true"/>
        <w:bidi w:val="0"/>
        <w:spacing w:before="0" w:after="0"/>
        <w:ind w:left="0" w:right="0" w:firstLine="5386"/>
        <w:jc w:val="left"/>
        <w:rPr/>
      </w:pPr>
      <w:r>
        <w:rPr>
          <w:sz w:val="26"/>
          <w:szCs w:val="26"/>
        </w:rPr>
        <w:t>филиала АО «ТК РусГидро»</w:t>
      </w:r>
    </w:p>
    <w:p>
      <w:pPr>
        <w:pStyle w:val="Normal"/>
        <w:widowControl/>
        <w:suppressAutoHyphens w:val="true"/>
        <w:bidi w:val="0"/>
        <w:spacing w:before="0" w:after="0"/>
        <w:ind w:left="0" w:right="0" w:firstLine="5386"/>
        <w:jc w:val="lef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before="0" w:after="0"/>
        <w:ind w:left="0" w:right="0" w:firstLine="5386"/>
        <w:jc w:val="lef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before="0" w:after="0"/>
        <w:ind w:left="0" w:right="0" w:firstLine="5386"/>
        <w:jc w:val="lef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before="0" w:after="0"/>
        <w:ind w:left="0" w:right="0" w:firstLine="5386"/>
        <w:jc w:val="left"/>
        <w:rPr/>
      </w:pPr>
      <w:r>
        <w:rPr>
          <w:sz w:val="26"/>
          <w:szCs w:val="26"/>
        </w:rPr>
        <w:t>____________В.Ю. Золотарев</w:t>
      </w:r>
    </w:p>
    <w:p>
      <w:pPr>
        <w:pStyle w:val="Normal"/>
        <w:widowControl/>
        <w:suppressAutoHyphens w:val="true"/>
        <w:bidi w:val="0"/>
        <w:spacing w:before="0" w:after="0"/>
        <w:ind w:left="0" w:right="0" w:firstLine="5386"/>
        <w:jc w:val="left"/>
        <w:rPr/>
      </w:pPr>
      <w:r>
        <w:rPr>
          <w:sz w:val="26"/>
          <w:szCs w:val="26"/>
        </w:rPr>
        <w:t xml:space="preserve">        </w:t>
      </w:r>
    </w:p>
    <w:p>
      <w:pPr>
        <w:pStyle w:val="Normal"/>
        <w:widowControl/>
        <w:suppressAutoHyphens w:val="true"/>
        <w:bidi w:val="0"/>
        <w:spacing w:before="0" w:after="0"/>
        <w:ind w:left="0" w:right="0" w:firstLine="5386"/>
        <w:jc w:val="left"/>
        <w:rPr/>
      </w:pPr>
      <w:r>
        <w:rPr>
          <w:sz w:val="26"/>
          <w:szCs w:val="26"/>
        </w:rPr>
        <w:t>«</w:t>
      </w:r>
      <w:r>
        <w:rPr>
          <w:sz w:val="26"/>
          <w:szCs w:val="26"/>
          <w:u w:val="single"/>
        </w:rPr>
        <w:t xml:space="preserve">       </w:t>
      </w:r>
      <w:r>
        <w:rPr>
          <w:sz w:val="26"/>
          <w:szCs w:val="26"/>
        </w:rPr>
        <w:t xml:space="preserve">» </w:t>
      </w:r>
      <w:r>
        <w:rPr>
          <w:sz w:val="26"/>
          <w:szCs w:val="26"/>
          <w:u w:val="single"/>
        </w:rPr>
        <w:t xml:space="preserve">                  </w:t>
      </w:r>
      <w:r>
        <w:rPr>
          <w:sz w:val="26"/>
          <w:szCs w:val="26"/>
        </w:rPr>
        <w:t>2026 г.</w:t>
      </w:r>
    </w:p>
    <w:p>
      <w:pPr>
        <w:pStyle w:val="Normal"/>
        <w:keepNext w:val="true"/>
        <w:numPr>
          <w:ilvl w:val="0"/>
          <w:numId w:val="0"/>
        </w:numPr>
        <w:ind w:left="5245" w:hanging="0"/>
        <w:jc w:val="right"/>
        <w:outlineLvl w:val="0"/>
        <w:rPr>
          <w:lang w:eastAsia="x-none"/>
        </w:rPr>
      </w:pPr>
      <w:r>
        <w:rPr>
          <w:lang w:eastAsia="x-none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</w:t>
      </w:r>
      <w:r>
        <w:rPr>
          <w:rFonts w:eastAsia="Calibri" w:cs="Times New Roman"/>
          <w:b/>
          <w:color w:val="auto"/>
          <w:kern w:val="0"/>
          <w:sz w:val="28"/>
          <w:szCs w:val="28"/>
          <w:lang w:val="ru-RU" w:eastAsia="ru-RU" w:bidi="ar-SA"/>
        </w:rPr>
        <w:t>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ab/>
        <w:t>ОКПД 2 86.21.10 Оказание услуг по проведению предрейсовых и послерейсовых осмотров водителей посредством телемедицины в Магаданской, Амурской, Сахалинской областях, Хабаровском, Приморском краях и Республики Саха (Якутия) для нужд Дальневосточного филиала АО «ТК РусГидро»</w:t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  <w:t>Лот № 3041-ЭКСП ПРОД-2027-ТК_Дальневост_фил</w:t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jc w:val="center"/>
            <w:rPr/>
          </w:pPr>
          <w:r>
            <w:rPr>
              <w:b/>
              <w:bCs/>
              <w:color w:val="000000"/>
            </w:rPr>
            <w:t>Содержание</w:t>
          </w:r>
        </w:p>
        <w:p>
          <w:pPr>
            <w:pStyle w:val="TOC1"/>
            <w:tabs>
              <w:tab w:val="clear" w:pos="284"/>
              <w:tab w:val="clear" w:pos="9911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\f \o "1-9" \h</w:instrText>
          </w:r>
          <w:r>
            <w:rPr>
              <w:rStyle w:val="Style14"/>
            </w:rPr>
            <w:fldChar w:fldCharType="separate"/>
          </w:r>
          <w:hyperlink w:anchor="__RefHeading___Toc1591_3110842878">
            <w:r>
              <w:rPr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593_3110842878">
            <w:r>
              <w:rPr>
                <w:rStyle w:val="Style14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595_3110842878">
            <w:r>
              <w:rPr>
                <w:rStyle w:val="Style14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597_3110842878">
            <w:r>
              <w:rPr>
                <w:rStyle w:val="Style14"/>
              </w:rPr>
              <w:t>1.3. Цель оказания услуг</w:t>
              <w:tab/>
              <w:t>3</w:t>
            </w:r>
          </w:hyperlink>
        </w:p>
        <w:p>
          <w:pPr>
            <w:pStyle w:val="TOC1"/>
            <w:tabs>
              <w:tab w:val="clear" w:pos="284"/>
              <w:tab w:val="clear" w:pos="9911"/>
              <w:tab w:val="right" w:pos="9921" w:leader="dot"/>
            </w:tabs>
            <w:rPr/>
          </w:pPr>
          <w:hyperlink w:anchor="__RefHeading___Toc1599_3110842878">
            <w:r>
              <w:rPr>
                <w:rStyle w:val="Style14"/>
              </w:rPr>
              <w:t>Таблица 1. Перечень объектов заказчика</w:t>
              <w:tab/>
              <w:t>3</w:t>
            </w:r>
          </w:hyperlink>
        </w:p>
        <w:p>
          <w:pPr>
            <w:pStyle w:val="TOC1"/>
            <w:tabs>
              <w:tab w:val="clear" w:pos="284"/>
              <w:tab w:val="clear" w:pos="9911"/>
              <w:tab w:val="right" w:pos="9921" w:leader="dot"/>
            </w:tabs>
            <w:rPr/>
          </w:pPr>
          <w:hyperlink w:anchor="__RefHeading___Toc1601_3110842878">
            <w:r>
              <w:rPr>
                <w:rStyle w:val="Style14"/>
              </w:rPr>
              <w:t>2. Требования к продукции</w:t>
              <w:tab/>
              <w:t>4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603_3110842878">
            <w:r>
              <w:rPr>
                <w:rStyle w:val="Style14"/>
              </w:rPr>
              <w:t>2.1. Требования к объемам и срокам оказания услуг</w:t>
              <w:tab/>
              <w:t>4</w:t>
            </w:r>
          </w:hyperlink>
        </w:p>
        <w:p>
          <w:pPr>
            <w:pStyle w:val="TOC3"/>
            <w:tabs>
              <w:tab w:val="clear" w:pos="9911"/>
              <w:tab w:val="right" w:pos="9921" w:leader="dot"/>
            </w:tabs>
            <w:rPr/>
          </w:pPr>
          <w:hyperlink w:anchor="__RefHeading___Toc1605_3110842878">
            <w:r>
              <w:rPr>
                <w:rStyle w:val="Style14"/>
              </w:rPr>
              <w:t>2.1.1. Требования к перечню и объему услуг</w:t>
              <w:tab/>
              <w:t>4</w:t>
            </w:r>
          </w:hyperlink>
        </w:p>
        <w:p>
          <w:pPr>
            <w:pStyle w:val="TOC1"/>
            <w:tabs>
              <w:tab w:val="clear" w:pos="284"/>
              <w:tab w:val="clear" w:pos="9911"/>
              <w:tab w:val="right" w:pos="9921" w:leader="dot"/>
            </w:tabs>
            <w:rPr/>
          </w:pPr>
          <w:hyperlink w:anchor="__RefHeading___Toc1607_3110842878">
            <w:r>
              <w:rPr>
                <w:rStyle w:val="Style14"/>
              </w:rPr>
              <w:t>Таблица 2. Перечень и объем оказываемых услуг</w:t>
              <w:tab/>
              <w:t>4</w:t>
            </w:r>
          </w:hyperlink>
        </w:p>
        <w:p>
          <w:pPr>
            <w:pStyle w:val="TOC3"/>
            <w:tabs>
              <w:tab w:val="clear" w:pos="9911"/>
              <w:tab w:val="right" w:pos="9921" w:leader="dot"/>
            </w:tabs>
            <w:rPr/>
          </w:pPr>
          <w:hyperlink w:anchor="__RefHeading___Toc1609_3110842878">
            <w:r>
              <w:rPr>
                <w:rStyle w:val="Style14"/>
              </w:rPr>
              <w:t>2.1.2. Требования к срокам оказания услуг</w:t>
              <w:tab/>
              <w:t>4</w:t>
            </w:r>
          </w:hyperlink>
        </w:p>
        <w:p>
          <w:pPr>
            <w:pStyle w:val="TOC1"/>
            <w:tabs>
              <w:tab w:val="clear" w:pos="284"/>
              <w:tab w:val="clear" w:pos="9911"/>
              <w:tab w:val="right" w:pos="9921" w:leader="dot"/>
            </w:tabs>
            <w:rPr/>
          </w:pPr>
          <w:hyperlink w:anchor="__RefHeading___Toc1611_3110842878">
            <w:r>
              <w:rPr>
                <w:rStyle w:val="Style14"/>
              </w:rPr>
              <w:t>Таблица 3. Требования к срокам оказания услуг</w:t>
              <w:tab/>
              <w:t>4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613_3110842878">
            <w:r>
              <w:rPr>
                <w:rStyle w:val="Style14"/>
              </w:rPr>
              <w:t>2.2. Требования к качеству услуг</w:t>
              <w:tab/>
              <w:t>6</w:t>
            </w:r>
          </w:hyperlink>
        </w:p>
        <w:p>
          <w:pPr>
            <w:pStyle w:val="TOC1"/>
            <w:tabs>
              <w:tab w:val="clear" w:pos="284"/>
              <w:tab w:val="clear" w:pos="9911"/>
              <w:tab w:val="right" w:pos="9921" w:leader="dot"/>
            </w:tabs>
            <w:rPr/>
          </w:pPr>
          <w:hyperlink w:anchor="__RefHeading___Toc1615_3110842878">
            <w:r>
              <w:rPr>
                <w:rStyle w:val="Style14"/>
              </w:rPr>
              <w:t>Таблица 4. Требования к качеству услуг</w:t>
              <w:tab/>
              <w:t>6</w:t>
            </w:r>
          </w:hyperlink>
        </w:p>
        <w:p>
          <w:pPr>
            <w:pStyle w:val="Heading3"/>
            <w:keepNext w:val="true"/>
            <w:widowControl/>
            <w:numPr>
              <w:ilvl w:val="0"/>
              <w:numId w:val="0"/>
            </w:numPr>
            <w:suppressAutoHyphens w:val="true"/>
            <w:bidi w:val="0"/>
            <w:spacing w:before="120" w:after="60"/>
            <w:ind w:left="0" w:hanging="0"/>
            <w:jc w:val="left"/>
            <w:rPr>
              <w:rFonts w:ascii="Times New Roman" w:hAnsi="Times New Roman" w:eastAsia="Calibri" w:cs="Times New Roman"/>
              <w:color w:val="auto"/>
              <w:kern w:val="0"/>
              <w:sz w:val="20"/>
              <w:szCs w:val="20"/>
              <w:lang w:val="x-none" w:eastAsia="x-none" w:bidi="ar-SA"/>
            </w:rPr>
          </w:pPr>
          <w:r>
            <w:rPr>
              <w:rFonts w:eastAsia="Calibri" w:cs="Times New Roman"/>
              <w:color w:val="auto"/>
              <w:kern w:val="0"/>
              <w:sz w:val="20"/>
              <w:szCs w:val="20"/>
              <w:lang w:val="x-none" w:eastAsia="x-none" w:bidi="ar-SA"/>
            </w:rPr>
            <w:t>2.2.1.  В составе заявки необходимо предоставить………………………………………….……………………………14</w:t>
          </w:r>
        </w:p>
        <w:p>
          <w:pPr>
            <w:pStyle w:val="TOC1"/>
            <w:tabs>
              <w:tab w:val="clear" w:pos="284"/>
              <w:tab w:val="clear" w:pos="9911"/>
              <w:tab w:val="right" w:pos="9921" w:leader="dot"/>
            </w:tabs>
            <w:rPr>
              <w:b/>
              <w:bCs/>
              <w:sz w:val="24"/>
              <w:szCs w:val="24"/>
            </w:rPr>
          </w:pPr>
          <w:hyperlink w:anchor="__RefHeading___Toc2666_2722569890">
            <w:r>
              <w:rPr>
                <w:rStyle w:val="Style14"/>
              </w:rPr>
              <w:t>3. Требования к документации по ценообразованию на этапе закупки</w:t>
              <w:tab/>
              <w:t>1</w:t>
            </w:r>
          </w:hyperlink>
          <w:r>
            <w:rPr/>
            <w:t>5</w:t>
          </w:r>
          <w:r>
            <w:rPr/>
            <w:fldChar w:fldCharType="end"/>
          </w:r>
        </w:p>
      </w:sdtContent>
    </w:sdt>
    <w:p>
      <w:pPr>
        <w:pStyle w:val="Normal"/>
        <w:jc w:val="center"/>
        <w:rPr>
          <w:b/>
        </w:rPr>
      </w:pPr>
      <w:r>
        <w:rPr>
          <w:b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r>
            <w:rPr>
              <w:rFonts w:eastAsia="" w:cs="" w:cstheme="minorBidi" w:eastAsiaTheme="minorEastAsia" w:ascii="Calibri" w:hAnsi="Calibri"/>
              <w:b w:val="false"/>
              <w:bCs w:val="false"/>
            </w:rPr>
          </w:r>
          <w:r>
            <w:br w:type="page"/>
          </w:r>
        </w:p>
      </w:sdtContent>
    </w:sdt>
    <w:p>
      <w:pPr>
        <w:pStyle w:val="Heading1"/>
        <w:numPr>
          <w:ilvl w:val="0"/>
          <w:numId w:val="3"/>
        </w:numPr>
        <w:ind w:left="426" w:hanging="426"/>
        <w:jc w:val="center"/>
        <w:rPr>
          <w:caps/>
        </w:rPr>
      </w:pPr>
      <w:bookmarkStart w:id="0" w:name="__RefHeading___Toc1591_3110842878"/>
      <w:bookmarkStart w:id="1" w:name="_Toc54643694"/>
      <w:bookmarkStart w:id="2" w:name="_Toc135150390"/>
      <w:bookmarkEnd w:id="0"/>
      <w:r>
        <w:rPr/>
        <w:t>Общие сведения</w:t>
      </w:r>
      <w:bookmarkEnd w:id="1"/>
      <w:bookmarkEnd w:id="2"/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tabs>
          <w:tab w:val="clear" w:pos="0"/>
        </w:tabs>
        <w:rPr>
          <w:b/>
        </w:rPr>
      </w:pPr>
      <w:bookmarkStart w:id="3" w:name="__RefHeading___Toc1593_3110842878"/>
      <w:bookmarkEnd w:id="3"/>
      <w:r>
        <w:rPr/>
        <w:t>1.1. Обозначения и сокращения</w:t>
      </w:r>
    </w:p>
    <w:p>
      <w:pPr>
        <w:pStyle w:val="Normal"/>
        <w:ind w:left="426" w:hanging="426"/>
        <w:rPr>
          <w:b/>
        </w:rPr>
      </w:pPr>
      <w:r>
        <w:rPr>
          <w:b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ПАК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Программно-аппаратный комплекс</w:t>
            </w:r>
          </w:p>
        </w:tc>
      </w:tr>
    </w:tbl>
    <w:p>
      <w:pPr>
        <w:pStyle w:val="Heading4"/>
        <w:tabs>
          <w:tab w:val="clear" w:pos="0"/>
        </w:tabs>
        <w:ind w:left="426" w:hanging="0"/>
        <w:rPr>
          <w:b/>
        </w:rPr>
      </w:pPr>
      <w:bookmarkStart w:id="4" w:name="__RefHeading___Toc1595_3110842878"/>
      <w:bookmarkEnd w:id="4"/>
      <w:r>
        <w:rPr/>
        <w:t xml:space="preserve">1.2. </w:t>
      </w:r>
      <w:bookmarkStart w:id="5" w:name="_Toc54643696"/>
      <w:bookmarkStart w:id="6" w:name="_Toc135150391"/>
      <w:bookmarkStart w:id="7" w:name="_Toc46743506"/>
      <w:r>
        <w:rPr/>
        <w:t>Наименование закупаемой продукции</w:t>
      </w:r>
      <w:bookmarkEnd w:id="5"/>
      <w:bookmarkEnd w:id="6"/>
      <w:bookmarkEnd w:id="7"/>
    </w:p>
    <w:p>
      <w:pPr>
        <w:pStyle w:val="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ОКПД 2 86.21.10 Оказание услуг по проведению предрейсовых и послерейсовых осмотров водителей посредством телемедицины в Магаданской, Амурской, Сахалинской областях, Хабаровском, Приморском краях и Республики Саха (Якутия) для нужд Дальневосточного филиала АО «ТК РусГидро».</w:t>
      </w:r>
      <w:bookmarkStart w:id="8" w:name="_Toc46743507"/>
    </w:p>
    <w:p>
      <w:pPr>
        <w:pStyle w:val="Heading4"/>
        <w:tabs>
          <w:tab w:val="clear" w:pos="0"/>
        </w:tabs>
        <w:ind w:left="426" w:hanging="0"/>
        <w:rPr>
          <w:b/>
        </w:rPr>
      </w:pPr>
      <w:bookmarkStart w:id="9" w:name="__RefHeading___Toc1597_3110842878"/>
      <w:bookmarkEnd w:id="9"/>
      <w:r>
        <w:rPr/>
        <w:t xml:space="preserve">1.3.  </w:t>
      </w:r>
      <w:bookmarkStart w:id="10" w:name="_Toc54643697"/>
      <w:bookmarkStart w:id="11" w:name="_Toc135150392"/>
      <w:r>
        <w:rPr/>
        <w:t xml:space="preserve">Цель </w:t>
      </w:r>
      <w:bookmarkEnd w:id="8"/>
      <w:r>
        <w:rPr/>
        <w:t>оказания услуг</w:t>
      </w:r>
      <w:bookmarkEnd w:id="11"/>
      <w:r>
        <w:rPr/>
        <w:t xml:space="preserve"> </w:t>
      </w:r>
      <w:bookmarkEnd w:id="10"/>
    </w:p>
    <w:p>
      <w:pPr>
        <w:pStyle w:val="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Целью проведения предрейсовых медицинских осмотров водителей является выявление признаков воздействия вредных и (или) опасных производственных факторов, состояний и заболеваний, препятствующих выполнению трудовых обязанностей, в том числе алкогольного, наркотического или иного токсического опьянения и остаточных явлений такого опьянения.</w:t>
      </w:r>
    </w:p>
    <w:p>
      <w:pPr>
        <w:pStyle w:val="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Целью проведения послерейсовых медицинских осмотров водителей является выявления признаков воздействия вредных и (или) опасных производственных факторов рабочей среды и трудового процесса на состояние здоровья работников, острого профессионального заболевания или отравления, признаков алкогольного, наркотического или иного токсического опьянения.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60"/>
        <w:ind w:left="0" w:hanging="0"/>
        <w:outlineLvl w:val="0"/>
        <w:rPr>
          <w:rFonts w:eastAsia="Calibri"/>
          <w:b/>
          <w:lang w:eastAsia="x-none"/>
        </w:rPr>
      </w:pPr>
      <w:bookmarkStart w:id="12" w:name="__RefHeading___Toc1599_3110842878"/>
      <w:bookmarkStart w:id="13" w:name="_Toc54643699"/>
      <w:bookmarkStart w:id="14" w:name="_Toc129097754"/>
      <w:bookmarkStart w:id="15" w:name="_Toc135150395"/>
      <w:bookmarkEnd w:id="12"/>
      <w:r>
        <w:rPr>
          <w:rFonts w:eastAsia="Calibri"/>
          <w:b/>
          <w:lang w:val="x-none" w:eastAsia="x-none"/>
        </w:rPr>
        <w:t>Таблица 1</w:t>
      </w:r>
      <w:r>
        <w:rPr>
          <w:rFonts w:eastAsia="Calibri"/>
          <w:b/>
          <w:lang w:eastAsia="x-none"/>
        </w:rPr>
        <w:t>.</w:t>
      </w:r>
      <w:r>
        <w:rPr>
          <w:rFonts w:eastAsia="Calibri"/>
          <w:b/>
          <w:lang w:val="x-none" w:eastAsia="x-none"/>
        </w:rPr>
        <w:t xml:space="preserve"> </w:t>
      </w:r>
      <w:r>
        <w:rPr>
          <w:rFonts w:eastAsia="Calibri"/>
          <w:b/>
          <w:lang w:eastAsia="x-none"/>
        </w:rPr>
        <w:t>Перечень объектов заказчика</w:t>
      </w:r>
      <w:bookmarkEnd w:id="13"/>
      <w:bookmarkEnd w:id="14"/>
      <w:bookmarkEnd w:id="15"/>
    </w:p>
    <w:tbl>
      <w:tblPr>
        <w:tblW w:w="991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562"/>
        <w:gridCol w:w="3257"/>
        <w:gridCol w:w="3377"/>
        <w:gridCol w:w="1923"/>
        <w:gridCol w:w="795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1980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 86.21.10 Оказание услуг по проведению предрейсовых и послерейсовых осмотров водителей посредством телемедицины в Магаданской, Амурской, Сахалинской областях, Хабаровском, Приморском краях и Республики Саха (Якутия) для нужд Дальневосточного филиала АО «ТК РусГидро»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Проведение осмотров осуществляется в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676730, Амурская обл, Бурейский р-н, пгт. Талакан, база оборудования Бурейской ГЭС;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676246, Амурская обл, г. Зея, Зейская ГЭС;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680032, Хабаровский край, г. Хабаровск, ул. Автономная, д. 5А;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676720, Амурская обл, Бурейский р-н, пгт. Новобурейский, база оборудования Нижне-Бурейской ГЭС;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686222, Магаданская обл, Ягодинский рн., пгт. Синегорье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690034, Приморский край, г. Владивосток, ул. Фадеева, д.47.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680021, Хабаровский край, г. Хабаровск, ул. Ленинградская, д. 46.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693000, Сахалинская область, г. Южно-Сахалинск.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678960, Республики Саха (Якутия), г. Нерюнгри.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</w:tr>
    </w:tbl>
    <w:p>
      <w:pPr>
        <w:pStyle w:val="Normal"/>
        <w:ind w:firstLine="567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1"/>
        <w:numPr>
          <w:ilvl w:val="0"/>
          <w:numId w:val="3"/>
        </w:numPr>
        <w:ind w:left="426" w:hanging="426"/>
        <w:jc w:val="center"/>
        <w:rPr>
          <w:caps/>
          <w:lang w:val="ru-RU"/>
        </w:rPr>
      </w:pPr>
      <w:bookmarkStart w:id="16" w:name="__RefHeading___Toc1601_3110842878"/>
      <w:bookmarkStart w:id="17" w:name="_Toc54643702"/>
      <w:bookmarkStart w:id="18" w:name="_Toc135150396"/>
      <w:bookmarkStart w:id="19" w:name="_Toc51339693"/>
      <w:bookmarkEnd w:id="16"/>
      <w:r>
        <w:rPr>
          <w:lang w:val="ru-RU"/>
        </w:rPr>
        <w:t>Требования</w:t>
      </w:r>
      <w:r>
        <w:rPr/>
        <w:t xml:space="preserve"> к продукции</w:t>
      </w:r>
      <w:bookmarkEnd w:id="17"/>
      <w:bookmarkEnd w:id="18"/>
      <w:bookmarkEnd w:id="19"/>
    </w:p>
    <w:p>
      <w:pPr>
        <w:pStyle w:val="Heading4"/>
        <w:numPr>
          <w:ilvl w:val="1"/>
          <w:numId w:val="3"/>
        </w:numPr>
        <w:ind w:left="426" w:hanging="426"/>
        <w:rPr>
          <w:b/>
        </w:rPr>
      </w:pPr>
      <w:bookmarkStart w:id="20" w:name="__RefHeading___Toc1603_3110842878"/>
      <w:bookmarkStart w:id="21" w:name="_Toc135150397"/>
      <w:bookmarkStart w:id="22" w:name="_Toc54643703"/>
      <w:bookmarkEnd w:id="20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21"/>
      <w:bookmarkEnd w:id="22"/>
    </w:p>
    <w:p>
      <w:pPr>
        <w:pStyle w:val="Heading3"/>
        <w:numPr>
          <w:ilvl w:val="2"/>
          <w:numId w:val="3"/>
        </w:numPr>
        <w:ind w:left="426" w:hanging="426"/>
        <w:rPr>
          <w:b/>
        </w:rPr>
      </w:pPr>
      <w:bookmarkStart w:id="23" w:name="__RefHeading___Toc1605_3110842878"/>
      <w:bookmarkStart w:id="24" w:name="_Toc54643704"/>
      <w:bookmarkStart w:id="25" w:name="_Toc135150398"/>
      <w:bookmarkEnd w:id="23"/>
      <w:r>
        <w:rPr/>
        <w:t>Требования к перечню и объему услуг</w:t>
      </w:r>
      <w:bookmarkEnd w:id="24"/>
      <w:bookmarkEnd w:id="25"/>
    </w:p>
    <w:p>
      <w:pPr>
        <w:pStyle w:val="Heading1"/>
        <w:tabs>
          <w:tab w:val="clear" w:pos="0"/>
        </w:tabs>
        <w:ind w:left="0" w:hanging="0"/>
        <w:rPr>
          <w:b/>
        </w:rPr>
      </w:pPr>
      <w:bookmarkStart w:id="26" w:name="__RefHeading___Toc1607_3110842878"/>
      <w:bookmarkStart w:id="27" w:name="_Toc54643705"/>
      <w:bookmarkStart w:id="28" w:name="_Toc135150399"/>
      <w:bookmarkStart w:id="29" w:name="_Toc51339695"/>
      <w:bookmarkEnd w:id="26"/>
      <w:r>
        <w:rPr/>
        <w:t xml:space="preserve">Таблица 2. Перечень </w:t>
      </w:r>
      <w:bookmarkEnd w:id="29"/>
      <w:r>
        <w:rPr/>
        <w:t>и объем оказываемых услуг</w:t>
      </w:r>
      <w:bookmarkEnd w:id="27"/>
      <w:bookmarkEnd w:id="28"/>
    </w:p>
    <w:tbl>
      <w:tblPr>
        <w:tblW w:w="9805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02"/>
        <w:gridCol w:w="3565"/>
        <w:gridCol w:w="1302"/>
        <w:gridCol w:w="1530"/>
        <w:gridCol w:w="1487"/>
        <w:gridCol w:w="1418"/>
      </w:tblGrid>
      <w:tr>
        <w:trPr/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п/п</w:t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Наименование услуг / этапа услуг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Единица измерения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GB"/>
              </w:rPr>
              <w:t>Количество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год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 год</w:t>
            </w:r>
          </w:p>
        </w:tc>
      </w:tr>
      <w:tr>
        <w:trPr/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  <w:lang w:val="en-GB"/>
              </w:rPr>
            </w:pPr>
            <w:r>
              <w:rPr>
                <w:b/>
                <w:sz w:val="24"/>
                <w:szCs w:val="24"/>
                <w:lang w:val="en-GB"/>
              </w:rPr>
              <w:t>1</w:t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  <w:lang w:val="en-GB"/>
              </w:rPr>
            </w:pPr>
            <w:r>
              <w:rPr>
                <w:b/>
                <w:sz w:val="24"/>
                <w:szCs w:val="24"/>
                <w:lang w:val="en-GB"/>
              </w:rPr>
              <w:t>2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  <w:lang w:val="en-GB"/>
              </w:rPr>
            </w:pPr>
            <w:r>
              <w:rPr>
                <w:b/>
                <w:sz w:val="24"/>
                <w:szCs w:val="24"/>
                <w:lang w:val="en-GB"/>
              </w:rPr>
              <w:t>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  <w:lang w:val="en-GB"/>
              </w:rPr>
            </w:pPr>
            <w:r>
              <w:rPr>
                <w:b/>
                <w:sz w:val="24"/>
                <w:szCs w:val="24"/>
                <w:lang w:val="en-GB"/>
              </w:rPr>
              <w:t>4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  <w:lang w:val="en-GB"/>
              </w:rPr>
            </w:pPr>
            <w:r>
              <w:rPr>
                <w:b/>
                <w:sz w:val="24"/>
                <w:szCs w:val="24"/>
                <w:lang w:val="en-GB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  <w:lang w:val="en-GB"/>
              </w:rPr>
            </w:pPr>
            <w:r>
              <w:rPr>
                <w:b/>
                <w:sz w:val="24"/>
                <w:szCs w:val="24"/>
                <w:lang w:val="en-GB"/>
              </w:rPr>
            </w:r>
          </w:p>
        </w:tc>
      </w:tr>
      <w:tr>
        <w:trPr/>
        <w:tc>
          <w:tcPr>
            <w:tcW w:w="9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i/>
                <w:iCs/>
                <w:sz w:val="24"/>
                <w:szCs w:val="24"/>
              </w:rPr>
              <w:t>пгт. Талакан Бурейский район Амурская область</w:t>
            </w:r>
          </w:p>
        </w:tc>
      </w:tr>
      <w:tr>
        <w:trPr/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napToGrid w:val="false"/>
              <w:spacing w:before="0" w:after="0"/>
              <w:ind w:left="-113" w:right="680" w:firstLine="510"/>
              <w:contextualSpacing/>
              <w:rPr>
                <w:b/>
                <w:i/>
                <w:i/>
                <w:iCs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Предрейсовый медицинский осмотр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Усл. ед.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2400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2400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2400</w:t>
            </w:r>
          </w:p>
        </w:tc>
      </w:tr>
      <w:tr>
        <w:trPr>
          <w:trHeight w:val="70" w:hRule="atLeast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napToGrid w:val="false"/>
              <w:spacing w:before="0" w:after="0"/>
              <w:contextualSpacing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Послерейсовый медицинский осмотр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Усл. ед.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2400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2400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2400</w:t>
            </w:r>
          </w:p>
        </w:tc>
      </w:tr>
      <w:tr>
        <w:trPr>
          <w:trHeight w:val="70" w:hRule="atLeast"/>
        </w:trPr>
        <w:tc>
          <w:tcPr>
            <w:tcW w:w="9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г. Зея, Амурская область</w:t>
            </w:r>
          </w:p>
        </w:tc>
      </w:tr>
      <w:tr>
        <w:trPr>
          <w:trHeight w:val="70" w:hRule="atLeast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napToGrid w:val="false"/>
              <w:spacing w:before="0" w:after="0"/>
              <w:contextualSpacing/>
              <w:rPr>
                <w:b/>
                <w:i/>
                <w:i/>
                <w:iCs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Предрейсовый медицинский осмотр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Усл. ед.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2000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2000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2000</w:t>
            </w:r>
          </w:p>
        </w:tc>
      </w:tr>
      <w:tr>
        <w:trPr>
          <w:trHeight w:val="70" w:hRule="atLeast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napToGrid w:val="false"/>
              <w:spacing w:before="0" w:after="0"/>
              <w:contextualSpacing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Послерейсовый медицинский осмотр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Усл. ед.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2000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2000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2000</w:t>
            </w:r>
          </w:p>
        </w:tc>
      </w:tr>
      <w:tr>
        <w:trPr>
          <w:trHeight w:val="70" w:hRule="atLeast"/>
        </w:trPr>
        <w:tc>
          <w:tcPr>
            <w:tcW w:w="9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г. Хабаровск, Хабаровский край</w:t>
            </w:r>
          </w:p>
        </w:tc>
      </w:tr>
      <w:tr>
        <w:trPr>
          <w:trHeight w:val="70" w:hRule="atLeast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napToGrid w:val="false"/>
              <w:spacing w:before="0" w:after="0"/>
              <w:contextualSpacing/>
              <w:rPr>
                <w:b/>
                <w:i/>
                <w:i/>
                <w:iCs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Предрейсовый медицинский осмотр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Усл. ед.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2900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2900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2900</w:t>
            </w:r>
          </w:p>
        </w:tc>
      </w:tr>
      <w:tr>
        <w:trPr>
          <w:trHeight w:val="70" w:hRule="atLeast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napToGrid w:val="false"/>
              <w:spacing w:before="0" w:after="0"/>
              <w:contextualSpacing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Послерейсовый медицинский осмотр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Усл. ед.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2900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2900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2900</w:t>
            </w:r>
          </w:p>
        </w:tc>
      </w:tr>
      <w:tr>
        <w:trPr>
          <w:trHeight w:val="70" w:hRule="atLeast"/>
        </w:trPr>
        <w:tc>
          <w:tcPr>
            <w:tcW w:w="9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пгт. Новобурейский Бурейский район Амурска область</w:t>
            </w:r>
          </w:p>
        </w:tc>
      </w:tr>
      <w:tr>
        <w:trPr>
          <w:trHeight w:val="70" w:hRule="atLeast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napToGrid w:val="false"/>
              <w:spacing w:before="0" w:after="0"/>
              <w:contextualSpacing/>
              <w:rPr>
                <w:b/>
                <w:i/>
                <w:i/>
                <w:iCs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Предрейсовый медицинский осмотр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Усл. ед.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2300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2300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2300</w:t>
            </w:r>
          </w:p>
        </w:tc>
      </w:tr>
      <w:tr>
        <w:trPr>
          <w:trHeight w:val="70" w:hRule="atLeast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napToGrid w:val="false"/>
              <w:spacing w:before="0" w:after="0"/>
              <w:contextualSpacing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Послерейсовый медицинский осмотр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Усл. ед.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2300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2300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2300</w:t>
            </w:r>
          </w:p>
        </w:tc>
      </w:tr>
      <w:tr>
        <w:trPr>
          <w:trHeight w:val="70" w:hRule="atLeast"/>
        </w:trPr>
        <w:tc>
          <w:tcPr>
            <w:tcW w:w="9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г. Нерюнгри, Республики Саха (Якутия)</w:t>
            </w:r>
          </w:p>
        </w:tc>
      </w:tr>
      <w:tr>
        <w:trPr>
          <w:trHeight w:val="70" w:hRule="atLeast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napToGrid w:val="false"/>
              <w:spacing w:before="0" w:after="0"/>
              <w:contextualSpacing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Предрейсовый медицинский осмотр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Усл. ед.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1500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1500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1500</w:t>
            </w:r>
          </w:p>
        </w:tc>
      </w:tr>
      <w:tr>
        <w:trPr>
          <w:trHeight w:val="70" w:hRule="atLeast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napToGrid w:val="false"/>
              <w:spacing w:before="0" w:after="0"/>
              <w:contextualSpacing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Послерейсовый медицинский осмотр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Усл. ед.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1500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1500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1500</w:t>
            </w:r>
          </w:p>
        </w:tc>
      </w:tr>
      <w:tr>
        <w:trPr>
          <w:trHeight w:val="70" w:hRule="atLeast"/>
        </w:trPr>
        <w:tc>
          <w:tcPr>
            <w:tcW w:w="980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left="360" w:hanging="0"/>
              <w:contextualSpacing/>
              <w:jc w:val="center"/>
              <w:rPr>
                <w:i/>
                <w:i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пгт. Синегорь</w:t>
            </w:r>
            <w:r>
              <w:rPr>
                <w:rFonts w:eastAsia="Times New Roman" w:cs="Times New Roman"/>
                <w:b/>
                <w:bCs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е </w:t>
            </w:r>
            <w:r>
              <w:rPr>
                <w:rStyle w:val="Strong"/>
                <w:rFonts w:eastAsia="Times New Roman" w:cs="Times New Roman"/>
                <w:b/>
                <w:bCs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Ягоднинский район Магаданская область</w:t>
            </w:r>
          </w:p>
        </w:tc>
      </w:tr>
      <w:tr>
        <w:trPr>
          <w:trHeight w:val="70" w:hRule="atLeast"/>
        </w:trPr>
        <w:tc>
          <w:tcPr>
            <w:tcW w:w="5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napToGrid w:val="false"/>
              <w:spacing w:before="0" w:after="0"/>
              <w:contextualSpacing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Предрейсовый медицинский осмотр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Усл. ед.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2100</w:t>
            </w: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2100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2100</w:t>
            </w:r>
          </w:p>
        </w:tc>
      </w:tr>
      <w:tr>
        <w:trPr>
          <w:trHeight w:val="70" w:hRule="atLeast"/>
        </w:trPr>
        <w:tc>
          <w:tcPr>
            <w:tcW w:w="5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napToGrid w:val="false"/>
              <w:spacing w:before="0" w:after="0"/>
              <w:contextualSpacing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Послерейсовый медицинский осмотр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Усл. ед.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2100</w:t>
            </w: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2100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2100</w:t>
            </w:r>
          </w:p>
        </w:tc>
      </w:tr>
      <w:tr>
        <w:trPr>
          <w:trHeight w:val="70" w:hRule="atLeast"/>
        </w:trPr>
        <w:tc>
          <w:tcPr>
            <w:tcW w:w="980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napToGrid w:val="false"/>
              <w:spacing w:before="0" w:after="0"/>
              <w:ind w:left="360" w:hanging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bCs/>
                <w:i/>
                <w:iCs/>
                <w:sz w:val="24"/>
                <w:szCs w:val="24"/>
                <w:shd w:fill="auto" w:val="clear"/>
              </w:rPr>
              <w:t>г. Владивосток, Приморский край</w:t>
            </w:r>
          </w:p>
        </w:tc>
      </w:tr>
      <w:tr>
        <w:trPr>
          <w:trHeight w:val="70" w:hRule="atLeast"/>
        </w:trPr>
        <w:tc>
          <w:tcPr>
            <w:tcW w:w="5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napToGrid w:val="false"/>
              <w:spacing w:before="0" w:after="0"/>
              <w:contextualSpacing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Послерейсовый медицинский осмотр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Усл. ед.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3500</w:t>
            </w: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3500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3500</w:t>
            </w:r>
          </w:p>
        </w:tc>
      </w:tr>
      <w:tr>
        <w:trPr>
          <w:trHeight w:val="70" w:hRule="atLeast"/>
        </w:trPr>
        <w:tc>
          <w:tcPr>
            <w:tcW w:w="5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napToGrid w:val="false"/>
              <w:spacing w:before="0" w:after="0"/>
              <w:contextualSpacing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Послерейсовый медицинский осмотр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Усл. ед.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3500</w:t>
            </w: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3500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3500</w:t>
            </w:r>
          </w:p>
        </w:tc>
      </w:tr>
      <w:tr>
        <w:trPr>
          <w:trHeight w:val="70" w:hRule="atLeast"/>
        </w:trPr>
        <w:tc>
          <w:tcPr>
            <w:tcW w:w="980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napToGrid w:val="false"/>
              <w:spacing w:before="0" w:after="0"/>
              <w:ind w:left="360" w:hanging="0"/>
              <w:contextualSpacing/>
              <w:jc w:val="center"/>
              <w:rPr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г. Хабаровск, Хабаровский край</w:t>
            </w:r>
          </w:p>
        </w:tc>
      </w:tr>
      <w:tr>
        <w:trPr>
          <w:trHeight w:val="70" w:hRule="atLeast"/>
        </w:trPr>
        <w:tc>
          <w:tcPr>
            <w:tcW w:w="5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napToGrid w:val="false"/>
              <w:spacing w:before="0" w:after="0"/>
              <w:contextualSpacing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Послерейсовый медицинский осмотр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Усл. ед.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750</w:t>
            </w: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750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750</w:t>
            </w:r>
          </w:p>
        </w:tc>
      </w:tr>
      <w:tr>
        <w:trPr>
          <w:trHeight w:val="70" w:hRule="atLeast"/>
        </w:trPr>
        <w:tc>
          <w:tcPr>
            <w:tcW w:w="5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napToGrid w:val="false"/>
              <w:spacing w:before="0" w:after="0"/>
              <w:contextualSpacing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Послерейсовый медицинский осмотр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Усл. ед.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750</w:t>
            </w: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750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750</w:t>
            </w:r>
          </w:p>
        </w:tc>
      </w:tr>
      <w:tr>
        <w:trPr>
          <w:trHeight w:val="70" w:hRule="atLeast"/>
        </w:trPr>
        <w:tc>
          <w:tcPr>
            <w:tcW w:w="980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napToGrid w:val="false"/>
              <w:spacing w:before="0" w:after="0"/>
              <w:ind w:left="360" w:hanging="0"/>
              <w:contextualSpacing/>
              <w:jc w:val="center"/>
              <w:rPr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г. Южно-Сахалинск, Сахалинская область</w:t>
            </w:r>
          </w:p>
        </w:tc>
      </w:tr>
      <w:tr>
        <w:trPr>
          <w:trHeight w:val="70" w:hRule="atLeast"/>
        </w:trPr>
        <w:tc>
          <w:tcPr>
            <w:tcW w:w="5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napToGrid w:val="false"/>
              <w:spacing w:before="0" w:after="0"/>
              <w:contextualSpacing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Послерейсовый медицинский осмотр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Усл. ед.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750</w:t>
            </w: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750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750</w:t>
            </w:r>
          </w:p>
        </w:tc>
      </w:tr>
      <w:tr>
        <w:trPr>
          <w:trHeight w:val="70" w:hRule="atLeast"/>
        </w:trPr>
        <w:tc>
          <w:tcPr>
            <w:tcW w:w="5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napToGrid w:val="false"/>
              <w:spacing w:before="0" w:after="0"/>
              <w:contextualSpacing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Послерейсовый медицинский осмотр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Усл. ед.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750</w:t>
            </w: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750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750</w:t>
            </w:r>
          </w:p>
        </w:tc>
      </w:tr>
      <w:tr>
        <w:trPr>
          <w:trHeight w:val="70" w:hRule="atLeast"/>
        </w:trPr>
        <w:tc>
          <w:tcPr>
            <w:tcW w:w="5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napToGrid w:val="false"/>
              <w:spacing w:before="0" w:after="0"/>
              <w:ind w:left="360" w:hanging="0"/>
              <w:contextualSpacing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Итого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</w:rPr>
              <w:t>Усл. ед.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36400</w:t>
            </w: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36400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36400</w:t>
            </w:r>
          </w:p>
        </w:tc>
      </w:tr>
    </w:tbl>
    <w:p>
      <w:pPr>
        <w:pStyle w:val="Normal"/>
        <w:rPr>
          <w:b/>
        </w:rPr>
      </w:pPr>
      <w:r>
        <w:rPr>
          <w:b/>
        </w:rPr>
      </w:r>
    </w:p>
    <w:p>
      <w:pPr>
        <w:pStyle w:val="Heading3"/>
        <w:numPr>
          <w:ilvl w:val="2"/>
          <w:numId w:val="3"/>
        </w:numPr>
        <w:ind w:left="426" w:hanging="426"/>
        <w:rPr>
          <w:b/>
        </w:rPr>
      </w:pPr>
      <w:bookmarkStart w:id="30" w:name="__RefHeading___Toc1609_3110842878"/>
      <w:bookmarkStart w:id="31" w:name="_Toc135150400"/>
      <w:bookmarkStart w:id="32" w:name="_Toc54643706"/>
      <w:bookmarkStart w:id="33" w:name="_Toc51339696"/>
      <w:bookmarkEnd w:id="30"/>
      <w:r>
        <w:rPr/>
        <w:t xml:space="preserve">Требования </w:t>
      </w:r>
      <w:bookmarkEnd w:id="33"/>
      <w:r>
        <w:rPr/>
        <w:t>к срокам оказания услуг</w:t>
      </w:r>
      <w:bookmarkEnd w:id="31"/>
      <w:bookmarkEnd w:id="32"/>
    </w:p>
    <w:p>
      <w:pPr>
        <w:pStyle w:val="Heading1"/>
        <w:tabs>
          <w:tab w:val="clear" w:pos="0"/>
        </w:tabs>
        <w:ind w:left="0" w:hanging="0"/>
        <w:rPr>
          <w:lang w:val="ru-RU"/>
        </w:rPr>
      </w:pPr>
      <w:bookmarkStart w:id="34" w:name="__RefHeading___Toc1611_3110842878"/>
      <w:bookmarkStart w:id="35" w:name="_Toc135150401"/>
      <w:bookmarkStart w:id="36" w:name="_Toc54643707"/>
      <w:bookmarkStart w:id="37" w:name="_Toc50125127"/>
      <w:bookmarkStart w:id="38" w:name="_Toc51339697"/>
      <w:bookmarkStart w:id="39" w:name="_Toc50125126_Копия_1"/>
      <w:bookmarkEnd w:id="34"/>
      <w:bookmarkEnd w:id="39"/>
      <w:r>
        <w:rPr/>
        <w:t xml:space="preserve">Таблица </w:t>
      </w:r>
      <w:r>
        <w:rPr>
          <w:lang w:val="ru-RU"/>
        </w:rPr>
        <w:t>3</w:t>
      </w:r>
      <w:r>
        <w:rPr/>
        <w:t xml:space="preserve">. </w:t>
      </w:r>
      <w:bookmarkStart w:id="40" w:name="_Hlk50465284"/>
      <w:r>
        <w:rPr/>
        <w:t xml:space="preserve">Требования </w:t>
      </w:r>
      <w:r>
        <w:rPr>
          <w:lang w:val="ru-RU"/>
        </w:rPr>
        <w:t>к</w:t>
      </w:r>
      <w:r>
        <w:rPr/>
        <w:t xml:space="preserve"> срокам </w:t>
      </w:r>
      <w:bookmarkEnd w:id="37"/>
      <w:bookmarkEnd w:id="38"/>
      <w:bookmarkEnd w:id="40"/>
      <w:r>
        <w:rPr>
          <w:lang w:val="ru-RU"/>
        </w:rPr>
        <w:t>оказания услуг</w:t>
      </w:r>
      <w:bookmarkEnd w:id="35"/>
      <w:bookmarkEnd w:id="36"/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117"/>
        <w:gridCol w:w="3465"/>
        <w:gridCol w:w="2495"/>
        <w:gridCol w:w="2698"/>
      </w:tblGrid>
      <w:tr>
        <w:trPr/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ОКПД 2 86.21.10 Оказание услуг по проведению предрейсовых и послерейсовых осмотров водителей посредством телемедицины в Магаданской, Амурской, Сахалинской областях, Хабаровском, Приморском краях и Республики Саха (Якутия) для нужд Дальневосточного филиала АО «ТК РусГидро»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01.01.2027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bookmarkStart w:id="41" w:name="_Toc46743510"/>
            <w:r>
              <w:rPr>
                <w:sz w:val="24"/>
                <w:szCs w:val="24"/>
              </w:rPr>
              <w:t>31.12.202</w:t>
            </w:r>
            <w:bookmarkEnd w:id="41"/>
            <w:r>
              <w:rPr>
                <w:sz w:val="24"/>
                <w:szCs w:val="24"/>
              </w:rPr>
              <w:t>9</w:t>
            </w:r>
          </w:p>
        </w:tc>
      </w:tr>
    </w:tbl>
    <w:p>
      <w:pPr>
        <w:sectPr>
          <w:headerReference w:type="even" r:id="rId2"/>
          <w:headerReference w:type="defaul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4"/>
        <w:numPr>
          <w:ilvl w:val="1"/>
          <w:numId w:val="3"/>
        </w:numPr>
        <w:ind w:left="426" w:hanging="426"/>
        <w:rPr/>
      </w:pPr>
      <w:bookmarkStart w:id="42" w:name="__RefHeading___Toc1613_3110842878"/>
      <w:bookmarkStart w:id="43" w:name="_Toc51339698"/>
      <w:bookmarkStart w:id="44" w:name="_Toc54643709"/>
      <w:bookmarkStart w:id="45" w:name="_Toc135150402"/>
      <w:bookmarkStart w:id="46" w:name="_Toc54643708"/>
      <w:bookmarkStart w:id="47" w:name="_Toc46743511"/>
      <w:bookmarkEnd w:id="42"/>
      <w:r>
        <w:rPr/>
        <w:t xml:space="preserve">Требования к </w:t>
      </w:r>
      <w:bookmarkEnd w:id="47"/>
      <w:r>
        <w:rPr>
          <w:lang w:val="ru-RU"/>
        </w:rPr>
        <w:t>качеству услуг</w:t>
      </w:r>
      <w:bookmarkEnd w:id="45"/>
      <w:bookmarkEnd w:id="46"/>
    </w:p>
    <w:p>
      <w:pPr>
        <w:pStyle w:val="Heading1"/>
        <w:tabs>
          <w:tab w:val="clear" w:pos="0"/>
        </w:tabs>
        <w:ind w:left="0" w:hanging="0"/>
        <w:rPr>
          <w:sz w:val="24"/>
          <w:szCs w:val="24"/>
        </w:rPr>
      </w:pPr>
      <w:bookmarkStart w:id="48" w:name="__RefHeading___Toc1615_3110842878"/>
      <w:bookmarkStart w:id="49" w:name="_Toc135150403"/>
      <w:bookmarkEnd w:id="48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</w:t>
      </w:r>
      <w:bookmarkEnd w:id="43"/>
      <w:bookmarkEnd w:id="44"/>
      <w:bookmarkEnd w:id="49"/>
      <w:r>
        <w:rPr>
          <w:sz w:val="24"/>
          <w:szCs w:val="24"/>
          <w:lang w:val="ru-RU"/>
        </w:rPr>
        <w:t xml:space="preserve">Требования к качеству продукции </w:t>
      </w:r>
    </w:p>
    <w:p>
      <w:pPr>
        <w:pStyle w:val="Heading1"/>
        <w:tabs>
          <w:tab w:val="clear" w:pos="0"/>
        </w:tabs>
        <w:ind w:left="0" w:hanging="0"/>
        <w:jc w:val="both"/>
        <w:rPr>
          <w:sz w:val="24"/>
          <w:szCs w:val="24"/>
        </w:rPr>
      </w:pPr>
      <w:r>
        <w:rPr>
          <w:b/>
          <w:bCs/>
          <w:sz w:val="24"/>
          <w:szCs w:val="24"/>
          <w:lang w:val="ru-RU" w:eastAsia="en-US"/>
        </w:rPr>
        <w:t>Наименование услуг/этапа услуг (таблица 2):</w:t>
      </w:r>
      <w:r>
        <w:rPr>
          <w:sz w:val="24"/>
          <w:szCs w:val="24"/>
          <w:lang w:val="ru-RU" w:eastAsia="en-US"/>
        </w:rPr>
        <w:t xml:space="preserve"> </w:t>
      </w:r>
      <w:r>
        <w:rPr>
          <w:b w:val="false"/>
          <w:bCs w:val="false"/>
          <w:sz w:val="24"/>
          <w:szCs w:val="24"/>
          <w:lang w:val="ru-RU" w:eastAsia="en-US"/>
        </w:rPr>
        <w:t>ОКПД 2 86.21.10 Оказание услуг по проведению предрейсовых и послерейсовых осмотров водителей посредством телемедицины в Магаданской, Амурской, Сахалинской областях, Хабаровском, Приморском краях и Республики Саха (Якутия) для нужд Дальневосточного филиала АО «ТК РусГидро».</w:t>
      </w:r>
    </w:p>
    <w:p>
      <w:pPr>
        <w:pStyle w:val="Normal"/>
        <w:tabs>
          <w:tab w:val="clear" w:pos="708"/>
        </w:tabs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</w:tabs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541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91"/>
        <w:gridCol w:w="3829"/>
        <w:gridCol w:w="3614"/>
        <w:gridCol w:w="2784"/>
        <w:gridCol w:w="2482"/>
        <w:gridCol w:w="1715"/>
      </w:tblGrid>
      <w:tr>
        <w:trPr>
          <w:trHeight w:val="276" w:hRule="atLeast"/>
        </w:trPr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>
          <w:trHeight w:val="1380" w:hRule="atLeast"/>
        </w:trPr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8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61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7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>
          <w:trHeight w:val="216" w:hRule="atLeast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jc w:val="center"/>
              <w:rPr>
                <w:rFonts w:eastAsia="Calibri"/>
                <w:b/>
                <w:sz w:val="24"/>
                <w:szCs w:val="24"/>
                <w:lang w:val="en-US"/>
              </w:rPr>
            </w:pPr>
            <w:r>
              <w:rPr>
                <w:rFonts w:eastAsia="Calibr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6</w:t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оказанию услуг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82" w:hRule="atLeast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оказанию услуг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2604" w:hRule="atLeast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ind w:left="25" w:hanging="0"/>
              <w:contextualSpacing/>
              <w:rPr>
                <w:rFonts w:eastAsia="Calibri"/>
                <w:bCs/>
                <w:sz w:val="24"/>
                <w:szCs w:val="24"/>
                <w:lang w:val="en-US"/>
              </w:rPr>
            </w:pPr>
            <w:r>
              <w:rPr>
                <w:rFonts w:eastAsia="Calibri"/>
                <w:bCs/>
                <w:sz w:val="24"/>
                <w:szCs w:val="24"/>
                <w:lang w:val="en-US"/>
              </w:rPr>
              <w:t>1.1.1.</w:t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Предрейсовые и послерейсовые медицинские осмотры (далее – медицинские осмотры») водителей транспортных средств проводятся в соответствии со ст. 20, 23 Федерального Закона от 10.12.1995 г. № 196-ФЗ «О безопасности дорожного движения», Порядком и периодичностью проведения предсменных, предрейсовых и послесменных, послерейсовых медицинских осмотров, медицинских осмотров в течение рабочего дня (смены) и перечень включаемых в них исследований утвержденным приказом Министерства здравоохранения РФ от 30 мая 2023 г. N 266н, Постановлением Правительства РФ от 30.05.2023 N 866 "Об особенностях проведения медицинских осмотров с использованием медицинских изделий, обеспечивающих автоматизированную дистанционную передачу информации о состоянии здоровья работников и дистанционный контроль состояния их здоровья".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421" w:hRule="atLeast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1.1.2.</w:t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должен обладать действующей лицензией на осуществление медицинской деятельности в соответствии с Федеральным законом от 04.05.2011 N 99-ФЗ "О лицензировании отдельных видов деятельности".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составе заявки Участник предоставляет  сканкопию действующей лицензии со всеми приложениями в формате PortableDocumentFormat (*.pdf) или копию выписки из реестра лицензий в формате PortableDocumentFormat (*.pdf).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1" w:hRule="atLeast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1.1.3.</w:t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предоставляет Заказчику ПАК.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ПАК для проведения предрейсовых и послерейсовых осмотров осуществляется по следующим адресам: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676730, Амурская обл., Бурейский р-н, пгт. Талакан, база оборудования Бурейской ГЭС – </w:t>
            </w:r>
            <w:r>
              <w:rPr>
                <w:b/>
                <w:sz w:val="24"/>
                <w:szCs w:val="24"/>
              </w:rPr>
              <w:t>1 шт</w:t>
            </w:r>
            <w:r>
              <w:rPr>
                <w:iCs/>
                <w:sz w:val="24"/>
                <w:szCs w:val="24"/>
              </w:rPr>
              <w:t>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676246, Амурская обл, г. Зея, Зейская ГЭС – </w:t>
            </w:r>
            <w:r>
              <w:rPr>
                <w:b/>
                <w:sz w:val="24"/>
                <w:szCs w:val="24"/>
              </w:rPr>
              <w:t>1 шт</w:t>
            </w:r>
            <w:r>
              <w:rPr>
                <w:iCs/>
                <w:sz w:val="24"/>
                <w:szCs w:val="24"/>
              </w:rPr>
              <w:t>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680032, Хабаровский кр., г. Хабаровск, ул. Автономная, д. 5А – </w:t>
            </w:r>
            <w:r>
              <w:rPr>
                <w:b/>
                <w:sz w:val="24"/>
                <w:szCs w:val="24"/>
              </w:rPr>
              <w:t>1 шт</w:t>
            </w:r>
            <w:r>
              <w:rPr>
                <w:iCs/>
                <w:sz w:val="24"/>
                <w:szCs w:val="24"/>
              </w:rPr>
              <w:t>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676720, Амурская обл., Бурейский р-н, пгт. Новобурейский, база оборудования Нижне-Бурейской ГЭС </w:t>
            </w:r>
            <w:r>
              <w:rPr>
                <w:sz w:val="24"/>
                <w:szCs w:val="24"/>
              </w:rPr>
              <w:t xml:space="preserve">– </w:t>
            </w:r>
            <w:r>
              <w:rPr>
                <w:b/>
                <w:sz w:val="24"/>
                <w:szCs w:val="24"/>
              </w:rPr>
              <w:t>1 шт</w:t>
            </w:r>
            <w:r>
              <w:rPr>
                <w:iCs/>
                <w:sz w:val="24"/>
                <w:szCs w:val="24"/>
              </w:rPr>
              <w:t>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678960, Республики Саха (Якутия), г. Нерюнгри – </w:t>
            </w:r>
            <w:r>
              <w:rPr>
                <w:b/>
                <w:sz w:val="24"/>
                <w:szCs w:val="24"/>
              </w:rPr>
              <w:t>1 шт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686222, Магаданская обл., Ягодинский р-н, пгт. Синегорье - </w:t>
            </w:r>
            <w:r>
              <w:rPr>
                <w:b/>
                <w:sz w:val="24"/>
                <w:szCs w:val="24"/>
              </w:rPr>
              <w:t>1 шт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690034, Приморский край, г. Владивосток, ул. Фадеева, д.47. - </w:t>
            </w:r>
            <w:r>
              <w:rPr>
                <w:b/>
                <w:iCs/>
                <w:sz w:val="24"/>
                <w:szCs w:val="24"/>
              </w:rPr>
              <w:t>1 шт</w:t>
            </w:r>
            <w:r>
              <w:rPr>
                <w:iCs/>
                <w:sz w:val="24"/>
                <w:szCs w:val="24"/>
              </w:rPr>
              <w:t>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680021, Хабаровский кр., г. Хабаровск, ул. Ленинградская, д. 46 – </w:t>
            </w:r>
            <w:r>
              <w:rPr>
                <w:b/>
                <w:iCs/>
                <w:sz w:val="24"/>
                <w:szCs w:val="24"/>
              </w:rPr>
              <w:t>1 шт.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693000, Сахалинская область, г. Южно-Сахалинск - </w:t>
            </w:r>
            <w:r>
              <w:rPr>
                <w:b/>
                <w:iCs/>
                <w:sz w:val="24"/>
                <w:szCs w:val="24"/>
              </w:rPr>
              <w:t>1 шт.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Ежедневное проведение предрейсовых и послерейсовых медицинских осмотров водителей транспортных средств.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решения вопроса о допуске водителя к работе при медицинском осмотре проводятся все необходимые исследования, в том числе: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визуальный осмотр видимых кожных покровов осматриваемого;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общая термометрия;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измерение артериального давления на периферических артериях и исследование пульса;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 количественное определение алкоголя в выдыхаемом воздухе;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90" w:hRule="atLeast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1.3.3.</w:t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проведении медицинских осмотров с использованием медицинских изделий Исполнителем должна быть обеспечена идентификация личности работника, проходящего медицинский осмотр, исключающая прохождение медицинского осмотра с использованием медицинских изделий иным лицом.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90" w:hRule="atLeast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1.3.4.</w:t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не допуске работника к работе по здоровью сообщить об этом Заказчику в течение не более 30 (тридцати) минут, сформировать электронное «Направление к участковому терапевту по месту жительства» и отправить по электронной почте Заказчику по адресу: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Style w:val="Hyperlink"/>
                <w:sz w:val="24"/>
                <w:szCs w:val="24"/>
              </w:rPr>
              <w:t>OslopovPA@rushydro.ru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Оборудование, применяемое для проведения медицинского осмотра должно</w:t>
            </w:r>
            <w:r>
              <w:rPr>
                <w:color w:val="333333"/>
                <w:sz w:val="24"/>
                <w:szCs w:val="24"/>
              </w:rPr>
              <w:t xml:space="preserve"> соответствовать нормам безопасности и технико-эксплуатационной надёжности,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1.4.2.</w:t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 должно пройти регистрацию в соответствии с постановлением Правительства Российской Федерации от 27 декабря 2012 г. № 1416 "Об утверждении Правил государственной регистрации медицинских изделий", или регистрацию в соответствии с международными договорами и актами, составляющими право Евразийского экономического союза;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1.4.3.</w:t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Аппаратура и приборы не должны представлять угрозы для обследуемых и окружающей среды (при соблюдении инструкций, правил применения и эксплуатации и поддержании стабильных внешних условий).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1.4.4.</w:t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приборы, оборудование и материалы для оказания услуг, должны быть сертифицированы для применения на территории РФ, своевременно проходить все необходимые поверки, и применяться в соответствии с инструкцией по эксплуатации (при необходимости).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1.4.5.</w:t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Медицинское изделие имеет функцию автоматизированной дистанционной передачи данных и (или) имеет в составе программное обеспечение и (или) иные технические средства, обеспечивающие дистанционную передачу информации о состоянии здоровья работников и дистанционный контроль состояния их здоровья, в том числе оформление медицинским работником медицинских заключений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1.4.6.</w:t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Медицинское изделие обладает техническими характеристиками, обеспечивающими возможность визуального осмотра медицинским работником, проводящим медицинский осмотр, работника, проходящего медицинский осмотр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1.4.7.</w:t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проведении медицинских осмотров с использованием медицинских изделий Исполнителем обеспечивается: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запись средствами видеофиксации процессов проведения идентификации личности работника и измерений с согласия работника, проходящего медицинский осмотр;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выполнение требований эксплуатационной документации на медицинское изделие;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 хранение не менее 30 суток информации о результатах проведенных измерений с использованием медицинского изделия, а также результатах медицинского осмотра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1.4.8.</w:t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Соглашение с ОАО «НИИАТ» по информационному взаимодействию, предусмотренное подпунктом «Г» п.13 особенностей проведения медицинских осмотров с использованием медицинских изделий, обеспечивающих автоматизированную дистанционную передачу информации о состоянии здоровья работников и дистанционный контроль состояния их здоровья, утвержденных постановлением Правительства РФ от 30.05.2023 №866 и распоряжением Минтранса РФ от 18.08.2023 № ВС-171-Р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основании Постановления Правительства РФ от 30 мая 2023 г. N 866 «Об особенностях проведения медицинских осмотров с использованием медицинских изделий, обеспечивающих автоматизированную дистанционную передачу информации о состоянии здоровья работников и дистанционный контроль состояния их здоровья» Исполнитель обязан предоставить заверенные копии: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свидетельство о государственной регистрации программы для программно-аппаратного комплекса;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сертификат соответствия на программно-аппаратный комплекс;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Регистрационное удостоверение на медицинское изделие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документы о поверке приборов.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скан- копий на этапе подачи заявок: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соглашение с ОАО «НИИАТ»;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свидетельство о государственной регистрации программы для </w:t>
            </w:r>
            <w:r>
              <w:rPr/>
              <w:commentReference w:id="0"/>
            </w:r>
            <w:r>
              <w:rPr>
                <w:sz w:val="24"/>
                <w:szCs w:val="24"/>
              </w:rPr>
              <w:t>программно-аппаратного комплекса;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сертификат соответствия на программно-аппаратный комплекс;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регистрационное удостоверение на медицинское изделие;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 о поверке приборов.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1.4.9.</w:t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должен гарантировать обеспечение бесперебойной работы аппарата для проведения дистанционного медицинского осмотра, обеспечить наличие технической поддержки для устранения неполадок оборудования, а также своевременную поверку и техническое обслуживание приборов .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1.4.10</w:t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Программно-аппаратный комплекс, за исключением манжеты тонометра, должен быть встроен в единый антивандальный корпус для предотвращения механических повреждений и оснащен: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прибором для измерения давления и пульса;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манжетой (максимальный обхват руки не менее 42 см, допустимая погрешность при измерении давления не более 3 мм рт. ст., диапазон измерений пульса не менее 40 и не более 180 ударов в минуту);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прибором для регистрации паров алкоголя (бесконтактный алкотестер, способ измерения: путем выдыхания воздуха в технологическое отверстие на приборе, тип датчика –электрохимический);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прибором для измерения температуры тела;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принтером для печати наклейки с результатами осмотра в соответствии с нормативными актами (метод печати – термопечать);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видеокамерой высокого разрешения;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основным экраном с инструкциями.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1.4.11.</w:t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проведении медицинского осмотра с помощью телемедицинских технологий Исполнителем должна быть обеспечена: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обязательная фотофиксация каждого этапа проведения медицинского осмотра;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пропускная способность программно-аппаратного комплекса не менее 30 (тридцати) человек в час;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обязательная идентификация работника при прохождении медицинского осмотра;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ведение электронного журнала прохождения медицинского осмотра с возможностью распечатки его за любой период времени;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выдача наклейки с заключением по медицинского осмотру в соответствии с нормативными актами РФ, регламентирующими данный вид деятельности;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круглосуточная, без выходных и праздничных дней, техническая поддержка и возможность замены неисправного программно-аппаратного комплекса – в течении 15 рабочих дней с даты передачи информации о неисправности от Заказчика.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47" w:hRule="atLeast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  <w:tab w:val="left" w:pos="1276" w:leader="none"/>
              </w:tabs>
              <w:ind w:left="0" w:hanging="0"/>
              <w:jc w:val="both"/>
              <w:rPr/>
            </w:pPr>
            <w:r>
              <w:rPr/>
              <w:t>Обеспечить проведение медицинских осмотров в отношении всех работников Заказчика, данные которых внесены Заказчиком в базу данных посредством сервиса «Личный кабинет»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</w:r>
          </w:p>
        </w:tc>
      </w:tr>
      <w:tr>
        <w:trPr>
          <w:trHeight w:val="1029" w:hRule="atLeast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Вести ежедневный учет проведенных осмотров, обеспечивать внесение полученных данных в электронный Журнал регистрации предрейсовых (предсменных) медицинских осмотров и Журнал регистрации послерейсовых (послесменных) медицинских осмотров.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следующего рабочего дня после подписания настоящего Договора передать Заказчику логин и пароль для входа в «Личный кабинет» руководителя и уполномоченного сотрудника Заказчика.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Передача логина и пароля осуществляется путем направления Исполнителем письма на адрес электронной почты Заказчика, указанный в разделе «Адреса и банковские реквизиты Сторон» настоящего Договора.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Медицинские работники, проводящие медицинские осмотры с использованием медицинских изделий, должны быть обучены по программам дополнительного профессионального образования - программам повышения квалификации по вопросам организации и порядка проведения медицинских осмотров с использованием медицинских изделий в объеме не менее 36 часов.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3.1.</w:t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ind w:left="25" w:hanging="0"/>
              <w:contextualSpacing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3.1.1.</w:t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Результаты проведенных предрейсовых и послерейсовых медицинских осмотров вносятся в Журнал регистрации предрейсовых, медицинских осмотров и Журнал регистрации послерейсовых, медицинских осмотров. Внесенные сведения заверяются усиленной квалифицированной электронной подписью медицинского работника Исполнителя.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3.1.2.</w:t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Сбор, хранение и передача персональных данных по защищенным каналам связи осуществляются в соответствии с законодательством Российской Федерации в области персональных данных с соблюдением врачебной тайны.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    </w:t>
            </w: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4.1.</w:t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проведении медицинского осмотра, в случае обнаружения факторов, препятствующих допуску водителя к работе, составляются акты в двух экземплярах. Один экземпляр акта остается у медицинского работника «Исполнителя», второй экземпляр передается руководителю или уполномоченному лицу «Заказчика», который, в свою очередь, принимает решение в отношении данного водителя.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4.2.</w:t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Результаты проведенных медицинских осмотров вносятся в Журнал регистрации предрейсовьгх и послерейсовых медицинских осмотров (далее - Журнал), в котором указывается следующая информация о работнике: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дата и время проведения медицинского осмотра;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фамилия, имя, отчество работника;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пол работника;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дата рождения работника;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результаты исследований;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заключение о результатах медицинского осмотра;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идентификатор усиленной квалифицированной электронной подписи медицинского работника.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Журналы ведутся в форме электронной таблицы в течение всего периода оказания услуг по настоящему Договору, с учетом требований законодательства о персональных данных и обязательной возможностью распечатки страницы.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5.1.</w:t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обязуются сохранять конфиденциальность информации, полученной в ходе исполнения услуг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</w:t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Передача конфиденциальной информации третьим лицам, опубликование или иное разглашение такой информации может осуществляться только с письменного согласия Сторон, </w:t>
            </w:r>
            <w:r>
              <w:rPr>
                <w:color w:val="000000"/>
                <w:spacing w:val="7"/>
                <w:sz w:val="24"/>
                <w:szCs w:val="24"/>
              </w:rPr>
              <w:t>за исключением случаев, предусмотренных законодательством Российской Федерации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5.3.</w:t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по проведению предрейсовых и послерейсовых медицинских осмотров должны быть безопасны и должны исключать возможность причинения вреда здоровью работникам Заказчика.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6.</w:t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ind w:left="25" w:hanging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6.1.</w:t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Медицинское заключение по результатам медицинского осмотра, проведенного с использованием медицинского изделия, оформляется медицинским работником, проводящим медицинский осмотр, с использованием усиленной квалифицированной электронной подписи медицинского работника с учетом полученных дистанционным способом медицинских показателей работника, проходящего медицинский осмотр.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6.2.</w:t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Подводить итоги предрейсовых и послерейсовых медицинских осмотров с анализом причин отстранения от работы водителей транспортных средств и результаты доводить до сведения Заказчика.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обязан проводить предрейсовый и послерейсовый медицинский осмотр водителей транспортных средств Заказчика в соответствии с обязательными требованиями и правилами, установленными действующим законодательством в РФ.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1444" w:hRule="atLeast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.1.</w:t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несет ответственность предусмотренных законодательством РФ за качество проведенного предрейсового медицинского осмотра и выдачу заключения о допуске водителей к управлению транспортным средством.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9.</w:t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требования к оказанию услуг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9.1.</w:t>
            </w:r>
          </w:p>
        </w:tc>
        <w:tc>
          <w:tcPr>
            <w:tcW w:w="7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оказания услуг предрейсовых осмотров в рабочие, выходные и праздничные дни круглосуточно.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оказания услуг послерейсовых осмотров в рабочие, выходные и праздничные дни круглосуточно.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возможностью оказания услуг в любое время при возникновении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аварийных ситуаций.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8"/>
        </w:tabs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</w:tabs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</w:tabs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3"/>
        <w:keepNext w:val="true"/>
        <w:widowControl/>
        <w:numPr>
          <w:ilvl w:val="0"/>
          <w:numId w:val="0"/>
        </w:numPr>
        <w:suppressAutoHyphens w:val="true"/>
        <w:bidi w:val="0"/>
        <w:spacing w:before="120" w:after="60"/>
        <w:ind w:left="1134" w:hanging="0"/>
        <w:jc w:val="left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eastAsia="x-none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eastAsia="x-none" w:bidi="ar-SA"/>
        </w:rPr>
        <w:t>2.2.1.  В составе заявки необходимо предоставить: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- Скан-копию действующей лицензии со всеми приложениями в формате PortableDocumentFormat (*.pdf) или копию выписки из реестра лицензий в формате PortableDocumentFormat (*.pdf).</w:t>
      </w:r>
    </w:p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extDirection w:val="lrTb"/>
          <w:docGrid w:type="default" w:linePitch="381" w:charSpace="0"/>
        </w:sect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- Скан-копии: соглашение с ОАО «НИИАТ»; свидетельство о государственной регистрации программы для программно-аппаратного комплекса; сертификат соответствия на программно-аппаратный комплекс; регистрационное удостоверение на медицинское изделие; документы о поверке приборов.</w:t>
      </w:r>
      <w:r>
        <w:br w:type="page"/>
      </w:r>
    </w:p>
    <w:p>
      <w:pPr>
        <w:pStyle w:val="Heading1"/>
        <w:numPr>
          <w:ilvl w:val="0"/>
          <w:numId w:val="3"/>
        </w:numPr>
        <w:ind w:left="426" w:hanging="426"/>
        <w:jc w:val="center"/>
        <w:rPr>
          <w:b/>
          <w:bCs/>
        </w:rPr>
      </w:pPr>
      <w:bookmarkStart w:id="50" w:name="__RefHeading___Toc5450_315841478"/>
      <w:bookmarkStart w:id="51" w:name="_Toc54643710"/>
      <w:bookmarkStart w:id="52" w:name="_Toc135150404"/>
      <w:bookmarkStart w:id="53" w:name="_Toc53393312"/>
      <w:bookmarkStart w:id="54" w:name="_Toc53395937"/>
      <w:bookmarkEnd w:id="50"/>
      <w:r>
        <w:rPr>
          <w:b/>
          <w:bCs/>
          <w:sz w:val="28"/>
          <w:szCs w:val="28"/>
        </w:rPr>
        <w:t>Требования к документации по ценообразованию</w:t>
      </w:r>
      <w:bookmarkEnd w:id="53"/>
      <w:bookmarkEnd w:id="54"/>
      <w:r>
        <w:rPr>
          <w:b/>
          <w:bCs/>
          <w:sz w:val="28"/>
          <w:szCs w:val="28"/>
        </w:rPr>
        <w:t xml:space="preserve"> на этапе закупки</w:t>
      </w:r>
      <w:bookmarkEnd w:id="51"/>
      <w:bookmarkEnd w:id="52"/>
    </w:p>
    <w:p>
      <w:pPr>
        <w:pStyle w:val="ListParagraph"/>
        <w:numPr>
          <w:ilvl w:val="0"/>
          <w:numId w:val="0"/>
        </w:numPr>
        <w:ind w:left="0" w:hanging="0"/>
        <w:jc w:val="both"/>
        <w:rPr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>3.1 В обоснование стоимости своей заявки Участник предоставляет Коммерческое предложение.</w:t>
      </w:r>
    </w:p>
    <w:p>
      <w:pPr>
        <w:pStyle w:val="ListParagraph"/>
        <w:numPr>
          <w:ilvl w:val="0"/>
          <w:numId w:val="0"/>
        </w:numPr>
        <w:ind w:left="0" w:hanging="0"/>
        <w:jc w:val="both"/>
        <w:rPr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>3.2. Дополнительные документы по ценообразованию в состав заявки не включаются.</w:t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rmal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</w:r>
    </w:p>
    <w:p>
      <w:pPr>
        <w:pStyle w:val="Normal"/>
        <w:rPr>
          <w:rFonts w:eastAsia="Calibri"/>
        </w:rPr>
      </w:pPr>
      <w:r>
        <w:rPr/>
        <w:t>Подпись Ответственного исполнителя:</w:t>
      </w:r>
    </w:p>
    <w:p>
      <w:pPr>
        <w:pStyle w:val="Normal"/>
        <w:rPr>
          <w:highlight w:val="none"/>
          <w:shd w:fill="auto" w:val="clear"/>
        </w:rPr>
      </w:pPr>
      <w:r>
        <w:rPr>
          <w:shd w:fill="auto" w:val="clear"/>
        </w:rPr>
        <w:t>Ведущий инженер ОТ и БД</w:t>
        <w:tab/>
      </w:r>
    </w:p>
    <w:p>
      <w:pPr>
        <w:pStyle w:val="Normal"/>
        <w:rPr>
          <w:rFonts w:eastAsia="Calibri"/>
        </w:rPr>
      </w:pPr>
      <w:r>
        <w:rPr>
          <w:shd w:fill="auto" w:val="clear"/>
        </w:rPr>
        <w:t>Дальневосточного филиала АО «ТК РусГидро»  _____</w:t>
      </w:r>
      <w:r>
        <w:rPr/>
        <w:t xml:space="preserve">_______ </w:t>
      </w:r>
      <w:r>
        <w:rPr>
          <w:rFonts w:eastAsia="Calibri"/>
        </w:rPr>
        <w:t>К.В. Мирославская</w:t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/>
        <w:t>Согласовано:</w:t>
      </w:r>
    </w:p>
    <w:p>
      <w:pPr>
        <w:pStyle w:val="Normal"/>
        <w:rPr>
          <w:rFonts w:eastAsia="Calibri"/>
        </w:rPr>
      </w:pPr>
      <w:r>
        <w:rPr/>
        <w:t>Руководитель группы ОТ и ТБ</w:t>
        <w:tab/>
      </w:r>
    </w:p>
    <w:p>
      <w:pPr>
        <w:pStyle w:val="Normal"/>
        <w:rPr>
          <w:rFonts w:eastAsia="Calibri"/>
        </w:rPr>
      </w:pPr>
      <w:r>
        <w:rPr/>
        <w:t>Дальневосточного филиала АО «ТК РусГидро»</w:t>
        <w:tab/>
      </w:r>
      <w:r>
        <w:rPr>
          <w:b w:val="false"/>
          <w:bCs w:val="false"/>
          <w:u w:val="single"/>
        </w:rPr>
        <w:t xml:space="preserve"> </w:t>
        <w:tab/>
        <w:t xml:space="preserve">                </w:t>
      </w:r>
      <w:r>
        <w:rPr>
          <w:b w:val="false"/>
          <w:bCs w:val="false"/>
        </w:rPr>
        <w:t xml:space="preserve"> </w:t>
      </w:r>
      <w:r>
        <w:rPr/>
        <w:t xml:space="preserve">П.А. Ослопов </w:t>
      </w:r>
    </w:p>
    <w:sectPr>
      <w:headerReference w:type="default" r:id="rId6"/>
      <w:headerReference w:type="first" r:id="rId7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comment w:id="0" w:author="kharitonovays@corp.gidroogk.com" w:date="2026-09-21T12:03:55Z" w:initials="k">
    <w:p>
      <w:pPr>
        <w:overflowPunct w:val="fals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Требуется все эти документы предоставить или какой-то один?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15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9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5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b5269f"/>
    <w:pPr>
      <w:keepNext w:val="true"/>
      <w:tabs>
        <w:tab w:val="clear" w:pos="708"/>
        <w:tab w:val="left" w:pos="0" w:leader="none"/>
      </w:tabs>
      <w:spacing w:before="120" w:after="60"/>
      <w:ind w:left="426" w:hanging="426"/>
      <w:outlineLvl w:val="2"/>
    </w:pPr>
    <w:rPr>
      <w:rFonts w:eastAsia="Calibri"/>
      <w:b w:val="false"/>
      <w:bCs w:val="false"/>
      <w:sz w:val="20"/>
      <w:szCs w:val="20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b5269f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Ссылка указателя"/>
    <w:qFormat/>
    <w:rPr/>
  </w:style>
  <w:style w:type="character" w:styleId="FollowedHyperlink">
    <w:name w:val="FollowedHyperlink"/>
    <w:rPr>
      <w:color w:val="800080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13" w:customStyle="1">
    <w:name w:val="Название объекта1"/>
    <w:basedOn w:val="Normal"/>
    <w:qFormat/>
    <w:rsid w:val="006a3667"/>
    <w:pPr>
      <w:spacing w:lineRule="auto" w:line="276" w:before="0" w:after="200"/>
      <w:jc w:val="center"/>
    </w:pPr>
    <w:rPr>
      <w:rFonts w:ascii="Calibri" w:hAnsi="Calibri"/>
      <w:b/>
      <w:sz w:val="24"/>
      <w:szCs w:val="20"/>
    </w:rPr>
  </w:style>
  <w:style w:type="paragraph" w:styleId="Indexheading1">
    <w:name w:val="index heading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b97371"/>
    <w:pPr>
      <w:tabs>
        <w:tab w:val="clear" w:pos="708"/>
        <w:tab w:val="left" w:pos="284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dd2f9f"/>
    <w:pPr>
      <w:tabs>
        <w:tab w:val="clear" w:pos="708"/>
        <w:tab w:val="right" w:pos="9911" w:leader="dot"/>
      </w:tabs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dd2f9f"/>
    <w:pPr>
      <w:tabs>
        <w:tab w:val="clear" w:pos="708"/>
        <w:tab w:val="left" w:pos="1120" w:leader="none"/>
        <w:tab w:val="right" w:pos="9911" w:leader="none"/>
      </w:tabs>
      <w:spacing w:lineRule="auto" w:line="24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 w:customStyle="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7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comments" Target="comments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9BE5B-DC20-4B9D-B22D-780E14569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1657</TotalTime>
  <Application>AlterOffice/3.4.0.9$Linux_X86_64 LibreOffice_project/b8daf9e823b1a5463a2f48435ddc2e8696e7d4fc</Application>
  <AppVersion>15.0000</AppVersion>
  <Pages>15</Pages>
  <Words>2728</Words>
  <Characters>19214</Characters>
  <CharactersWithSpaces>21448</CharactersWithSpaces>
  <Paragraphs>499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2021-04-04T11:05:00Z</dcterms:created>
  <dc:creator>Быстров Олег Геннадьевич</dc:creator>
  <dc:description/>
  <dc:language>ru-RU</dc:language>
  <cp:lastModifiedBy/>
  <dcterms:modified xsi:type="dcterms:W3CDTF">2026-09-22T09:28:48Z</dcterms:modified>
  <cp:revision>172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