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word/header4.xml" ContentType="application/vnd.openxmlformats-officedocument.wordprocessingml.header+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sz w:val="24"/>
          <w:szCs w:val="24"/>
        </w:rPr>
      </w:pPr>
      <w:r>
        <w:rPr>
          <w:b/>
          <w:bCs/>
          <w:sz w:val="24"/>
          <w:szCs w:val="24"/>
        </w:rPr>
        <w:t>Договор поставки (проект)</w:t>
      </w:r>
    </w:p>
    <w:p>
      <w:pPr>
        <w:pStyle w:val="Normal"/>
        <w:shd w:val="clear" w:color="auto" w:fill="FFFFFF"/>
        <w:tabs>
          <w:tab w:val="clear" w:pos="708"/>
          <w:tab w:val="right" w:pos="9639" w:leader="none"/>
        </w:tabs>
        <w:jc w:val="right"/>
        <w:rPr>
          <w:bCs/>
          <w:sz w:val="24"/>
          <w:szCs w:val="24"/>
        </w:rPr>
      </w:pPr>
      <w:r>
        <w:rPr>
          <w:bCs/>
          <w:sz w:val="24"/>
          <w:szCs w:val="24"/>
        </w:rPr>
        <w:t>г. _________</w:t>
        <w:tab/>
        <w:t xml:space="preserve">   «___» _________ 202_ г.</w:t>
      </w:r>
    </w:p>
    <w:p>
      <w:pPr>
        <w:pStyle w:val="Normal"/>
        <w:shd w:val="clear" w:color="auto" w:fill="FFFFFF"/>
        <w:tabs>
          <w:tab w:val="clear" w:pos="708"/>
          <w:tab w:val="right" w:pos="9639" w:leader="none"/>
        </w:tabs>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«Дальневосточная распределительная сетевая компания» </w:t>
      </w:r>
      <w:r>
        <w:rPr>
          <w:sz w:val="24"/>
          <w:szCs w:val="24"/>
        </w:rPr>
        <w:t>(АО «ДРСК»)</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конкурентной процедуры по лоту № </w:t>
      </w:r>
      <w:r>
        <w:rPr>
          <w:sz w:val="24"/>
          <w:szCs w:val="24"/>
          <w:lang w:eastAsia="en-US"/>
        </w:rPr>
        <w:t xml:space="preserve">116401-ЭКСП ДИТ-2026-ДРСК </w:t>
      </w:r>
      <w:r>
        <w:rPr>
          <w:sz w:val="24"/>
          <w:szCs w:val="24"/>
          <w:highlight w:val="lightGray"/>
          <w:lang w:eastAsia="en-US"/>
        </w:rPr>
        <w:t>и на основании протокола __________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8"/>
          <w:tab w:val="left" w:pos="567" w:leader="none"/>
          <w:tab w:val="left" w:pos="1134" w:leader="none"/>
        </w:tabs>
        <w:ind w:firstLine="708" w:left="0"/>
        <w:jc w:val="both"/>
        <w:textAlignment w:val="baseline"/>
        <w:rPr>
          <w:sz w:val="24"/>
          <w:szCs w:val="24"/>
          <w:lang w:eastAsia="en-US"/>
        </w:rPr>
      </w:pPr>
      <w:r>
        <w:rPr>
          <w:b/>
          <w:sz w:val="24"/>
          <w:szCs w:val="24"/>
          <w:lang w:eastAsia="en-US"/>
        </w:rPr>
        <w:t xml:space="preserve"> </w:t>
      </w: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8"/>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r>
        <w:rPr/>
        <w:t xml:space="preserve"> </w:t>
      </w:r>
      <w:r>
        <w:rPr>
          <w:sz w:val="24"/>
          <w:szCs w:val="24"/>
          <w:lang w:eastAsia="en-US"/>
        </w:rPr>
        <w:t>При использовании Сторонами электронного документооборота, Стороны по договору вместо ТОРГ-12 оформляют УПД1. В этом случае условия Договора в отношении ТОРГ-12 применяются в равной степени к УПД.</w:t>
      </w:r>
    </w:p>
    <w:p>
      <w:pPr>
        <w:pStyle w:val="ListParagraph"/>
        <w:shd w:val="clear" w:color="auto" w:fill="FFFFFF"/>
        <w:tabs>
          <w:tab w:val="clear" w:pos="708"/>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 xml:space="preserve"> </w:t>
      </w: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8"/>
        <w:jc w:val="both"/>
        <w:rPr/>
      </w:pPr>
      <w:r>
        <w:rPr>
          <w:b/>
          <w:bCs/>
          <w:color w:val="00000A"/>
          <w:sz w:val="24"/>
          <w:szCs w:val="24"/>
          <w:lang w:eastAsia="en-US"/>
        </w:rPr>
        <w:t xml:space="preserve">«Универсальный передаточный документ (УПД)» </w:t>
      </w:r>
      <w:r>
        <w:rPr>
          <w:color w:val="00000A"/>
          <w:sz w:val="24"/>
          <w:szCs w:val="24"/>
          <w:lang w:eastAsia="en-US"/>
        </w:rPr>
        <w:t>–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услуг).</w:t>
      </w:r>
    </w:p>
    <w:p>
      <w:pPr>
        <w:pStyle w:val="Heading3"/>
        <w:keepNext w:val="false"/>
        <w:tabs>
          <w:tab w:val="clear" w:pos="708"/>
          <w:tab w:val="left" w:pos="0" w:leader="none"/>
        </w:tabs>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rPr>
        <w:t>Оборудование рабочих мест (далее – «Товар») в соответствии со Спецификациями (Приложения №1, №2, №3, №4, №5, №6), а Покупатель обязуется принять Товар и уплатить Цену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АО «ДРСК»</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Место поставки Товара: указано в Спецификациях (Приложения №1, №2, №3, №4, №5, №6) </w:t>
      </w:r>
      <w:r>
        <w:rPr>
          <w:sz w:val="24"/>
          <w:szCs w:val="24"/>
        </w:rPr>
        <w:t>(далее – «Место поставки»).</w:t>
      </w:r>
    </w:p>
    <w:p>
      <w:pPr>
        <w:pStyle w:val="Normal"/>
        <w:numPr>
          <w:ilvl w:val="1"/>
          <w:numId w:val="2"/>
        </w:numPr>
        <w:shd w:val="clear" w:color="auto" w:fill="FFFFFF"/>
        <w:tabs>
          <w:tab w:val="clear" w:pos="708"/>
          <w:tab w:val="left" w:pos="0" w:leader="none"/>
          <w:tab w:val="left" w:pos="540" w:leader="none"/>
          <w:tab w:val="left" w:pos="1134" w:leader="none"/>
          <w:tab w:val="left" w:pos="1419" w:leader="none"/>
        </w:tabs>
        <w:ind w:firstLine="709" w:left="0"/>
        <w:jc w:val="both"/>
        <w:rPr>
          <w:bCs/>
          <w:sz w:val="24"/>
          <w:szCs w:val="24"/>
        </w:rPr>
      </w:pPr>
      <w:r>
        <w:rPr>
          <w:bCs/>
          <w:sz w:val="24"/>
          <w:szCs w:val="24"/>
        </w:rPr>
        <w:t>Общий срок поставки Товара: в течение 60 календарных дней с момента заключения договора.</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Грузополучатели по настоящему договору указаны в спецификациях (Приложения №1, №2, №3, №4, №5, № 6).</w:t>
      </w:r>
    </w:p>
    <w:p>
      <w:pPr>
        <w:pStyle w:val="Normal"/>
        <w:shd w:val="clear" w:color="auto" w:fill="FFFFFF"/>
        <w:tabs>
          <w:tab w:val="clear" w:pos="708"/>
          <w:tab w:val="left" w:pos="540" w:leader="none"/>
        </w:tabs>
        <w:ind w:left="1134"/>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sz w:val="24"/>
          <w:szCs w:val="24"/>
        </w:rPr>
        <w:t>Цена Договора в соответствии со Спецификацией (</w:t>
      </w:r>
      <w:r>
        <w:rPr>
          <w:bCs/>
          <w:sz w:val="24"/>
          <w:szCs w:val="24"/>
        </w:rPr>
        <w:t>Приложения №1, №2, №3, №4, №5, № 6</w:t>
      </w:r>
      <w:r>
        <w:rPr>
          <w:sz w:val="24"/>
          <w:szCs w:val="24"/>
        </w:rPr>
        <w:t xml:space="preserve">) </w:t>
      </w:r>
      <w:r>
        <w:rPr>
          <w:bCs/>
          <w:sz w:val="24"/>
          <w:szCs w:val="24"/>
        </w:rPr>
        <w:t xml:space="preserve">является твердой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w:t>
      </w:r>
    </w:p>
    <w:p>
      <w:pPr>
        <w:pStyle w:val="Norma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производство и / или приобретение Товара;</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и размещение персонала Поставщика; </w:t>
      </w:r>
    </w:p>
    <w:p>
      <w:pPr>
        <w:pStyle w:val="Normal"/>
        <w:numPr>
          <w:ilvl w:val="2"/>
          <w:numId w:val="2"/>
        </w:numPr>
        <w:shd w:val="clear" w:color="auto" w:fill="FFFFFF"/>
        <w:tabs>
          <w:tab w:val="clear" w:pos="708"/>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8"/>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8"/>
          <w:tab w:val="left" w:pos="0" w:leader="none"/>
          <w:tab w:val="left" w:pos="1134" w:leader="none"/>
        </w:tabs>
        <w:ind w:firstLine="709" w:left="0"/>
        <w:jc w:val="both"/>
        <w:rPr>
          <w:sz w:val="24"/>
          <w:szCs w:val="24"/>
        </w:rPr>
      </w:pPr>
      <w:r>
        <w:rPr>
          <w:sz w:val="24"/>
          <w:szCs w:val="24"/>
        </w:rPr>
        <w:t xml:space="preserve">Оплата по Договору осуществляется Покупателем в следующем порядке: </w:t>
      </w:r>
    </w:p>
    <w:p>
      <w:pPr>
        <w:pStyle w:val="Normal"/>
        <w:widowControl/>
        <w:suppressAutoHyphens w:val="false"/>
        <w:jc w:val="both"/>
        <w:rPr>
          <w:sz w:val="24"/>
          <w:szCs w:val="24"/>
        </w:rPr>
      </w:pPr>
      <w:r>
        <w:rPr>
          <w:sz w:val="24"/>
          <w:szCs w:val="24"/>
        </w:rPr>
        <w:t>Оплата по Договору осуществляется Покупателем в течение 7 (семи) рабочих дней с даты подписания Сторонами Накладной ТОРГ-12/УПД на основании счета, выставленного Поставщиком, и с учетом пункта 2.4.1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Так как, предметом договора поставки является в том числе товар, подлежащий прослеживаемости согласно Постановлению Правительства от 01.07.2021 №1108 «Об утверждении Положения о национальной системе прослеживаемости товаров», Поставщик обязан представить Покупателю счета-фактуры (УПД), выставленные в сроки и оформленные в порядке, установленном законодательством Российской Федерации</w:t>
      </w:r>
      <w:r>
        <w:rPr>
          <w:rStyle w:val="FootnoteReference"/>
          <w:sz w:val="26"/>
          <w:szCs w:val="26"/>
        </w:rPr>
        <w:footnoteReference w:id="2"/>
      </w:r>
      <w:r>
        <w:rPr>
          <w:sz w:val="24"/>
          <w:szCs w:val="24"/>
        </w:rPr>
        <w:t xml:space="preserve">. В случае нарушения Поставщиком данного требования, он обязан произвести замену счета-фактуры (УПД)в течение 3 (трех) рабочих дней с даты получения соответствующего письменного требования Покупателя. </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 w:val="left" w:pos="1419" w:leader="none"/>
        </w:tabs>
        <w:ind w:firstLine="709" w:left="0"/>
        <w:jc w:val="both"/>
        <w:rPr>
          <w:sz w:val="24"/>
          <w:szCs w:val="24"/>
        </w:rPr>
      </w:pPr>
      <w:r>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shd w:val="clear" w:color="auto" w:fill="FFFFFF"/>
        <w:tabs>
          <w:tab w:val="clear" w:pos="708"/>
          <w:tab w:val="left" w:pos="0" w:leader="none"/>
          <w:tab w:val="left" w:pos="142" w:leader="none"/>
          <w:tab w:val="left" w:pos="567" w:leader="none"/>
          <w:tab w:val="left" w:pos="1134" w:leader="none"/>
        </w:tabs>
        <w:ind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Normal"/>
        <w:shd w:val="clear" w:color="auto" w:fill="FFFFFF"/>
        <w:tabs>
          <w:tab w:val="clear" w:pos="708"/>
          <w:tab w:val="left" w:pos="0" w:leader="none"/>
          <w:tab w:val="left" w:pos="567" w:leader="none"/>
          <w:tab w:val="left" w:pos="716" w:leader="none"/>
          <w:tab w:val="left" w:pos="1134" w:leader="none"/>
        </w:tabs>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sz w:val="24"/>
          <w:szCs w:val="24"/>
        </w:rPr>
        <w:t>Поставка Товара осуществляется партиями в Место поставки, указанное в пункте 1.3 Договора.</w:t>
      </w:r>
    </w:p>
    <w:p>
      <w:pPr>
        <w:pStyle w:val="ListParagraph"/>
        <w:widowControl/>
        <w:numPr>
          <w:ilvl w:val="1"/>
          <w:numId w:val="2"/>
        </w:numPr>
        <w:shd w:val="clear" w:color="auto" w:fill="FFFFFF"/>
        <w:tabs>
          <w:tab w:val="clear" w:pos="708"/>
          <w:tab w:val="left" w:pos="709" w:leader="none"/>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требованиям Договора в том числе, указанным в спецификациях (Приложения №1, №2, №3, №4, №5, № 6), а также Применимого права.</w:t>
      </w:r>
    </w:p>
    <w:p>
      <w:pPr>
        <w:pStyle w:val="ListParagraph"/>
        <w:widowControl/>
        <w:shd w:val="clear" w:color="auto" w:fill="FFFFFF"/>
        <w:tabs>
          <w:tab w:val="clear" w:pos="708"/>
          <w:tab w:val="left" w:pos="1134" w:leader="none"/>
        </w:tabs>
        <w:ind w:firstLine="709" w:left="0"/>
        <w:jc w:val="both"/>
        <w:rPr>
          <w:bCs/>
          <w:sz w:val="24"/>
          <w:szCs w:val="24"/>
        </w:rPr>
      </w:pPr>
      <w:r>
        <w:rPr>
          <w:bCs/>
          <w:sz w:val="24"/>
          <w:szCs w:val="24"/>
        </w:rPr>
        <w:t>Поставщик не вправе производить 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Поставляемый Товар должен быть новым, не ранее 4 квартала 2024 года выпуска,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3"/>
        </w:numPr>
        <w:tabs>
          <w:tab w:val="clear" w:pos="708"/>
          <w:tab w:val="left" w:pos="1418" w:leader="none"/>
        </w:tabs>
        <w:ind w:firstLine="709" w:left="0"/>
        <w:jc w:val="both"/>
        <w:rPr>
          <w:sz w:val="24"/>
          <w:szCs w:val="24"/>
        </w:rPr>
      </w:pPr>
      <w:r>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Pr>
          <w:color w:val="000000"/>
          <w:sz w:val="24"/>
          <w:szCs w:val="24"/>
          <w:highlight w:val="lightGray"/>
        </w:rPr>
        <w:t>сертификат о происхождении товара</w:t>
      </w:r>
      <w:r>
        <w:rPr>
          <w:color w:val="000000"/>
          <w:sz w:val="24"/>
          <w:szCs w:val="24"/>
        </w:rPr>
        <w:t xml:space="preserve"> </w:t>
      </w:r>
      <w:r>
        <w:rPr>
          <w:sz w:val="24"/>
          <w:szCs w:val="24"/>
        </w:rPr>
        <w:t>и т.п.) в зависимости от номенклатуры поставляемого Товара;</w:t>
      </w:r>
    </w:p>
    <w:p>
      <w:pPr>
        <w:pStyle w:val="Normal"/>
        <w:numPr>
          <w:ilvl w:val="0"/>
          <w:numId w:val="3"/>
        </w:numPr>
        <w:shd w:val="clear" w:color="auto" w:fill="FFFFFF"/>
        <w:tabs>
          <w:tab w:val="clear" w:pos="708"/>
          <w:tab w:val="left" w:pos="1418" w:leader="none"/>
        </w:tabs>
        <w:ind w:firstLine="709" w:left="0"/>
        <w:jc w:val="both"/>
        <w:rPr>
          <w:sz w:val="24"/>
          <w:szCs w:val="24"/>
        </w:rPr>
      </w:pPr>
      <w:r>
        <w:rPr>
          <w:sz w:val="24"/>
          <w:szCs w:val="24"/>
        </w:rPr>
        <w:t>накладная ТОРГ-12/УПД</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bookmarkStart w:id="0"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w:t>
      </w:r>
      <w:bookmarkStart w:id="1" w:name="_GoBack"/>
      <w:bookmarkEnd w:id="1"/>
      <w:r>
        <w:rPr>
          <w:bCs/>
          <w:sz w:val="24"/>
          <w:szCs w:val="24"/>
        </w:rPr>
        <w:t xml:space="preserve"> с учетом возможных перегрузок и длительного хранения.</w:t>
      </w:r>
      <w:bookmarkEnd w:id="0"/>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Спецификациях (Приложения №1, №2, №3, №4, №5, № 6). </w:t>
      </w:r>
    </w:p>
    <w:p>
      <w:pPr>
        <w:pStyle w:val="ListParagraph"/>
        <w:shd w:val="clear" w:color="auto" w:fill="FFFFFF"/>
        <w:tabs>
          <w:tab w:val="clear" w:pos="708"/>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включена в стоимость Товара.</w:t>
      </w:r>
    </w:p>
    <w:p>
      <w:pPr>
        <w:pStyle w:val="ListParagraph"/>
        <w:widowContro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bookmarkStart w:id="2" w:name="_Ref361396594"/>
      <w:r>
        <w:rPr>
          <w:sz w:val="24"/>
          <w:szCs w:val="24"/>
        </w:rPr>
        <w:t xml:space="preserve">Датой поставки партии Товара является дата подписания Сторонами накладной </w:t>
        <w:br/>
        <w:t>ТОРГ-12.</w:t>
      </w:r>
      <w:bookmarkEnd w:id="2"/>
      <w:r>
        <w:rPr>
          <w:sz w:val="24"/>
          <w:szCs w:val="24"/>
        </w:rPr>
        <w:t xml:space="preserve">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партии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pPr>
        <w:pStyle w:val="ListParagraph"/>
        <w:shd w:val="clear" w:color="auto" w:fill="FFFFFF"/>
        <w:tabs>
          <w:tab w:val="clear" w:pos="708"/>
          <w:tab w:val="left" w:pos="1418" w:leader="none"/>
        </w:tabs>
        <w:ind w:firstLine="709" w:left="0"/>
        <w:jc w:val="both"/>
        <w:rPr>
          <w:sz w:val="24"/>
          <w:szCs w:val="24"/>
        </w:rPr>
      </w:pPr>
      <w:bookmarkStart w:id="3"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3"/>
      <w:r>
        <w:rPr>
          <w:sz w:val="24"/>
          <w:szCs w:val="24"/>
        </w:rPr>
        <w:t xml:space="preserve"> </w:t>
      </w:r>
    </w:p>
    <w:p>
      <w:pPr>
        <w:pStyle w:val="Normal"/>
        <w:widowControl/>
        <w:shd w:val="clear" w:color="auto" w:fill="FFFFFF"/>
        <w:tabs>
          <w:tab w:val="clear" w:pos="708"/>
          <w:tab w:val="left" w:pos="1134" w:leader="none"/>
          <w:tab w:val="left" w:pos="1418" w:leader="none"/>
        </w:tabs>
        <w:ind w:firstLine="709"/>
        <w:jc w:val="both"/>
        <w:rPr>
          <w:bCs/>
          <w:sz w:val="24"/>
          <w:szCs w:val="24"/>
        </w:rPr>
      </w:pPr>
      <w:r>
        <w:rPr>
          <w:bCs/>
          <w:sz w:val="24"/>
          <w:szCs w:val="24"/>
        </w:rPr>
        <w:t xml:space="preserve">В случаях, указанных в настоящем пункте, Покупатель также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shd w:val="clear" w:color="auto" w:fill="FFFFFF"/>
        <w:tabs>
          <w:tab w:val="clear" w:pos="708"/>
          <w:tab w:val="left" w:pos="1134" w:leader="none"/>
          <w:tab w:val="left" w:pos="1418" w:leader="none"/>
        </w:tabs>
        <w:ind w:firstLine="709" w:left="0"/>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8"/>
          <w:tab w:val="left" w:pos="1418" w:leader="none"/>
        </w:tabs>
        <w:ind w:firstLine="709" w:left="0"/>
        <w:jc w:val="both"/>
        <w:rPr>
          <w:sz w:val="24"/>
          <w:szCs w:val="24"/>
        </w:rPr>
      </w:pPr>
      <w:r>
        <w:rPr>
          <w:sz w:val="24"/>
          <w:szCs w:val="24"/>
        </w:rPr>
        <w:t xml:space="preserve">Приемка партии Товара со вскрытием тары и упаковки производится Покупателем 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w:t>
      </w:r>
    </w:p>
    <w:p>
      <w:pPr>
        <w:pStyle w:val="Normal"/>
        <w:numPr>
          <w:ilvl w:val="1"/>
          <w:numId w:val="2"/>
        </w:numPr>
        <w:shd w:val="clear" w:color="auto" w:fill="FFFFFF"/>
        <w:tabs>
          <w:tab w:val="clear" w:pos="708"/>
          <w:tab w:val="left" w:pos="568" w:leader="none"/>
          <w:tab w:val="left" w:pos="1134" w:leader="none"/>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8"/>
          <w:tab w:val="left" w:pos="1134" w:leader="none"/>
          <w:tab w:val="left" w:pos="1418" w:leader="none"/>
          <w:tab w:val="left" w:pos="1851" w:leader="none"/>
        </w:tabs>
        <w:ind w:firstLine="709"/>
        <w:jc w:val="both"/>
        <w:rPr>
          <w:sz w:val="24"/>
          <w:szCs w:val="24"/>
        </w:rPr>
      </w:pPr>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Товара.</w:t>
      </w:r>
    </w:p>
    <w:p>
      <w:pPr>
        <w:pStyle w:val="Normal"/>
        <w:numPr>
          <w:ilvl w:val="1"/>
          <w:numId w:val="2"/>
        </w:numPr>
        <w:shd w:val="clear" w:color="auto" w:fill="FFFFFF"/>
        <w:tabs>
          <w:tab w:val="clear" w:pos="708"/>
          <w:tab w:val="left" w:pos="1418"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партии Товара в порядке, предусмотренном пунктами 3.10, 3.12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партии Товара, от которой отказался Покупатель, возвратить ее стоимость (ранее полученный авансовый платеж),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8"/>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ListParagraph"/>
        <w:numPr>
          <w:ilvl w:val="1"/>
          <w:numId w:val="2"/>
        </w:numPr>
        <w:tabs>
          <w:tab w:val="clear" w:pos="708"/>
          <w:tab w:val="left" w:pos="1418" w:leader="none"/>
        </w:tabs>
        <w:ind w:firstLine="709" w:left="0"/>
        <w:jc w:val="both"/>
        <w:rPr>
          <w:sz w:val="24"/>
          <w:szCs w:val="24"/>
        </w:rPr>
      </w:pPr>
      <w:r>
        <w:rPr>
          <w:sz w:val="24"/>
          <w:szCs w:val="24"/>
        </w:rPr>
        <w:t>Поставщик обязан не более чем за 5 рабочих дней до даты начала отгрузки Товара (Оборудования) в адрес Покупателя (Грузополучателя), направить Покупателю письменное уведомление с указанием Грузоотправителя Товара и Транспортной компании, обеспечивающей доставку Товара (Оборудования) до места поставки. Уведомление составляется по форме приложения № 7 к настоящему договору.</w:t>
      </w:r>
    </w:p>
    <w:p>
      <w:pPr>
        <w:pStyle w:val="Normal"/>
        <w:ind w:firstLine="709"/>
        <w:jc w:val="both"/>
        <w:rPr>
          <w:sz w:val="24"/>
          <w:szCs w:val="24"/>
        </w:rPr>
      </w:pPr>
      <w:r>
        <w:rPr>
          <w:sz w:val="24"/>
          <w:szCs w:val="24"/>
        </w:rPr>
        <w:t>В случае поступления на склад Грузополучателя Товара (Оборудования) без вышеуказанного уведомления, Покупатель вправе:</w:t>
      </w:r>
    </w:p>
    <w:p>
      <w:pPr>
        <w:pStyle w:val="Normal"/>
        <w:ind w:firstLine="709"/>
        <w:jc w:val="both"/>
        <w:rPr>
          <w:sz w:val="24"/>
          <w:szCs w:val="24"/>
        </w:rPr>
      </w:pPr>
      <w:r>
        <w:rPr>
          <w:sz w:val="24"/>
          <w:szCs w:val="24"/>
        </w:rPr>
        <w:t>- принять Товар (Оборудование) на ответственное хранение и считается, что Поставщик не исполнил свои обязательства по поставке Товара (Оборудования) до момента поступления таких документов;</w:t>
      </w:r>
    </w:p>
    <w:p>
      <w:pPr>
        <w:pStyle w:val="Normal"/>
        <w:ind w:firstLine="709"/>
        <w:jc w:val="both"/>
        <w:rPr>
          <w:sz w:val="24"/>
          <w:szCs w:val="24"/>
        </w:rPr>
      </w:pPr>
      <w:r>
        <w:rPr>
          <w:sz w:val="24"/>
          <w:szCs w:val="24"/>
        </w:rPr>
        <w:t>либо</w:t>
      </w:r>
    </w:p>
    <w:p>
      <w:pPr>
        <w:pStyle w:val="Normal"/>
        <w:ind w:firstLine="709"/>
        <w:jc w:val="both"/>
        <w:rPr>
          <w:color w:val="000000"/>
          <w:sz w:val="24"/>
          <w:szCs w:val="24"/>
        </w:rPr>
      </w:pPr>
      <w:r>
        <w:rPr>
          <w:sz w:val="24"/>
          <w:szCs w:val="24"/>
        </w:rPr>
        <w:t xml:space="preserve">- принять Товар (Оборудование) в соответствии с условиями договора и предъявить Поставщику требование об уплате штрафа в размере 20% от стоимости поставленного Товара (Оборудования). Удержание штрафа, подлежащего уплате Поставщиком, может быть произведено, по усмотрению Покупателя, путем вычета суммы штрафа из подлежащей оплате стоимости поставленного Покупателю Товара (Оборудования). </w:t>
      </w:r>
    </w:p>
    <w:p>
      <w:pPr>
        <w:pStyle w:val="Normal"/>
        <w:ind w:firstLine="709"/>
        <w:jc w:val="both"/>
        <w:rPr>
          <w:bCs/>
          <w:sz w:val="24"/>
          <w:szCs w:val="24"/>
        </w:rPr>
      </w:pPr>
      <w:r>
        <w:rPr>
          <w:bCs/>
          <w:sz w:val="24"/>
          <w:szCs w:val="24"/>
        </w:rPr>
        <w:t xml:space="preserve">В случае предъявления налоговыми органами претензий и требований к Покупателю, связанных с предоставлением Поставщиком недостоверных сведений о </w:t>
      </w:r>
      <w:r>
        <w:rPr>
          <w:sz w:val="24"/>
          <w:szCs w:val="24"/>
        </w:rPr>
        <w:t>Грузоотправителя Товара и Транспортной компании</w:t>
      </w:r>
      <w:r>
        <w:rPr>
          <w:bCs/>
          <w:sz w:val="24"/>
          <w:szCs w:val="24"/>
        </w:rPr>
        <w:t>, Поставщик обязан компенсировать все убытки Покупателя, вызванные такими претензиями и требованиями.</w:t>
      </w:r>
    </w:p>
    <w:p>
      <w:pPr>
        <w:pStyle w:val="Normal"/>
        <w:widowControl/>
        <w:shd w:val="clear" w:color="auto" w:fill="FFFFFF"/>
        <w:tabs>
          <w:tab w:val="clear" w:pos="708"/>
          <w:tab w:val="left" w:pos="1134" w:leader="none"/>
          <w:tab w:val="left" w:pos="1418" w:leader="none"/>
        </w:tabs>
        <w:jc w:val="both"/>
        <w:rPr>
          <w:sz w:val="24"/>
          <w:szCs w:val="24"/>
        </w:rPr>
      </w:pPr>
      <w:r>
        <w:rPr>
          <w:sz w:val="24"/>
          <w:szCs w:val="24"/>
        </w:rPr>
      </w:r>
    </w:p>
    <w:p>
      <w:pPr>
        <w:pStyle w:val="ListParagraph"/>
        <w:numPr>
          <w:ilvl w:val="0"/>
          <w:numId w:val="2"/>
        </w:numPr>
        <w:shd w:val="clear" w:color="auto" w:fill="FFFFFF"/>
        <w:tabs>
          <w:tab w:val="clear" w:pos="708"/>
          <w:tab w:val="left" w:pos="284" w:leader="none"/>
        </w:tabs>
        <w:ind w:hanging="0" w:left="0"/>
        <w:jc w:val="center"/>
        <w:rPr>
          <w:b/>
          <w:sz w:val="24"/>
          <w:szCs w:val="24"/>
        </w:rPr>
      </w:pPr>
      <w:r>
        <w:rPr>
          <w:b/>
          <w:sz w:val="24"/>
          <w:szCs w:val="24"/>
        </w:rPr>
        <w:t>Гарантийный срок</w:t>
      </w:r>
    </w:p>
    <w:p>
      <w:pPr>
        <w:pStyle w:val="ListParagraph"/>
        <w:numPr>
          <w:ilvl w:val="1"/>
          <w:numId w:val="2"/>
        </w:numPr>
        <w:tabs>
          <w:tab w:val="clear" w:pos="708"/>
          <w:tab w:val="left" w:pos="709" w:leader="none"/>
          <w:tab w:val="left" w:pos="1134" w:leader="none"/>
        </w:tabs>
        <w:ind w:firstLine="709" w:left="0"/>
        <w:jc w:val="both"/>
        <w:rPr>
          <w:sz w:val="24"/>
          <w:szCs w:val="24"/>
        </w:rPr>
      </w:pPr>
      <w:r>
        <w:rPr>
          <w:sz w:val="24"/>
          <w:szCs w:val="24"/>
        </w:rPr>
        <w:t xml:space="preserve">Гарантийный срок на Товар, поставленный по Договору, составляет указывается в паспортах (сертификатах) завода-изготовителя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8"/>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8"/>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8"/>
          <w:tab w:val="left" w:pos="1190" w:leader="none"/>
        </w:tabs>
        <w:jc w:val="both"/>
        <w:rPr>
          <w:sz w:val="24"/>
          <w:szCs w:val="24"/>
        </w:rPr>
      </w:pPr>
      <w:r>
        <w:rPr>
          <w:sz w:val="24"/>
          <w:szCs w:val="24"/>
        </w:rPr>
      </w:r>
    </w:p>
    <w:p>
      <w:pPr>
        <w:pStyle w:val="Normal"/>
        <w:numPr>
          <w:ilvl w:val="0"/>
          <w:numId w:val="2"/>
        </w:numPr>
        <w:shd w:val="clear" w:color="auto" w:fill="FFFFFF"/>
        <w:tabs>
          <w:tab w:val="clear" w:pos="708"/>
          <w:tab w:val="left" w:pos="284" w:leader="none"/>
        </w:tabs>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8"/>
          <w:tab w:val="left" w:pos="142" w:leader="none"/>
          <w:tab w:val="left" w:pos="1134"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42" w:leader="none"/>
          <w:tab w:val="left" w:pos="1134"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ListParagraph"/>
        <w:numPr>
          <w:ilvl w:val="1"/>
          <w:numId w:val="2"/>
        </w:numPr>
        <w:tabs>
          <w:tab w:val="clear" w:pos="708"/>
          <w:tab w:val="left" w:pos="142" w:leader="none"/>
          <w:tab w:val="left" w:pos="1134"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tabs>
          <w:tab w:val="clear" w:pos="708"/>
          <w:tab w:val="left" w:pos="142" w:leader="none"/>
          <w:tab w:val="left" w:pos="1134" w:leader="none"/>
        </w:tabs>
        <w:ind w:firstLine="709" w:left="0"/>
        <w:jc w:val="both"/>
        <w:rPr>
          <w:bCs/>
          <w:sz w:val="24"/>
          <w:szCs w:val="24"/>
        </w:rPr>
      </w:pPr>
      <w:r>
        <w:rPr>
          <w:bCs/>
          <w:sz w:val="24"/>
          <w:szCs w:val="24"/>
        </w:rPr>
        <w:t xml:space="preserve">В случае несвоевременного устранения Поставщиком выявленных недостатков товара, Покупатель вправе потребовать уплаты Поставщиком: </w:t>
      </w:r>
    </w:p>
    <w:p>
      <w:pPr>
        <w:pStyle w:val="ListParagraph"/>
        <w:tabs>
          <w:tab w:val="clear" w:pos="708"/>
          <w:tab w:val="left" w:pos="142" w:leader="none"/>
          <w:tab w:val="left" w:pos="1134" w:leader="none"/>
        </w:tabs>
        <w:ind w:firstLine="709" w:left="0"/>
        <w:jc w:val="both"/>
        <w:rPr>
          <w:bCs/>
          <w:sz w:val="24"/>
          <w:szCs w:val="24"/>
        </w:rPr>
      </w:pPr>
      <w:r>
        <w:rPr>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в целом; </w:t>
      </w:r>
    </w:p>
    <w:p>
      <w:pPr>
        <w:pStyle w:val="ListParagraph"/>
        <w:tabs>
          <w:tab w:val="clear" w:pos="708"/>
          <w:tab w:val="left" w:pos="142" w:leader="none"/>
          <w:tab w:val="left" w:pos="1134" w:leader="none"/>
        </w:tabs>
        <w:ind w:firstLine="709" w:left="0"/>
        <w:jc w:val="both"/>
        <w:rPr>
          <w:bCs/>
          <w:sz w:val="24"/>
          <w:szCs w:val="24"/>
        </w:rPr>
      </w:pPr>
      <w:r>
        <w:rPr>
          <w:bCs/>
          <w:sz w:val="24"/>
          <w:szCs w:val="24"/>
        </w:rPr>
        <w:t xml:space="preserve">неустойки в размере 0,1 (ноль целых и одна десятая)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 </w:t>
      </w:r>
    </w:p>
    <w:p>
      <w:pPr>
        <w:pStyle w:val="ListParagraph"/>
        <w:widowControl/>
        <w:numPr>
          <w:ilvl w:val="1"/>
          <w:numId w:val="2"/>
        </w:numPr>
        <w:shd w:val="clear" w:color="auto" w:fill="FFFFFF"/>
        <w:tabs>
          <w:tab w:val="clear" w:pos="708"/>
          <w:tab w:val="left" w:pos="1134" w:leader="none"/>
        </w:tabs>
        <w:ind w:firstLine="709" w:left="0"/>
        <w:jc w:val="both"/>
        <w:rPr>
          <w:bCs/>
          <w:sz w:val="24"/>
          <w:szCs w:val="24"/>
        </w:rPr>
      </w:pPr>
      <w:r>
        <w:rPr>
          <w:bCs/>
          <w:sz w:val="24"/>
          <w:szCs w:val="24"/>
        </w:rPr>
        <w:t>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8"/>
          <w:tab w:val="left" w:pos="1134" w:leader="none"/>
        </w:tabs>
        <w:ind w:firstLine="709" w:left="0"/>
        <w:jc w:val="both"/>
        <w:rPr>
          <w:bCs/>
          <w:sz w:val="24"/>
          <w:szCs w:val="24"/>
        </w:rPr>
      </w:pPr>
      <w:r>
        <w:rPr>
          <w:bCs/>
          <w:sz w:val="24"/>
          <w:szCs w:val="24"/>
        </w:rPr>
        <w:t>В случае нарушения Поставщиком сроков предоставления счетов-фактур (УПД), установленных пунктом 2.</w:t>
      </w:r>
      <w:r>
        <w:rPr>
          <w:bCs/>
          <w:sz w:val="24"/>
          <w:szCs w:val="24"/>
        </w:rPr>
        <w:t>7</w:t>
      </w:r>
      <w:r>
        <w:rPr>
          <w:bCs/>
          <w:sz w:val="24"/>
          <w:szCs w:val="24"/>
        </w:rPr>
        <w:t xml:space="preserve">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3"/>
      </w:r>
      <w:r>
        <w:rPr>
          <w:bCs/>
          <w:sz w:val="24"/>
          <w:szCs w:val="24"/>
        </w:rPr>
        <w:t>.</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в размере фактически понесенных и документально подтвержденных расходов, возникших </w:t>
      </w:r>
    </w:p>
    <w:p>
      <w:pPr>
        <w:pStyle w:val="ListParagraph"/>
        <w:widowControl/>
        <w:shd w:val="clear" w:color="auto" w:fill="FFFFFF"/>
        <w:tabs>
          <w:tab w:val="clear" w:pos="708"/>
          <w:tab w:val="left" w:pos="1134" w:leader="none"/>
          <w:tab w:val="left" w:pos="1418" w:leader="none"/>
        </w:tabs>
        <w:ind w:firstLine="709" w:left="0"/>
        <w:jc w:val="both"/>
        <w:rPr>
          <w:bCs/>
          <w:sz w:val="24"/>
          <w:szCs w:val="24"/>
        </w:rPr>
      </w:pPr>
      <w:r>
        <w:rPr>
          <w:bCs/>
          <w:sz w:val="24"/>
          <w:szCs w:val="24"/>
        </w:rP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8"/>
          <w:tab w:val="left" w:pos="1134" w:leader="none"/>
          <w:tab w:val="left" w:pos="1418" w:leader="none"/>
        </w:tabs>
        <w:ind w:firstLine="709" w:left="0"/>
        <w:jc w:val="both"/>
        <w:rPr>
          <w:bCs/>
          <w:sz w:val="24"/>
          <w:szCs w:val="24"/>
        </w:rPr>
      </w:pPr>
      <w:r>
        <w:rPr>
          <w:kern w:val="2"/>
          <w:sz w:val="24"/>
          <w:szCs w:val="24"/>
        </w:rPr>
        <w:t>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w:t>
      </w:r>
    </w:p>
    <w:p>
      <w:pPr>
        <w:pStyle w:val="ListParagraph"/>
        <w:widowControl/>
        <w:numPr>
          <w:ilvl w:val="1"/>
          <w:numId w:val="2"/>
        </w:numPr>
        <w:shd w:val="clear" w:color="auto" w:fill="FFFFFF"/>
        <w:tabs>
          <w:tab w:val="clear" w:pos="708"/>
          <w:tab w:val="left" w:pos="1134" w:leader="none"/>
          <w:tab w:val="left" w:pos="1418" w:leader="none"/>
          <w:tab w:val="left" w:pos="1701"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8"/>
          <w:tab w:val="left" w:pos="1134" w:leader="none"/>
          <w:tab w:val="left" w:pos="1418" w:leader="none"/>
          <w:tab w:val="left" w:pos="1701" w:leader="none"/>
        </w:tabs>
        <w:ind w:firstLine="709" w:left="0"/>
        <w:jc w:val="both"/>
        <w:rPr>
          <w:b/>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8"/>
          <w:tab w:val="left" w:pos="1134" w:leader="none"/>
          <w:tab w:val="left" w:pos="1418" w:leader="none"/>
          <w:tab w:val="left" w:pos="1701" w:leader="none"/>
        </w:tabs>
        <w:ind w:firstLine="709" w:left="0"/>
        <w:jc w:val="both"/>
        <w:rPr>
          <w:b/>
          <w:sz w:val="24"/>
          <w:szCs w:val="24"/>
        </w:rPr>
      </w:pPr>
      <w:r>
        <w:rPr>
          <w:sz w:val="24"/>
          <w:szCs w:val="24"/>
        </w:rPr>
        <w:t>Удержание пени и штрафов, подлежащих уплате Поставщиком, может быть произведено, по усмотрению Покупателя, путем вычета суммы пени (штрафа) из подлежащей оплате стоимости поставленного Покупателю оборудования. Уплата (удержание) неустойки не освобождает стороны от исполнения своего обязательства в натуре.</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0" w:leader="none"/>
          <w:tab w:val="left" w:pos="284"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4"/>
        </w:numPr>
        <w:tabs>
          <w:tab w:val="clear" w:pos="708"/>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4"/>
        </w:numPr>
        <w:tabs>
          <w:tab w:val="clear" w:pos="708"/>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4"/>
        </w:numPr>
        <w:tabs>
          <w:tab w:val="clear" w:pos="708"/>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8"/>
          <w:tab w:val="left" w:pos="0" w:leader="none"/>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8"/>
          <w:tab w:val="left" w:pos="0" w:leader="none"/>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jc w:val="center"/>
        <w:rPr>
          <w:b/>
          <w:bCs/>
          <w:sz w:val="24"/>
          <w:szCs w:val="24"/>
        </w:rPr>
      </w:pPr>
      <w:r>
        <w:rPr>
          <w:b/>
          <w:bCs/>
          <w:sz w:val="24"/>
          <w:szCs w:val="24"/>
        </w:rPr>
        <w:t>Антикоррупционная оговорка</w:t>
      </w:r>
    </w:p>
    <w:p>
      <w:pPr>
        <w:pStyle w:val="ListParagraph"/>
        <w:widowControl/>
        <w:numPr>
          <w:ilvl w:val="1"/>
          <w:numId w:val="2"/>
        </w:numPr>
        <w:shd w:val="clear" w:color="auto" w:fill="FFFFFF"/>
        <w:tabs>
          <w:tab w:val="clear" w:pos="708"/>
          <w:tab w:val="left" w:pos="1418"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numPr>
          <w:ilvl w:val="1"/>
          <w:numId w:val="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numPr>
          <w:ilvl w:val="1"/>
          <w:numId w:val="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numPr>
          <w:ilvl w:val="1"/>
          <w:numId w:val="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numPr>
          <w:ilvl w:val="1"/>
          <w:numId w:val="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numPr>
          <w:ilvl w:val="1"/>
          <w:numId w:val="2"/>
        </w:numPr>
        <w:shd w:val="clear" w:color="auto" w:fill="FFFFFF"/>
        <w:tabs>
          <w:tab w:val="clear" w:pos="708"/>
          <w:tab w:val="left" w:pos="1418" w:leader="none"/>
        </w:tabs>
        <w:ind w:firstLine="709" w:left="0"/>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numPr>
          <w:ilvl w:val="1"/>
          <w:numId w:val="2"/>
        </w:numPr>
        <w:shd w:val="clear" w:color="auto" w:fill="FFFFFF"/>
        <w:tabs>
          <w:tab w:val="clear" w:pos="708"/>
          <w:tab w:val="left" w:pos="567" w:leader="none"/>
          <w:tab w:val="left" w:pos="1418" w:leader="none"/>
        </w:tabs>
        <w:ind w:firstLine="709" w:left="0"/>
        <w:jc w:val="both"/>
        <w:rPr>
          <w:color w:val="000000"/>
          <w:sz w:val="24"/>
          <w:szCs w:val="24"/>
        </w:rPr>
      </w:pPr>
      <w:r>
        <w:rPr>
          <w:color w:val="000000"/>
          <w:sz w:val="24"/>
          <w:szCs w:val="24"/>
        </w:rPr>
        <w:t xml:space="preserve">Каналы связи Линия доверия Группы РусГидро: </w:t>
      </w:r>
    </w:p>
    <w:p>
      <w:pPr>
        <w:pStyle w:val="ListParagraph"/>
        <w:numPr>
          <w:ilvl w:val="2"/>
          <w:numId w:val="2"/>
        </w:numPr>
        <w:shd w:val="clear" w:color="auto" w:fill="FFFFFF"/>
        <w:tabs>
          <w:tab w:val="clear" w:pos="708"/>
          <w:tab w:val="left" w:pos="567" w:leader="none"/>
          <w:tab w:val="left" w:pos="1418" w:leader="none"/>
        </w:tabs>
        <w:ind w:firstLine="709" w:left="0"/>
        <w:jc w:val="both"/>
        <w:rPr>
          <w:sz w:val="24"/>
          <w:szCs w:val="24"/>
        </w:rPr>
      </w:pPr>
      <w:r>
        <w:rPr>
          <w:sz w:val="24"/>
          <w:szCs w:val="24"/>
        </w:rPr>
        <w:t>Электронная почта: ld@rushydro.ru.</w:t>
      </w:r>
    </w:p>
    <w:p>
      <w:pPr>
        <w:pStyle w:val="ListParagraph"/>
        <w:numPr>
          <w:ilvl w:val="2"/>
          <w:numId w:val="2"/>
        </w:numPr>
        <w:shd w:val="clear" w:color="auto" w:fill="FFFFFF"/>
        <w:tabs>
          <w:tab w:val="clear" w:pos="708"/>
          <w:tab w:val="left" w:pos="567" w:leader="none"/>
          <w:tab w:val="left" w:pos="1418" w:leader="none"/>
        </w:tabs>
        <w:ind w:firstLine="709" w:left="0"/>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widowControl/>
        <w:numPr>
          <w:ilvl w:val="2"/>
          <w:numId w:val="2"/>
        </w:numPr>
        <w:tabs>
          <w:tab w:val="clear" w:pos="708"/>
          <w:tab w:val="left" w:pos="1418" w:leader="none"/>
        </w:tabs>
        <w:spacing w:lineRule="auto" w:line="259" w:before="0" w:after="160"/>
        <w:ind w:firstLine="709" w:left="0"/>
        <w:contextualSpacing/>
        <w:jc w:val="both"/>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8"/>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sz w:val="24"/>
          <w:szCs w:val="24"/>
        </w:rPr>
        <w:t>.</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tabs>
          <w:tab w:val="clear" w:pos="708"/>
          <w:tab w:val="left" w:pos="426" w:leader="none"/>
        </w:tabs>
        <w:spacing w:lineRule="auto" w:line="259"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пункте 9.1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В случае нарушения Поставщиком обязательств, установленных пунктами 9.1, 10.2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p>
    <w:p>
      <w:pPr>
        <w:pStyle w:val="ListParagraph"/>
        <w:widowControl/>
        <w:numPr>
          <w:ilvl w:val="1"/>
          <w:numId w:val="2"/>
        </w:numPr>
        <w:shd w:val="clear" w:color="auto" w:fill="FFFFFF"/>
        <w:tabs>
          <w:tab w:val="clear" w:pos="708"/>
          <w:tab w:val="left" w:pos="0" w:leader="none"/>
          <w:tab w:val="left" w:pos="568" w:leader="none"/>
          <w:tab w:val="left" w:pos="1418" w:leader="none"/>
        </w:tabs>
        <w:ind w:firstLine="709" w:left="0"/>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9.1, 9.2 Договора.</w:t>
      </w:r>
    </w:p>
    <w:p>
      <w:pPr>
        <w:pStyle w:val="ListParagraph"/>
        <w:widowControl/>
        <w:numPr>
          <w:ilvl w:val="1"/>
          <w:numId w:val="2"/>
        </w:numPr>
        <w:shd w:val="clear" w:color="auto" w:fill="FFFFFF"/>
        <w:tabs>
          <w:tab w:val="clear" w:pos="708"/>
          <w:tab w:val="left" w:pos="284" w:leader="none"/>
          <w:tab w:val="left" w:pos="568" w:leader="none"/>
          <w:tab w:val="left" w:pos="1418" w:leader="none"/>
        </w:tabs>
        <w:ind w:firstLine="709" w:left="0"/>
        <w:jc w:val="both"/>
        <w:rPr>
          <w:bCs/>
          <w:sz w:val="24"/>
          <w:szCs w:val="24"/>
        </w:rPr>
      </w:pPr>
      <w:r>
        <w:rPr>
          <w:bCs/>
          <w:sz w:val="24"/>
          <w:szCs w:val="24"/>
        </w:rPr>
        <w:t>Штраф, предусмотренный пунктом 9.4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9.3 Договора.</w:t>
      </w:r>
    </w:p>
    <w:p>
      <w:pPr>
        <w:pStyle w:val="ListParagraph"/>
        <w:widowControl/>
        <w:numPr>
          <w:ilvl w:val="1"/>
          <w:numId w:val="2"/>
        </w:numPr>
        <w:shd w:val="clear" w:color="auto" w:fill="FFFFFF"/>
        <w:tabs>
          <w:tab w:val="clear" w:pos="708"/>
          <w:tab w:val="left" w:pos="284" w:leader="none"/>
          <w:tab w:val="left" w:pos="568" w:leader="none"/>
          <w:tab w:val="left" w:pos="1418" w:leader="none"/>
        </w:tabs>
        <w:ind w:firstLine="709" w:left="0"/>
        <w:jc w:val="both"/>
        <w:rPr>
          <w:bCs/>
          <w:sz w:val="24"/>
          <w:szCs w:val="24"/>
        </w:rPr>
      </w:pPr>
      <w:r>
        <w:rPr>
          <w:bCs/>
          <w:sz w:val="24"/>
          <w:szCs w:val="24"/>
        </w:rPr>
        <w:t>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9.4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8"/>
          <w:tab w:val="left" w:pos="284" w:leader="none"/>
          <w:tab w:val="left" w:pos="568" w:leader="none"/>
          <w:tab w:val="left" w:pos="1418" w:leader="none"/>
        </w:tabs>
        <w:ind w:firstLine="709" w:left="0"/>
        <w:jc w:val="both"/>
        <w:rPr>
          <w:bCs/>
          <w:sz w:val="24"/>
          <w:szCs w:val="24"/>
        </w:rPr>
      </w:pPr>
      <w:r>
        <w:rPr>
          <w:bCs/>
          <w:sz w:val="24"/>
          <w:szCs w:val="24"/>
        </w:rPr>
        <w:t>Независимо от других положений Договора, положения пунктов 9.4, 9.5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 w:val="left" w:pos="567"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8"/>
          <w:tab w:val="left" w:pos="0" w:leader="none"/>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clear" w:pos="708"/>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clear" w:pos="708"/>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8"/>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0" w:leader="none"/>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обязан по письменному требованию Покупателя уплатить последнему штраф в размере 5 (пяти) % от Цены Договора, указанной в пункте 2.1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8"/>
          <w:tab w:val="left" w:pos="1134" w:leader="none"/>
          <w:tab w:val="left" w:pos="1418" w:leader="none"/>
        </w:tabs>
        <w:ind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8"/>
          <w:tab w:val="left" w:pos="0" w:leader="none"/>
          <w:tab w:val="left" w:pos="1418" w:leader="none"/>
        </w:tabs>
        <w:ind w:firstLine="709" w:left="0"/>
        <w:jc w:val="both"/>
        <w:rPr>
          <w:sz w:val="24"/>
          <w:szCs w:val="24"/>
        </w:rPr>
      </w:pPr>
      <w:r>
        <w:rPr>
          <w:sz w:val="24"/>
          <w:szCs w:val="24"/>
        </w:rPr>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от Покупателя.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5"/>
        </w:numPr>
        <w:tabs>
          <w:tab w:val="clear" w:pos="708"/>
          <w:tab w:val="left" w:pos="0" w:leader="none"/>
          <w:tab w:val="left" w:pos="1418" w:leader="none"/>
        </w:tabs>
        <w:ind w:firstLine="709" w:left="0" w:right="23"/>
        <w:jc w:val="both"/>
        <w:rPr>
          <w:sz w:val="24"/>
          <w:szCs w:val="24"/>
        </w:rPr>
      </w:pPr>
      <w:r>
        <w:rPr>
          <w:sz w:val="24"/>
          <w:szCs w:val="24"/>
        </w:rPr>
        <w:t>нарушение Поставщиком общего срока поставки Товара по Договору, а также промежуточных сроков поставки Товара, установленных Договором, более чем на 60 (шестьдесят) календарных дней по причинам, не зависящим от Покупателя;</w:t>
      </w:r>
    </w:p>
    <w:p>
      <w:pPr>
        <w:pStyle w:val="ListParagraph"/>
        <w:widowControl/>
        <w:numPr>
          <w:ilvl w:val="0"/>
          <w:numId w:val="5"/>
        </w:numPr>
        <w:tabs>
          <w:tab w:val="clear" w:pos="708"/>
          <w:tab w:val="left" w:pos="0" w:leader="none"/>
          <w:tab w:val="left" w:pos="1418" w:leader="none"/>
        </w:tabs>
        <w:ind w:firstLine="709" w:left="0" w:right="23"/>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5"/>
        </w:numPr>
        <w:tabs>
          <w:tab w:val="clear" w:pos="708"/>
          <w:tab w:val="left" w:pos="0" w:leader="none"/>
          <w:tab w:val="left" w:pos="1418" w:leader="none"/>
        </w:tabs>
        <w:ind w:firstLine="709" w:left="0" w:right="23"/>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5"/>
        </w:numPr>
        <w:tabs>
          <w:tab w:val="clear" w:pos="708"/>
          <w:tab w:val="left" w:pos="0" w:leader="none"/>
          <w:tab w:val="left" w:pos="1418" w:leader="none"/>
        </w:tabs>
        <w:ind w:firstLine="709" w:left="0" w:right="23"/>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5"/>
        </w:numPr>
        <w:tabs>
          <w:tab w:val="clear" w:pos="708"/>
          <w:tab w:val="left" w:pos="0" w:leader="none"/>
          <w:tab w:val="left" w:pos="1418" w:leader="none"/>
        </w:tabs>
        <w:ind w:firstLine="709" w:left="0" w:right="23"/>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w:t>
        <w:br/>
        <w:t>об обстоятельствах, указанных в разделе 11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отказа Покупателя от Договора в случаях, предусмотренных пунктами 11.2, 11.3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8"/>
          <w:tab w:val="left" w:pos="1134" w:leader="none"/>
        </w:tabs>
        <w:ind w:left="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Споры, указанные в пункте 13.1 Договора, которые не были урегулированы Сторонами путем переговоров, подлежат разрешению в Арбитражном суде Амурской области в соответствии с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ListParagraph"/>
        <w:widowControl/>
        <w:shd w:val="clear" w:color="auto" w:fill="FFFFFF"/>
        <w:tabs>
          <w:tab w:val="clear" w:pos="708"/>
          <w:tab w:val="left" w:pos="0" w:leader="none"/>
        </w:tabs>
        <w:ind w:left="709"/>
        <w:jc w:val="both"/>
        <w:rPr>
          <w:bCs/>
          <w:sz w:val="24"/>
          <w:szCs w:val="24"/>
        </w:rPr>
      </w:pPr>
      <w:r>
        <w:rPr>
          <w:bCs/>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w:t>
      </w:r>
    </w:p>
    <w:p>
      <w:pPr>
        <w:pStyle w:val="ListParagraph"/>
        <w:widowControl/>
        <w:shd w:val="clear" w:color="auto" w:fill="FFFFFF"/>
        <w:tabs>
          <w:tab w:val="clear" w:pos="708"/>
          <w:tab w:val="left" w:pos="0" w:leader="none"/>
          <w:tab w:val="left" w:pos="1418" w:leader="none"/>
        </w:tabs>
        <w:ind w:firstLine="709" w:left="0"/>
        <w:jc w:val="both"/>
        <w:rPr>
          <w:sz w:val="24"/>
          <w:szCs w:val="24"/>
        </w:rPr>
      </w:pPr>
      <w:r>
        <w:rPr>
          <w:sz w:val="24"/>
          <w:szCs w:val="24"/>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shd w:val="clear" w:color="auto" w:fill="FFFFFF"/>
        <w:tabs>
          <w:tab w:val="clear" w:pos="708"/>
          <w:tab w:val="left" w:pos="0" w:leader="none"/>
          <w:tab w:val="left" w:pos="1418" w:leader="none"/>
        </w:tabs>
        <w:ind w:firstLine="709" w:left="0"/>
        <w:jc w:val="both"/>
        <w:rPr>
          <w:sz w:val="24"/>
          <w:szCs w:val="24"/>
        </w:rPr>
      </w:pPr>
      <w:r>
        <w:rPr>
          <w:sz w:val="24"/>
          <w:szCs w:val="24"/>
        </w:rPr>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13.6 Договора.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bookmarkStart w:id="9"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bookmarkEnd w:id="9"/>
      <w:r>
        <w:rPr>
          <w:sz w:val="24"/>
          <w:szCs w:val="24"/>
        </w:rPr>
        <w:t xml:space="preserve"> </w:t>
      </w:r>
    </w:p>
    <w:p>
      <w:pPr>
        <w:pStyle w:val="ListParagraph"/>
        <w:widowControl/>
        <w:numPr>
          <w:ilvl w:val="2"/>
          <w:numId w:val="2"/>
        </w:numPr>
        <w:shd w:val="clear" w:color="auto" w:fill="FFFFFF"/>
        <w:tabs>
          <w:tab w:val="clear" w:pos="708"/>
          <w:tab w:val="left" w:pos="0" w:leader="none"/>
          <w:tab w:val="left" w:pos="1418" w:leader="none"/>
        </w:tabs>
        <w:ind w:firstLine="567" w:left="142"/>
        <w:jc w:val="both"/>
        <w:rPr>
          <w:sz w:val="24"/>
          <w:szCs w:val="24"/>
        </w:rPr>
      </w:pPr>
      <w:r>
        <w:rPr>
          <w:sz w:val="24"/>
          <w:szCs w:val="24"/>
        </w:rPr>
        <w:t xml:space="preserve">Письма, уведомления и / или сообщения направляются Стороне-получателю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pPr>
        <w:pStyle w:val="ListParagraph"/>
        <w:widowControl/>
        <w:numPr>
          <w:ilvl w:val="2"/>
          <w:numId w:val="2"/>
        </w:numPr>
        <w:shd w:val="clear" w:color="auto" w:fill="FFFFFF"/>
        <w:tabs>
          <w:tab w:val="clear" w:pos="708"/>
          <w:tab w:val="left" w:pos="0" w:leader="none"/>
          <w:tab w:val="left" w:pos="1418" w:leader="none"/>
        </w:tabs>
        <w:ind w:firstLine="567" w:left="142"/>
        <w:jc w:val="both"/>
        <w:rPr>
          <w:sz w:val="24"/>
          <w:szCs w:val="24"/>
        </w:rPr>
      </w:pPr>
      <w:r>
        <w:rPr>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numPr>
          <w:ilvl w:val="2"/>
          <w:numId w:val="2"/>
        </w:numPr>
        <w:shd w:val="clear" w:color="auto" w:fill="FFFFFF"/>
        <w:tabs>
          <w:tab w:val="clear" w:pos="708"/>
          <w:tab w:val="left" w:pos="0" w:leader="none"/>
          <w:tab w:val="left" w:pos="1418" w:leader="none"/>
        </w:tabs>
        <w:ind w:firstLine="567" w:left="142"/>
        <w:jc w:val="both"/>
        <w:rPr>
          <w:bCs/>
          <w:sz w:val="24"/>
          <w:szCs w:val="24"/>
        </w:rPr>
      </w:pPr>
      <w:r>
        <w:rPr>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tabs>
          <w:tab w:val="clear" w:pos="708"/>
          <w:tab w:val="left" w:pos="1418" w:leader="none"/>
        </w:tabs>
        <w:ind w:firstLine="567" w:left="142"/>
        <w:jc w:val="both"/>
        <w:rPr>
          <w:bCs/>
          <w:sz w:val="24"/>
          <w:szCs w:val="24"/>
        </w:rPr>
      </w:pPr>
      <w:r>
        <w:rPr>
          <w:bCs/>
          <w:sz w:val="24"/>
          <w:szCs w:val="24"/>
        </w:rPr>
        <w:t>13.7.3. 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8"/>
          <w:tab w:val="left" w:pos="0" w:leader="none"/>
          <w:tab w:val="left" w:pos="1418" w:leader="none"/>
        </w:tabs>
        <w:ind w:firstLine="567" w:left="142"/>
        <w:jc w:val="both"/>
        <w:rPr>
          <w:bCs/>
          <w:sz w:val="24"/>
          <w:szCs w:val="24"/>
        </w:rPr>
      </w:pPr>
      <w:r>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w:t>
      </w:r>
    </w:p>
    <w:p>
      <w:pPr>
        <w:pStyle w:val="ListParagraph"/>
        <w:shd w:val="clear" w:color="auto" w:fill="FFFFFF"/>
        <w:tabs>
          <w:tab w:val="clear" w:pos="708"/>
          <w:tab w:val="left" w:pos="0" w:leader="none"/>
          <w:tab w:val="left" w:pos="1134" w:leader="none"/>
          <w:tab w:val="left" w:pos="1418" w:leader="none"/>
        </w:tabs>
        <w:ind w:firstLine="567" w:left="142"/>
        <w:jc w:val="both"/>
        <w:rPr>
          <w:bCs/>
          <w:iCs/>
          <w:color w:val="000000"/>
          <w:sz w:val="24"/>
          <w:szCs w:val="24"/>
        </w:rPr>
      </w:pPr>
      <w:r>
        <w:rPr>
          <w:bCs/>
          <w:sz w:val="24"/>
          <w:szCs w:val="24"/>
        </w:rPr>
        <w:t xml:space="preserve">В случае заключения Соглашения, согласно которому </w:t>
      </w:r>
      <w:r>
        <w:rPr>
          <w:sz w:val="24"/>
          <w:szCs w:val="24"/>
        </w:rPr>
        <w:t xml:space="preserve">обмен документами / информацией между сторонами осуществляется в электронной форме через операторов электронного документооборота, </w:t>
      </w:r>
      <w:r>
        <w:rPr>
          <w:bCs/>
          <w:iCs/>
          <w:color w:val="000000"/>
          <w:sz w:val="24"/>
          <w:szCs w:val="24"/>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pPr>
        <w:pStyle w:val="Normal"/>
        <w:widowControl/>
        <w:numPr>
          <w:ilvl w:val="1"/>
          <w:numId w:val="2"/>
        </w:numPr>
        <w:tabs>
          <w:tab w:val="clear" w:pos="708"/>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8"/>
          <w:tab w:val="left" w:pos="0" w:leader="none"/>
          <w:tab w:val="left" w:pos="1419" w:leader="none"/>
        </w:tabs>
        <w:ind w:firstLine="709" w:left="0"/>
        <w:jc w:val="both"/>
        <w:rPr>
          <w:bCs/>
          <w:sz w:val="24"/>
          <w:szCs w:val="24"/>
        </w:rPr>
      </w:pPr>
      <w:r>
        <w:rPr>
          <w:sz w:val="24"/>
          <w:szCs w:val="24"/>
        </w:rPr>
        <w:t>Уступка (передача),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8"/>
          <w:tab w:val="left" w:pos="0" w:leader="none"/>
          <w:tab w:val="left" w:pos="1418" w:leader="none"/>
        </w:tabs>
        <w:ind w:firstLine="709" w:left="0"/>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p>
    <w:p>
      <w:pPr>
        <w:pStyle w:val="ListParagraph"/>
        <w:widowControl/>
        <w:numPr>
          <w:ilvl w:val="1"/>
          <w:numId w:val="2"/>
        </w:numPr>
        <w:shd w:val="clear" w:color="auto" w:fill="FFFFFF"/>
        <w:tabs>
          <w:tab w:val="clear" w:pos="708"/>
          <w:tab w:val="left" w:pos="0" w:leader="none"/>
          <w:tab w:val="left" w:pos="709" w:leader="none"/>
          <w:tab w:val="left" w:pos="851" w:leader="none"/>
          <w:tab w:val="left" w:pos="993" w:leader="none"/>
          <w:tab w:val="left" w:pos="1134" w:leader="none"/>
          <w:tab w:val="left" w:pos="1701" w:leader="none"/>
        </w:tabs>
        <w:ind w:firstLine="709" w:left="0"/>
        <w:jc w:val="both"/>
        <w:rPr>
          <w:sz w:val="24"/>
          <w:szCs w:val="24"/>
        </w:rPr>
      </w:pPr>
      <w:r>
        <w:rPr>
          <w:sz w:val="24"/>
        </w:rPr>
        <w:t xml:space="preserve">Со стороны Покупателя контроль и исполнение обязательств по настоящему договору осуществляет филиал Акционерного общества «Дальневосточная распределительная сетевая компания» (наименование филиала) расположенный по адресу: (индекс, город, обл., улица номер дома.) ИНН ________, КПП _________,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 </w:t>
      </w:r>
    </w:p>
    <w:p>
      <w:pPr>
        <w:pStyle w:val="Normal"/>
        <w:tabs>
          <w:tab w:val="clear" w:pos="708"/>
          <w:tab w:val="left" w:pos="709" w:leader="none"/>
          <w:tab w:val="left" w:pos="993" w:leader="none"/>
        </w:tabs>
        <w:ind w:firstLine="709" w:right="-2"/>
        <w:jc w:val="both"/>
        <w:rPr>
          <w:bCs/>
          <w:iCs/>
          <w:sz w:val="24"/>
        </w:rPr>
      </w:pPr>
      <w:r>
        <w:rPr>
          <w:bCs/>
          <w:iCs/>
          <w:sz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pPr>
        <w:pStyle w:val="Normal"/>
        <w:shd w:val="clear" w:color="auto" w:fill="FFFFFF"/>
        <w:tabs>
          <w:tab w:val="clear" w:pos="708"/>
          <w:tab w:val="left" w:pos="709" w:leader="none"/>
          <w:tab w:val="left" w:pos="1134" w:leader="none"/>
        </w:tabs>
        <w:ind w:firstLine="709"/>
        <w:jc w:val="both"/>
        <w:rPr>
          <w:bCs/>
          <w:iCs/>
          <w:sz w:val="24"/>
        </w:rPr>
      </w:pPr>
      <w:r>
        <w:rPr>
          <w:bCs/>
          <w:iCs/>
          <w:sz w:val="24"/>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pPr>
        <w:pStyle w:val="Normal"/>
        <w:widowControl/>
        <w:numPr>
          <w:ilvl w:val="0"/>
          <w:numId w:val="2"/>
        </w:numPr>
        <w:shd w:val="clear" w:color="auto" w:fill="FFFFFF"/>
        <w:tabs>
          <w:tab w:val="clear" w:pos="708"/>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8"/>
          <w:tab w:val="left" w:pos="0" w:leader="none"/>
        </w:tabs>
        <w:ind w:firstLine="709"/>
        <w:jc w:val="both"/>
        <w:rPr>
          <w:rFonts w:eastAsia="Calibri"/>
          <w:sz w:val="24"/>
          <w:szCs w:val="24"/>
          <w:lang w:eastAsia="en-US"/>
        </w:rPr>
      </w:pPr>
      <w:bookmarkStart w:id="10" w:name="sub_1"/>
      <w:r>
        <w:rPr>
          <w:rFonts w:eastAsia="Calibri"/>
          <w:sz w:val="24"/>
          <w:szCs w:val="24"/>
          <w:lang w:eastAsia="en-US"/>
        </w:rPr>
        <w:t>Приложение № 1-6 – Спецификация.</w:t>
      </w:r>
      <w:bookmarkEnd w:id="10"/>
    </w:p>
    <w:p>
      <w:pPr>
        <w:pStyle w:val="Normal"/>
        <w:ind w:firstLine="709"/>
        <w:jc w:val="both"/>
        <w:rPr>
          <w:bCs/>
          <w:sz w:val="24"/>
          <w:szCs w:val="24"/>
        </w:rPr>
      </w:pPr>
      <w:r>
        <w:rPr>
          <w:bCs/>
          <w:sz w:val="24"/>
          <w:szCs w:val="24"/>
        </w:rPr>
        <w:t>Приложение № 7 – Уведомление (форма).</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8"/>
          <w:tab w:val="left" w:pos="426" w:leader="none"/>
        </w:tabs>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8"/>
          <w:tab w:val="left" w:pos="426" w:leader="none"/>
        </w:tabs>
        <w:ind w:left="36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0"/>
        <w:gridCol w:w="148"/>
        <w:gridCol w:w="4638"/>
        <w:gridCol w:w="324"/>
      </w:tblGrid>
      <w:tr>
        <w:trPr/>
        <w:tc>
          <w:tcPr>
            <w:tcW w:w="4928" w:type="dxa"/>
            <w:gridSpan w:val="2"/>
            <w:tcBorders/>
          </w:tcPr>
          <w:p>
            <w:pPr>
              <w:pStyle w:val="Normal"/>
              <w:rPr>
                <w:sz w:val="24"/>
                <w:szCs w:val="24"/>
              </w:rPr>
            </w:pPr>
            <w:r>
              <w:rPr>
                <w:sz w:val="24"/>
                <w:szCs w:val="24"/>
              </w:rPr>
              <w:t>ПОКУПАТЕЛЬ:</w:t>
            </w:r>
          </w:p>
        </w:tc>
        <w:tc>
          <w:tcPr>
            <w:tcW w:w="4962" w:type="dxa"/>
            <w:gridSpan w:val="2"/>
            <w:tcBorders/>
          </w:tcPr>
          <w:p>
            <w:pPr>
              <w:pStyle w:val="Normal"/>
              <w:rPr>
                <w:sz w:val="24"/>
                <w:szCs w:val="24"/>
              </w:rPr>
            </w:pPr>
            <w:r>
              <w:rPr>
                <w:sz w:val="24"/>
                <w:szCs w:val="24"/>
              </w:rPr>
              <w:t>ПОСТАВЩИК:</w:t>
            </w:r>
          </w:p>
        </w:tc>
      </w:tr>
      <w:tr>
        <w:trPr/>
        <w:tc>
          <w:tcPr>
            <w:tcW w:w="4928" w:type="dxa"/>
            <w:gridSpan w:val="2"/>
            <w:tcBorders/>
            <w:shd w:color="auto" w:fill="BFBFBF" w:val="clear"/>
          </w:tcPr>
          <w:p>
            <w:pPr>
              <w:pStyle w:val="Normal"/>
              <w:rPr>
                <w:sz w:val="24"/>
                <w:szCs w:val="24"/>
              </w:rPr>
            </w:pPr>
            <w:r>
              <w:rPr>
                <w:sz w:val="24"/>
                <w:szCs w:val="24"/>
              </w:rPr>
            </w:r>
          </w:p>
          <w:p>
            <w:pPr>
              <w:pStyle w:val="Normal"/>
              <w:rPr>
                <w:b/>
                <w:sz w:val="24"/>
                <w:szCs w:val="24"/>
              </w:rPr>
            </w:pPr>
            <w:r>
              <w:rPr>
                <w:b/>
                <w:sz w:val="24"/>
                <w:szCs w:val="24"/>
              </w:rPr>
              <w:t>Акционерное общество</w:t>
            </w:r>
          </w:p>
          <w:p>
            <w:pPr>
              <w:pStyle w:val="Normal"/>
              <w:rPr>
                <w:b/>
                <w:sz w:val="24"/>
                <w:szCs w:val="24"/>
              </w:rPr>
            </w:pPr>
            <w:r>
              <w:rPr>
                <w:b/>
                <w:sz w:val="24"/>
                <w:szCs w:val="24"/>
              </w:rPr>
              <w:t>«Дальневосточная распределительная сетевая компания» (АО «ДРСК»)</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t>_________________________________</w:t>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 xml:space="preserve"> </w:t>
            </w: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c>
          <w:tcPr>
            <w:tcW w:w="4962" w:type="dxa"/>
            <w:gridSpan w:val="2"/>
            <w:tcBorders/>
            <w:shd w:color="auto" w:fill="BFBFBF" w:val="clear"/>
          </w:tcPr>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t>_________________________________</w:t>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80" w:type="dxa"/>
            <w:tcBorders/>
          </w:tcPr>
          <w:p>
            <w:pPr>
              <w:pStyle w:val="Normal"/>
              <w:rPr>
                <w:sz w:val="24"/>
                <w:szCs w:val="24"/>
                <w:highlight w:val="lightGray"/>
              </w:rPr>
            </w:pPr>
            <w:r>
              <w:rPr>
                <w:sz w:val="24"/>
                <w:szCs w:val="24"/>
                <w:highlight w:val="lightGray"/>
              </w:rPr>
            </w:r>
          </w:p>
        </w:tc>
        <w:tc>
          <w:tcPr>
            <w:tcW w:w="4786" w:type="dxa"/>
            <w:gridSpan w:val="2"/>
            <w:tcBorders/>
          </w:tcPr>
          <w:p>
            <w:pPr>
              <w:pStyle w:val="Normal"/>
              <w:rPr>
                <w:sz w:val="24"/>
                <w:szCs w:val="24"/>
              </w:rPr>
            </w:pPr>
            <w:r>
              <w:rPr>
                <w:sz w:val="24"/>
                <w:szCs w:val="24"/>
                <w:highlight w:val="lightGray"/>
              </w:rPr>
              <w:t>_______________ / _______________</w:t>
            </w:r>
            <w:r>
              <w:rPr>
                <w:sz w:val="24"/>
                <w:szCs w:val="24"/>
              </w:rPr>
              <w:t xml:space="preserve"> </w:t>
            </w:r>
          </w:p>
        </w:tc>
        <w:tc>
          <w:tcPr>
            <w:tcW w:w="324" w:type="dxa"/>
            <w:tcBorders/>
          </w:tcPr>
          <w:p>
            <w:pPr>
              <w:pStyle w:val="Normal"/>
              <w:rPr/>
            </w:pPr>
            <w:r>
              <w:rPr/>
            </w:r>
          </w:p>
        </w:tc>
      </w:tr>
    </w:tbl>
    <w:p>
      <w:pPr>
        <w:sectPr>
          <w:headerReference w:type="default" r:id="rId5"/>
          <w:footnotePr>
            <w:numFmt w:val="decimal"/>
          </w:footnotePr>
          <w:type w:val="nextPage"/>
          <w:pgSz w:w="11906" w:h="16838"/>
          <w:pgMar w:left="1418" w:right="851" w:gutter="0" w:header="709" w:top="1134" w:footer="0" w:bottom="1134"/>
          <w:pgNumType w:fmt="decimal"/>
          <w:formProt w:val="false"/>
          <w:titlePg/>
          <w:textDirection w:val="lrTb"/>
          <w:docGrid w:type="default" w:linePitch="360" w:charSpace="40960"/>
        </w:sectPr>
      </w:pPr>
    </w:p>
    <w:p>
      <w:pPr>
        <w:pStyle w:val="Normal"/>
        <w:ind w:left="5103" w:right="96"/>
        <w:jc w:val="right"/>
        <w:rPr>
          <w:sz w:val="22"/>
          <w:szCs w:val="22"/>
        </w:rPr>
      </w:pPr>
      <w:r>
        <w:rPr>
          <w:sz w:val="22"/>
          <w:szCs w:val="22"/>
        </w:rPr>
        <w:t>Приложение № 1-6</w:t>
      </w:r>
    </w:p>
    <w:p>
      <w:pPr>
        <w:pStyle w:val="Normal"/>
        <w:ind w:left="5103" w:right="96"/>
        <w:jc w:val="right"/>
        <w:rPr>
          <w:sz w:val="22"/>
          <w:szCs w:val="22"/>
        </w:rPr>
      </w:pPr>
      <w:r>
        <w:rPr>
          <w:sz w:val="22"/>
          <w:szCs w:val="22"/>
        </w:rPr>
        <w:t>к Договору поставки</w:t>
      </w:r>
    </w:p>
    <w:p>
      <w:pPr>
        <w:pStyle w:val="Normal"/>
        <w:ind w:left="5103" w:right="96"/>
        <w:jc w:val="right"/>
        <w:rPr>
          <w:sz w:val="22"/>
          <w:szCs w:val="22"/>
        </w:rPr>
      </w:pPr>
      <w:r>
        <w:rPr>
          <w:sz w:val="22"/>
          <w:szCs w:val="22"/>
        </w:rPr>
        <w:t>от «____» __________ 2026 г. № _____</w:t>
      </w:r>
    </w:p>
    <w:p>
      <w:pPr>
        <w:pStyle w:val="Normal"/>
        <w:jc w:val="center"/>
        <w:rPr>
          <w:b/>
          <w:sz w:val="24"/>
          <w:szCs w:val="24"/>
        </w:rPr>
      </w:pPr>
      <w:r>
        <w:rPr>
          <w:b/>
          <w:sz w:val="24"/>
          <w:szCs w:val="24"/>
        </w:rPr>
        <w:t>СПЕЦИФИКАЦИЯ № 1-6</w:t>
      </w:r>
    </w:p>
    <w:p>
      <w:pPr>
        <w:pStyle w:val="Normal"/>
        <w:jc w:val="center"/>
        <w:rPr>
          <w:b/>
          <w:sz w:val="24"/>
          <w:szCs w:val="24"/>
        </w:rPr>
      </w:pPr>
      <w:r>
        <w:rPr>
          <w:b/>
          <w:sz w:val="24"/>
          <w:szCs w:val="24"/>
        </w:rPr>
      </w:r>
    </w:p>
    <w:p>
      <w:pPr>
        <w:pStyle w:val="Normal"/>
        <w:rPr>
          <w:i/>
          <w:i/>
          <w:sz w:val="24"/>
          <w:szCs w:val="24"/>
          <w:highlight w:val="yellow"/>
        </w:rPr>
      </w:pPr>
      <w:r>
        <w:rPr>
          <w:i/>
          <w:sz w:val="24"/>
          <w:szCs w:val="24"/>
          <w:highlight w:val="yellow"/>
        </w:rPr>
      </w:r>
    </w:p>
    <w:p>
      <w:pPr>
        <w:pStyle w:val="Normal"/>
        <w:jc w:val="center"/>
        <w:rPr>
          <w:b/>
          <w:sz w:val="24"/>
          <w:szCs w:val="24"/>
          <w:shd w:fill="FFFF00" w:val="clear"/>
        </w:rPr>
      </w:pPr>
      <w:r>
        <w:rPr>
          <w:b/>
          <w:sz w:val="24"/>
          <w:szCs w:val="24"/>
          <w:shd w:fill="FFFF00" w:val="clear"/>
        </w:rPr>
      </w:r>
    </w:p>
    <w:tbl>
      <w:tblPr>
        <w:tblW w:w="1045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57"/>
        <w:gridCol w:w="391"/>
        <w:gridCol w:w="609"/>
        <w:gridCol w:w="609"/>
        <w:gridCol w:w="615"/>
        <w:gridCol w:w="768"/>
        <w:gridCol w:w="732"/>
        <w:gridCol w:w="619"/>
        <w:gridCol w:w="728"/>
        <w:gridCol w:w="688"/>
        <w:gridCol w:w="518"/>
        <w:gridCol w:w="644"/>
        <w:gridCol w:w="550"/>
        <w:gridCol w:w="514"/>
        <w:gridCol w:w="715"/>
        <w:gridCol w:w="1294"/>
      </w:tblGrid>
      <w:tr>
        <w:trPr>
          <w:trHeight w:val="526" w:hRule="atLeast"/>
        </w:trPr>
        <w:tc>
          <w:tcPr>
            <w:tcW w:w="45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09"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68"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4"/>
            </w:r>
          </w:p>
        </w:tc>
        <w:tc>
          <w:tcPr>
            <w:tcW w:w="73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88"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highlight w:val="lightGray"/>
              </w:rPr>
              <w:t>Порядковый номер(а) реестровой(ых) записи(ей)</w:t>
            </w:r>
            <w:r>
              <w:rPr>
                <w:rStyle w:val="FootnoteReference"/>
                <w:bCs/>
                <w:highlight w:val="lightGray"/>
              </w:rPr>
              <w:footnoteReference w:id="5"/>
            </w:r>
          </w:p>
          <w:p>
            <w:pPr>
              <w:pStyle w:val="Normal"/>
              <w:jc w:val="center"/>
              <w:rPr>
                <w:bCs/>
              </w:rPr>
            </w:pPr>
            <w:r>
              <w:rPr>
                <w:bCs/>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1</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1</w:t>
            </w:r>
          </w:p>
        </w:tc>
        <w:tc>
          <w:tcPr>
            <w:tcW w:w="609"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0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6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2</w:t>
            </w:r>
          </w:p>
        </w:tc>
        <w:tc>
          <w:tcPr>
            <w:tcW w:w="609"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0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6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2"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№1</w:t>
            </w:r>
            <w:r>
              <w:rPr/>
              <w:t>, руб. с НДС</w:t>
            </w:r>
          </w:p>
        </w:tc>
        <w:tc>
          <w:tcPr>
            <w:tcW w:w="200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2</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3</w:t>
            </w:r>
          </w:p>
        </w:tc>
        <w:tc>
          <w:tcPr>
            <w:tcW w:w="609"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0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6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4</w:t>
            </w:r>
          </w:p>
        </w:tc>
        <w:tc>
          <w:tcPr>
            <w:tcW w:w="609"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0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6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8"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8"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0"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5"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129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2"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№2</w:t>
            </w:r>
            <w:r>
              <w:rPr/>
              <w:t>, руб. с НДС</w:t>
            </w:r>
          </w:p>
        </w:tc>
        <w:tc>
          <w:tcPr>
            <w:tcW w:w="200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262" w:hRule="atLeast"/>
        </w:trPr>
        <w:tc>
          <w:tcPr>
            <w:tcW w:w="8442"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всего Товара (с учетом доставки), руб. с НДС:</w:t>
            </w:r>
          </w:p>
        </w:tc>
        <w:tc>
          <w:tcPr>
            <w:tcW w:w="200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bl>
    <w:p>
      <w:pPr>
        <w:pStyle w:val="Normal"/>
        <w:rPr>
          <w:i/>
          <w:i/>
          <w:sz w:val="24"/>
          <w:szCs w:val="24"/>
          <w:highlight w:val="yellow"/>
        </w:rPr>
      </w:pPr>
      <w:r>
        <w:rPr>
          <w:i/>
          <w:sz w:val="24"/>
          <w:szCs w:val="24"/>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rPr>
          <w:i/>
          <w:i/>
          <w:sz w:val="24"/>
          <w:szCs w:val="24"/>
          <w:highlight w:val="yellow"/>
        </w:rPr>
      </w:pPr>
      <w:r>
        <w:rPr>
          <w:i/>
          <w:sz w:val="24"/>
          <w:szCs w:val="24"/>
          <w:highlight w:val="yellow"/>
        </w:rPr>
      </w:r>
    </w:p>
    <w:p>
      <w:pPr>
        <w:pStyle w:val="Normal"/>
        <w:jc w:val="both"/>
        <w:rPr>
          <w:i/>
          <w:i/>
          <w:sz w:val="24"/>
          <w:szCs w:val="24"/>
        </w:rPr>
      </w:pPr>
      <w:r>
        <w:rPr>
          <w:i/>
          <w:sz w:val="24"/>
          <w:szCs w:val="24"/>
          <w:highlight w:val="lightGray"/>
        </w:rPr>
        <w:t>[В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4"/>
          <w:szCs w:val="24"/>
        </w:rPr>
      </w:pPr>
      <w:r>
        <w:rPr>
          <w:i/>
          <w:sz w:val="24"/>
          <w:szCs w:val="24"/>
        </w:rPr>
        <w:t xml:space="preserve">*По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widowControl/>
        <w:spacing w:lineRule="auto" w:line="259"/>
        <w:rPr>
          <w:rFonts w:eastAsia="Calibri"/>
          <w:b/>
          <w:sz w:val="24"/>
          <w:szCs w:val="24"/>
          <w:lang w:eastAsia="en-US"/>
        </w:rPr>
      </w:pPr>
      <w:r>
        <w:rPr>
          <w:rFonts w:eastAsia="Calibri"/>
          <w:b/>
          <w:sz w:val="24"/>
          <w:szCs w:val="24"/>
          <w:lang w:eastAsia="en-US"/>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jc w:val="center"/>
        <w:outlineLvl w:val="0"/>
        <w:rPr>
          <w:bCs/>
          <w:sz w:val="24"/>
          <w:szCs w:val="24"/>
        </w:rPr>
      </w:pPr>
      <w:r>
        <w:rPr>
          <w:bCs/>
          <w:sz w:val="24"/>
          <w:szCs w:val="24"/>
        </w:rPr>
      </w:r>
    </w:p>
    <w:tbl>
      <w:tblPr>
        <w:tblW w:w="14634"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9816"/>
        <w:gridCol w:w="4817"/>
      </w:tblGrid>
      <w:tr>
        <w:trPr/>
        <w:tc>
          <w:tcPr>
            <w:tcW w:w="9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tc>
        <w:tc>
          <w:tcPr>
            <w:tcW w:w="4817" w:type="dxa"/>
            <w:tcBorders/>
            <w:shd w:color="auto" w:fill="auto" w:val="clear"/>
          </w:tcPr>
          <w:p>
            <w:pPr>
              <w:pStyle w:val="Normal"/>
              <w:ind w:firstLine="34"/>
              <w:rPr>
                <w:b/>
                <w:sz w:val="24"/>
                <w:szCs w:val="24"/>
              </w:rPr>
            </w:pPr>
            <w:r>
              <w:rPr>
                <w:b/>
                <w:sz w:val="24"/>
                <w:szCs w:val="24"/>
              </w:rPr>
              <w:t>Поставщик:</w:t>
            </w:r>
          </w:p>
          <w:p>
            <w:pPr>
              <w:pStyle w:val="Normal"/>
              <w:ind w:firstLine="34"/>
              <w:rPr>
                <w:sz w:val="24"/>
                <w:szCs w:val="24"/>
              </w:rPr>
            </w:pPr>
            <w:r>
              <w:rPr>
                <w:sz w:val="24"/>
                <w:szCs w:val="24"/>
              </w:rPr>
            </w:r>
          </w:p>
          <w:p>
            <w:pPr>
              <w:pStyle w:val="Normal"/>
              <w:ind w:firstLine="34"/>
              <w:rPr>
                <w:sz w:val="24"/>
                <w:szCs w:val="24"/>
              </w:rPr>
            </w:pPr>
            <w:r>
              <w:rPr>
                <w:sz w:val="24"/>
                <w:szCs w:val="24"/>
              </w:rPr>
            </w:r>
          </w:p>
          <w:p>
            <w:pPr>
              <w:pStyle w:val="Normal"/>
              <w:rPr>
                <w:b/>
                <w:sz w:val="24"/>
                <w:szCs w:val="24"/>
              </w:rPr>
            </w:pPr>
            <w:r>
              <w:rPr>
                <w:sz w:val="24"/>
                <w:szCs w:val="24"/>
              </w:rPr>
              <w:t>_____________________/_____________</w:t>
            </w:r>
          </w:p>
        </w:tc>
      </w:tr>
    </w:tbl>
    <w:p>
      <w:pPr>
        <w:sectPr>
          <w:headerReference w:type="default" r:id="rId6"/>
          <w:headerReference w:type="first" r:id="rId7"/>
          <w:footnotePr>
            <w:numFmt w:val="decimal"/>
          </w:footnotePr>
          <w:type w:val="nextPage"/>
          <w:pgSz w:orient="landscape" w:w="16838" w:h="11906"/>
          <w:pgMar w:left="1134" w:right="1134" w:gutter="0" w:header="709" w:top="766" w:footer="0" w:bottom="851"/>
          <w:pgNumType w:fmt="decimal"/>
          <w:formProt w:val="false"/>
          <w:textDirection w:val="lrTb"/>
          <w:docGrid w:type="default" w:linePitch="299" w:charSpace="40960"/>
        </w:sectPr>
      </w:pPr>
      <w:r>
        <w:br w:type="page"/>
      </w:r>
    </w:p>
    <w:p>
      <w:pPr>
        <w:pStyle w:val="Normal"/>
        <w:rPr>
          <w:rFonts w:eastAsia="Calibri"/>
          <w:b/>
          <w:sz w:val="24"/>
          <w:szCs w:val="24"/>
          <w:lang w:eastAsia="en-US"/>
        </w:rPr>
      </w:pPr>
      <w:r>
        <w:rPr>
          <w:rFonts w:eastAsia="Calibri"/>
          <w:b/>
          <w:sz w:val="24"/>
          <w:szCs w:val="24"/>
          <w:lang w:eastAsia="en-US"/>
        </w:rPr>
      </w:r>
    </w:p>
    <w:tbl>
      <w:tblPr>
        <w:tblpPr w:vertAnchor="text" w:horzAnchor="margin" w:tblpXSpec="center" w:leftFromText="180" w:rightFromText="180" w:tblpY="223"/>
        <w:tblW w:w="1622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2271"/>
        <w:gridCol w:w="2069"/>
        <w:gridCol w:w="1219"/>
        <w:gridCol w:w="1359"/>
        <w:gridCol w:w="1858"/>
        <w:gridCol w:w="2137"/>
        <w:gridCol w:w="1978"/>
        <w:gridCol w:w="3333"/>
      </w:tblGrid>
      <w:tr>
        <w:trPr>
          <w:trHeight w:val="288" w:hRule="atLeas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5311" w:type="dxa"/>
            <w:gridSpan w:val="2"/>
            <w:tcBorders/>
            <w:shd w:color="auto" w:fill="auto" w:val="clear"/>
            <w:vAlign w:val="center"/>
          </w:tcPr>
          <w:p>
            <w:pPr>
              <w:pStyle w:val="Normal"/>
              <w:rPr>
                <w:color w:val="000000"/>
                <w:sz w:val="24"/>
                <w:szCs w:val="24"/>
              </w:rPr>
            </w:pPr>
            <w:r>
              <w:rPr>
                <w:color w:val="000000"/>
                <w:sz w:val="24"/>
                <w:szCs w:val="24"/>
              </w:rPr>
              <w:t>Приложение № 7</w:t>
            </w:r>
          </w:p>
        </w:tc>
      </w:tr>
      <w:tr>
        <w:trPr>
          <w:trHeight w:val="288" w:hRule="atLeast"/>
        </w:trPr>
        <w:tc>
          <w:tcPr>
            <w:tcW w:w="2271" w:type="dxa"/>
            <w:tcBorders/>
            <w:shd w:color="auto" w:fill="auto" w:val="clear"/>
            <w:vAlign w:val="bottom"/>
          </w:tcPr>
          <w:p>
            <w:pPr>
              <w:pStyle w:val="Normal"/>
              <w:rPr>
                <w:rFonts w:ascii="Calibri" w:hAnsi="Calibri"/>
                <w:color w:val="000000"/>
              </w:rPr>
            </w:pPr>
            <w:r>
              <w:rPr>
                <w:rFonts w:ascii="Calibri" w:hAnsi="Calibri"/>
                <w:color w:val="000000"/>
                <w:sz w:val="28"/>
              </w:rPr>
              <w:t>ФОРМА</w:t>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5311" w:type="dxa"/>
            <w:gridSpan w:val="2"/>
            <w:tcBorders/>
            <w:shd w:color="auto" w:fill="auto" w:val="clear"/>
            <w:vAlign w:val="center"/>
          </w:tcPr>
          <w:p>
            <w:pPr>
              <w:pStyle w:val="Normal"/>
              <w:ind w:firstLine="5103"/>
              <w:rPr>
                <w:sz w:val="24"/>
                <w:szCs w:val="24"/>
              </w:rPr>
            </w:pPr>
            <w:r>
              <w:rPr>
                <w:color w:val="000000"/>
                <w:sz w:val="24"/>
                <w:szCs w:val="24"/>
              </w:rPr>
              <w:t xml:space="preserve"> </w:t>
            </w:r>
            <w:r>
              <w:rPr>
                <w:color w:val="000000"/>
                <w:sz w:val="24"/>
                <w:szCs w:val="24"/>
              </w:rPr>
              <w:t xml:space="preserve">к Договору поставки </w:t>
            </w:r>
            <w:r>
              <w:rPr>
                <w:sz w:val="24"/>
                <w:szCs w:val="24"/>
              </w:rPr>
              <w:t xml:space="preserve"> </w:t>
            </w:r>
          </w:p>
          <w:p>
            <w:pPr>
              <w:pStyle w:val="Normal"/>
              <w:rPr>
                <w:bCs/>
                <w:sz w:val="24"/>
                <w:szCs w:val="24"/>
              </w:rPr>
            </w:pPr>
            <w:r>
              <w:rPr>
                <w:sz w:val="24"/>
                <w:szCs w:val="24"/>
              </w:rPr>
              <w:t>от __.__. 2026 г. № _____</w:t>
            </w:r>
          </w:p>
          <w:p>
            <w:pPr>
              <w:pStyle w:val="Normal"/>
              <w:jc w:val="right"/>
              <w:rPr>
                <w:color w:val="000000"/>
                <w:sz w:val="24"/>
                <w:szCs w:val="24"/>
              </w:rPr>
            </w:pPr>
            <w:r>
              <w:rPr>
                <w:color w:val="000000"/>
                <w:sz w:val="24"/>
                <w:szCs w:val="24"/>
              </w:rPr>
              <w:t xml:space="preserve"> </w:t>
            </w:r>
          </w:p>
          <w:p>
            <w:pPr>
              <w:pStyle w:val="Normal"/>
              <w:jc w:val="right"/>
              <w:rPr>
                <w:color w:val="000000"/>
                <w:sz w:val="24"/>
                <w:szCs w:val="24"/>
              </w:rPr>
            </w:pPr>
            <w:r>
              <w:rPr>
                <w:color w:val="000000"/>
                <w:sz w:val="24"/>
                <w:szCs w:val="24"/>
              </w:rPr>
            </w:r>
          </w:p>
        </w:tc>
      </w:tr>
      <w:tr>
        <w:trPr>
          <w:trHeight w:val="288" w:hRule="atLeas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5311" w:type="dxa"/>
            <w:gridSpan w:val="2"/>
            <w:tcBorders/>
            <w:shd w:color="auto" w:fill="auto" w:val="clear"/>
            <w:vAlign w:val="center"/>
          </w:tcPr>
          <w:p>
            <w:pPr>
              <w:pStyle w:val="Normal"/>
              <w:jc w:val="right"/>
              <w:rPr>
                <w:rFonts w:ascii="Calibri" w:hAnsi="Calibri"/>
                <w:color w:val="000000"/>
              </w:rPr>
            </w:pPr>
            <w:r>
              <w:rPr>
                <w:rFonts w:ascii="Calibri" w:hAnsi="Calibri"/>
                <w:color w:val="000000"/>
              </w:rPr>
            </w:r>
          </w:p>
        </w:tc>
      </w:tr>
      <w:tr>
        <w:trPr>
          <w:trHeight w:val="300" w:hRule="atLeas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8642" w:type="dxa"/>
            <w:gridSpan w:val="5"/>
            <w:tcBorders/>
            <w:shd w:color="auto" w:fill="auto" w:val="clear"/>
            <w:vAlign w:val="bottom"/>
          </w:tcPr>
          <w:p>
            <w:pPr>
              <w:pStyle w:val="Normal"/>
              <w:jc w:val="center"/>
              <w:rPr>
                <w:rFonts w:ascii="Calibri" w:hAnsi="Calibri"/>
                <w:color w:val="000000"/>
                <w:sz w:val="28"/>
                <w:szCs w:val="28"/>
              </w:rPr>
            </w:pPr>
            <w:r>
              <w:rPr>
                <w:rFonts w:ascii="Calibri" w:hAnsi="Calibri"/>
                <w:color w:val="000000"/>
                <w:sz w:val="28"/>
                <w:szCs w:val="28"/>
              </w:rPr>
              <w:t>Уведомление</w:t>
            </w:r>
          </w:p>
          <w:p>
            <w:pPr>
              <w:pStyle w:val="Normal"/>
              <w:jc w:val="center"/>
              <w:rPr>
                <w:rFonts w:ascii="Calibri" w:hAnsi="Calibri"/>
                <w:color w:val="000000"/>
                <w:sz w:val="28"/>
                <w:szCs w:val="28"/>
              </w:rPr>
            </w:pPr>
            <w:r>
              <w:rPr>
                <w:rFonts w:ascii="Calibri" w:hAnsi="Calibri"/>
                <w:color w:val="000000"/>
                <w:sz w:val="28"/>
                <w:szCs w:val="28"/>
              </w:rPr>
              <w:t>Информация об отгрузке и по доставке ТМЦ</w:t>
            </w:r>
          </w:p>
        </w:tc>
        <w:tc>
          <w:tcPr>
            <w:tcW w:w="1978" w:type="dxa"/>
            <w:tcBorders/>
            <w:shd w:color="auto" w:fill="auto" w:val="clear"/>
            <w:vAlign w:val="center"/>
          </w:tcPr>
          <w:p>
            <w:pPr>
              <w:pStyle w:val="Normal"/>
              <w:jc w:val="right"/>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300" w:hRule="exac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atLeast"/>
        </w:trPr>
        <w:tc>
          <w:tcPr>
            <w:tcW w:w="2271" w:type="dxa"/>
            <w:vMerge w:val="restart"/>
            <w:tcBorders>
              <w:top w:val="single" w:sz="8" w:space="0" w:color="000000"/>
              <w:left w:val="single" w:sz="8" w:space="0" w:color="000000"/>
              <w:bottom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Поставщик (в соответствии с условиями договора)***</w:t>
            </w:r>
          </w:p>
        </w:tc>
        <w:tc>
          <w:tcPr>
            <w:tcW w:w="6505" w:type="dxa"/>
            <w:gridSpan w:val="4"/>
            <w:tcBorders>
              <w:top w:val="single" w:sz="8" w:space="0" w:color="000000"/>
              <w:left w:val="single" w:sz="8" w:space="0" w:color="000000"/>
              <w:bottom w:val="single" w:sz="4"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Грузоотправитель (место отгрузки товара)*</w:t>
            </w:r>
          </w:p>
        </w:tc>
        <w:tc>
          <w:tcPr>
            <w:tcW w:w="7448" w:type="dxa"/>
            <w:gridSpan w:val="3"/>
            <w:tcBorders>
              <w:top w:val="single" w:sz="8" w:space="0" w:color="000000"/>
              <w:left w:val="single" w:sz="8" w:space="0" w:color="000000"/>
              <w:bottom w:val="single" w:sz="4" w:space="0" w:color="000000"/>
              <w:right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Транспортная компания (перевозчик)</w:t>
            </w:r>
          </w:p>
        </w:tc>
      </w:tr>
      <w:tr>
        <w:trPr>
          <w:trHeight w:val="564" w:hRule="atLeast"/>
        </w:trPr>
        <w:tc>
          <w:tcPr>
            <w:tcW w:w="2271" w:type="dxa"/>
            <w:vMerge w:val="continue"/>
            <w:tcBorders>
              <w:top w:val="single" w:sz="8" w:space="0" w:color="000000"/>
              <w:left w:val="single" w:sz="8" w:space="0" w:color="000000"/>
              <w:bottom w:val="single" w:sz="8" w:space="0" w:color="000000"/>
            </w:tcBorders>
            <w:vAlign w:val="center"/>
          </w:tcPr>
          <w:p>
            <w:pPr>
              <w:pStyle w:val="Normal"/>
              <w:rPr>
                <w:rFonts w:ascii="Calibri" w:hAnsi="Calibri"/>
                <w:color w:val="000000"/>
              </w:rPr>
            </w:pPr>
            <w:r>
              <w:rPr>
                <w:rFonts w:ascii="Calibri" w:hAnsi="Calibri"/>
                <w:color w:val="000000"/>
              </w:rPr>
            </w:r>
          </w:p>
        </w:tc>
        <w:tc>
          <w:tcPr>
            <w:tcW w:w="2069" w:type="dxa"/>
            <w:tcBorders>
              <w:left w:val="single" w:sz="8" w:space="0" w:color="000000"/>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Наименование контрагента</w:t>
            </w:r>
          </w:p>
        </w:tc>
        <w:tc>
          <w:tcPr>
            <w:tcW w:w="1219"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ИНН/КПП</w:t>
            </w:r>
          </w:p>
        </w:tc>
        <w:tc>
          <w:tcPr>
            <w:tcW w:w="1359"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Адрес склада</w:t>
            </w:r>
          </w:p>
        </w:tc>
        <w:tc>
          <w:tcPr>
            <w:tcW w:w="1858" w:type="dxa"/>
            <w:tcBorders>
              <w:bottom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c>
          <w:tcPr>
            <w:tcW w:w="2137" w:type="dxa"/>
            <w:tcBorders>
              <w:left w:val="single" w:sz="8" w:space="0" w:color="000000"/>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Наименование контрагента</w:t>
            </w:r>
          </w:p>
        </w:tc>
        <w:tc>
          <w:tcPr>
            <w:tcW w:w="1978"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ИНН/КПП</w:t>
            </w:r>
          </w:p>
        </w:tc>
        <w:tc>
          <w:tcPr>
            <w:tcW w:w="3333" w:type="dxa"/>
            <w:tcBorders>
              <w:bottom w:val="single" w:sz="8" w:space="0" w:color="000000"/>
              <w:right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w:t>
            </w:r>
            <w:r>
              <w:rPr>
                <w:rFonts w:ascii="Calibri" w:hAnsi="Calibri"/>
                <w:color w:val="000000"/>
              </w:rPr>
              <w:t>, дата договора, (соглашения)**</w:t>
            </w:r>
          </w:p>
        </w:tc>
      </w:tr>
      <w:tr>
        <w:trPr>
          <w:trHeight w:val="300" w:hRule="atLeast"/>
        </w:trPr>
        <w:tc>
          <w:tcPr>
            <w:tcW w:w="2271" w:type="dxa"/>
            <w:tcBorders>
              <w:left w:val="single" w:sz="8" w:space="0" w:color="000000"/>
              <w:bottom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1</w:t>
            </w:r>
          </w:p>
        </w:tc>
        <w:tc>
          <w:tcPr>
            <w:tcW w:w="2069" w:type="dxa"/>
            <w:tcBorders>
              <w:left w:val="single" w:sz="8" w:space="0" w:color="000000"/>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2</w:t>
            </w:r>
          </w:p>
        </w:tc>
        <w:tc>
          <w:tcPr>
            <w:tcW w:w="1219"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3</w:t>
            </w:r>
          </w:p>
        </w:tc>
        <w:tc>
          <w:tcPr>
            <w:tcW w:w="1359"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4</w:t>
            </w:r>
          </w:p>
        </w:tc>
        <w:tc>
          <w:tcPr>
            <w:tcW w:w="1858" w:type="dxa"/>
            <w:tcBorders>
              <w:bottom w:val="single" w:sz="8" w:space="0" w:color="000000"/>
              <w:right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5</w:t>
            </w:r>
          </w:p>
        </w:tc>
        <w:tc>
          <w:tcPr>
            <w:tcW w:w="2137"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6</w:t>
            </w:r>
          </w:p>
        </w:tc>
        <w:tc>
          <w:tcPr>
            <w:tcW w:w="1978" w:type="dxa"/>
            <w:tcBorders>
              <w:bottom w:val="single" w:sz="8" w:space="0" w:color="000000"/>
              <w:right w:val="single" w:sz="4" w:space="0" w:color="000000"/>
            </w:tcBorders>
            <w:shd w:color="auto" w:fill="auto" w:val="clear"/>
            <w:vAlign w:val="bottom"/>
          </w:tcPr>
          <w:p>
            <w:pPr>
              <w:pStyle w:val="Normal"/>
              <w:jc w:val="center"/>
              <w:rPr>
                <w:rFonts w:ascii="Calibri" w:hAnsi="Calibri"/>
                <w:color w:val="000000"/>
              </w:rPr>
            </w:pPr>
            <w:r>
              <w:rPr>
                <w:rFonts w:ascii="Calibri" w:hAnsi="Calibri"/>
                <w:color w:val="000000"/>
              </w:rPr>
              <w:t>7</w:t>
            </w:r>
          </w:p>
        </w:tc>
        <w:tc>
          <w:tcPr>
            <w:tcW w:w="3333" w:type="dxa"/>
            <w:tcBorders>
              <w:bottom w:val="single" w:sz="8" w:space="0" w:color="000000"/>
              <w:right w:val="single" w:sz="8" w:space="0" w:color="000000"/>
            </w:tcBorders>
            <w:shd w:color="auto" w:fill="auto" w:val="clear"/>
            <w:vAlign w:val="bottom"/>
          </w:tcPr>
          <w:p>
            <w:pPr>
              <w:pStyle w:val="Normal"/>
              <w:jc w:val="center"/>
              <w:rPr>
                <w:rFonts w:ascii="Calibri" w:hAnsi="Calibri"/>
                <w:color w:val="000000"/>
              </w:rPr>
            </w:pPr>
            <w:r>
              <w:rPr>
                <w:rFonts w:ascii="Calibri" w:hAnsi="Calibri"/>
                <w:color w:val="000000"/>
              </w:rPr>
              <w:t>8</w:t>
            </w:r>
          </w:p>
        </w:tc>
      </w:tr>
      <w:tr>
        <w:trPr>
          <w:trHeight w:val="288" w:hRule="atLeast"/>
        </w:trPr>
        <w:tc>
          <w:tcPr>
            <w:tcW w:w="2271" w:type="dxa"/>
            <w:tcBorders>
              <w:left w:val="single" w:sz="8" w:space="0" w:color="000000"/>
              <w:bottom w:val="single" w:sz="4" w:space="0" w:color="000000"/>
            </w:tcBorders>
            <w:shd w:color="auto" w:fill="auto" w:val="clear"/>
            <w:vAlign w:val="center"/>
          </w:tcPr>
          <w:p>
            <w:pPr>
              <w:pStyle w:val="Normal"/>
              <w:jc w:val="center"/>
              <w:rPr>
                <w:rFonts w:ascii="Calibri" w:hAnsi="Calibri"/>
                <w:color w:val="000000"/>
              </w:rPr>
            </w:pPr>
            <w:r>
              <w:rPr>
                <w:rFonts w:ascii="Calibri" w:hAnsi="Calibri"/>
                <w:color w:val="000000"/>
              </w:rPr>
            </w:r>
          </w:p>
        </w:tc>
        <w:tc>
          <w:tcPr>
            <w:tcW w:w="2069" w:type="dxa"/>
            <w:tcBorders>
              <w:left w:val="single" w:sz="8" w:space="0" w:color="000000"/>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bottom w:val="single" w:sz="4"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3333" w:type="dxa"/>
            <w:tcBorders>
              <w:bottom w:val="single" w:sz="4"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288" w:hRule="atLeast"/>
        </w:trPr>
        <w:tc>
          <w:tcPr>
            <w:tcW w:w="2271" w:type="dxa"/>
            <w:tcBorders>
              <w:left w:val="single" w:sz="8" w:space="0" w:color="000000"/>
              <w:bottom w:val="single" w:sz="4" w:space="0" w:color="000000"/>
            </w:tcBorders>
            <w:shd w:color="auto" w:fill="auto" w:val="clear"/>
            <w:vAlign w:val="center"/>
          </w:tcPr>
          <w:p>
            <w:pPr>
              <w:pStyle w:val="Normal"/>
              <w:jc w:val="center"/>
              <w:rPr>
                <w:rFonts w:ascii="Calibri" w:hAnsi="Calibri"/>
                <w:color w:val="000000"/>
              </w:rPr>
            </w:pPr>
            <w:r>
              <w:rPr>
                <w:rFonts w:ascii="Calibri" w:hAnsi="Calibri"/>
                <w:color w:val="000000"/>
              </w:rPr>
              <w:t> </w:t>
            </w:r>
          </w:p>
        </w:tc>
        <w:tc>
          <w:tcPr>
            <w:tcW w:w="2069" w:type="dxa"/>
            <w:tcBorders>
              <w:left w:val="single" w:sz="8" w:space="0" w:color="000000"/>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219"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359"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858" w:type="dxa"/>
            <w:tcBorders>
              <w:bottom w:val="single" w:sz="4"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2137"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978"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3333" w:type="dxa"/>
            <w:tcBorders>
              <w:bottom w:val="single" w:sz="4"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288" w:hRule="atLeast"/>
        </w:trPr>
        <w:tc>
          <w:tcPr>
            <w:tcW w:w="2271" w:type="dxa"/>
            <w:tcBorders>
              <w:left w:val="single" w:sz="8" w:space="0" w:color="000000"/>
              <w:bottom w:val="single" w:sz="4" w:space="0" w:color="000000"/>
            </w:tcBorders>
            <w:shd w:color="auto" w:fill="auto" w:val="clear"/>
            <w:vAlign w:val="center"/>
          </w:tcPr>
          <w:p>
            <w:pPr>
              <w:pStyle w:val="Normal"/>
              <w:jc w:val="center"/>
              <w:rPr>
                <w:rFonts w:ascii="Calibri" w:hAnsi="Calibri"/>
                <w:color w:val="000000"/>
              </w:rPr>
            </w:pPr>
            <w:r>
              <w:rPr>
                <w:rFonts w:ascii="Calibri" w:hAnsi="Calibri"/>
                <w:color w:val="000000"/>
              </w:rPr>
              <w:t> </w:t>
            </w:r>
          </w:p>
        </w:tc>
        <w:tc>
          <w:tcPr>
            <w:tcW w:w="2069" w:type="dxa"/>
            <w:tcBorders>
              <w:left w:val="single" w:sz="8" w:space="0" w:color="000000"/>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219"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359"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858" w:type="dxa"/>
            <w:tcBorders>
              <w:bottom w:val="single" w:sz="4"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2137"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978" w:type="dxa"/>
            <w:tcBorders>
              <w:bottom w:val="single" w:sz="4"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3333" w:type="dxa"/>
            <w:tcBorders>
              <w:bottom w:val="single" w:sz="4"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300" w:hRule="atLeast"/>
        </w:trPr>
        <w:tc>
          <w:tcPr>
            <w:tcW w:w="2271" w:type="dxa"/>
            <w:tcBorders>
              <w:left w:val="single" w:sz="8" w:space="0" w:color="000000"/>
              <w:bottom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2069" w:type="dxa"/>
            <w:tcBorders>
              <w:left w:val="single" w:sz="8" w:space="0" w:color="000000"/>
              <w:bottom w:val="single" w:sz="8"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219" w:type="dxa"/>
            <w:tcBorders>
              <w:bottom w:val="single" w:sz="8"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359" w:type="dxa"/>
            <w:tcBorders>
              <w:bottom w:val="single" w:sz="8"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858" w:type="dxa"/>
            <w:tcBorders>
              <w:bottom w:val="single" w:sz="8"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2137" w:type="dxa"/>
            <w:tcBorders>
              <w:bottom w:val="single" w:sz="8"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978" w:type="dxa"/>
            <w:tcBorders>
              <w:bottom w:val="single" w:sz="8" w:space="0" w:color="000000"/>
              <w:right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3333" w:type="dxa"/>
            <w:tcBorders>
              <w:bottom w:val="single" w:sz="8" w:space="0" w:color="000000"/>
              <w:right w:val="single" w:sz="8" w:space="0" w:color="000000"/>
            </w:tcBorders>
            <w:shd w:color="auto" w:fill="auto" w:val="clear"/>
            <w:vAlign w:val="bottom"/>
          </w:tcPr>
          <w:p>
            <w:pPr>
              <w:pStyle w:val="Normal"/>
              <w:rPr>
                <w:rFonts w:ascii="Calibri" w:hAnsi="Calibri"/>
                <w:color w:val="000000"/>
              </w:rPr>
            </w:pPr>
            <w:r>
              <w:rPr>
                <w:rFonts w:ascii="Calibri" w:hAnsi="Calibri"/>
                <w:color w:val="000000"/>
              </w:rPr>
              <w:t> </w:t>
            </w:r>
          </w:p>
        </w:tc>
      </w:tr>
      <w:tr>
        <w:trPr>
          <w:trHeight w:val="288" w:hRule="exac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exac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atLeast"/>
        </w:trPr>
        <w:tc>
          <w:tcPr>
            <w:tcW w:w="4340" w:type="dxa"/>
            <w:gridSpan w:val="2"/>
            <w:tcBorders>
              <w:bottom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bottom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1978" w:type="dxa"/>
            <w:tcBorders>
              <w:bottom w:val="single" w:sz="4" w:space="0" w:color="000000"/>
            </w:tcBorders>
            <w:shd w:color="auto" w:fill="auto" w:val="clear"/>
            <w:vAlign w:val="bottom"/>
          </w:tcPr>
          <w:p>
            <w:pPr>
              <w:pStyle w:val="Normal"/>
              <w:rPr>
                <w:rFonts w:ascii="Calibri" w:hAnsi="Calibri"/>
                <w:color w:val="000000"/>
              </w:rPr>
            </w:pPr>
            <w:r>
              <w:rPr>
                <w:rFonts w:ascii="Calibri" w:hAnsi="Calibri"/>
                <w:color w:val="000000"/>
              </w:rPr>
              <w:t> </w:t>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28" w:hRule="atLeast"/>
        </w:trPr>
        <w:tc>
          <w:tcPr>
            <w:tcW w:w="4340" w:type="dxa"/>
            <w:gridSpan w:val="2"/>
            <w:tcBorders>
              <w:top w:val="single" w:sz="4" w:space="0" w:color="000000"/>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t>поставщик</w:t>
            </w:r>
          </w:p>
        </w:tc>
        <w:tc>
          <w:tcPr>
            <w:tcW w:w="1219"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r>
          </w:p>
        </w:tc>
        <w:tc>
          <w:tcPr>
            <w:tcW w:w="1359"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r>
          </w:p>
        </w:tc>
        <w:tc>
          <w:tcPr>
            <w:tcW w:w="1858"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r>
          </w:p>
        </w:tc>
        <w:tc>
          <w:tcPr>
            <w:tcW w:w="2137"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t>подпись</w:t>
            </w:r>
          </w:p>
        </w:tc>
        <w:tc>
          <w:tcPr>
            <w:tcW w:w="1978" w:type="dxa"/>
            <w:tcBorders/>
            <w:shd w:color="auto" w:fill="auto" w:val="clear"/>
            <w:vAlign w:val="bottom"/>
          </w:tcPr>
          <w:p>
            <w:pPr>
              <w:pStyle w:val="Normal"/>
              <w:jc w:val="center"/>
              <w:rPr>
                <w:rFonts w:ascii="Calibri" w:hAnsi="Calibri"/>
                <w:color w:val="000000"/>
                <w:sz w:val="16"/>
                <w:szCs w:val="16"/>
              </w:rPr>
            </w:pPr>
            <w:r>
              <w:rPr>
                <w:rFonts w:ascii="Calibri" w:hAnsi="Calibri"/>
                <w:color w:val="000000"/>
                <w:sz w:val="16"/>
                <w:szCs w:val="16"/>
              </w:rPr>
              <w:t>ФИО</w:t>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288" w:hRule="exact"/>
        </w:trPr>
        <w:tc>
          <w:tcPr>
            <w:tcW w:w="2271" w:type="dxa"/>
            <w:tcBorders/>
            <w:shd w:color="auto" w:fill="auto" w:val="clear"/>
            <w:vAlign w:val="bottom"/>
          </w:tcPr>
          <w:p>
            <w:pPr>
              <w:pStyle w:val="Normal"/>
              <w:rPr>
                <w:rFonts w:ascii="Calibri" w:hAnsi="Calibri"/>
                <w:color w:val="000000"/>
              </w:rPr>
            </w:pPr>
            <w:r>
              <w:rPr>
                <w:rFonts w:ascii="Calibri" w:hAnsi="Calibri"/>
                <w:color w:val="000000"/>
              </w:rPr>
            </w:r>
          </w:p>
        </w:tc>
        <w:tc>
          <w:tcPr>
            <w:tcW w:w="2069" w:type="dxa"/>
            <w:tcBorders/>
            <w:shd w:color="auto" w:fill="auto" w:val="clear"/>
            <w:vAlign w:val="bottom"/>
          </w:tcPr>
          <w:p>
            <w:pPr>
              <w:pStyle w:val="Normal"/>
              <w:rPr>
                <w:rFonts w:ascii="Calibri" w:hAnsi="Calibri"/>
                <w:color w:val="000000"/>
              </w:rPr>
            </w:pPr>
            <w:r>
              <w:rPr>
                <w:rFonts w:ascii="Calibri" w:hAnsi="Calibri"/>
                <w:color w:val="000000"/>
              </w:rPr>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480" w:hRule="atLeast"/>
        </w:trPr>
        <w:tc>
          <w:tcPr>
            <w:tcW w:w="4340" w:type="dxa"/>
            <w:gridSpan w:val="2"/>
            <w:tcBorders/>
            <w:shd w:color="auto" w:fill="auto" w:val="clear"/>
            <w:vAlign w:val="bottom"/>
          </w:tcPr>
          <w:p>
            <w:pPr>
              <w:pStyle w:val="Normal"/>
              <w:rPr>
                <w:rFonts w:ascii="Calibri" w:hAnsi="Calibri"/>
                <w:color w:val="000000"/>
                <w:sz w:val="16"/>
                <w:szCs w:val="16"/>
              </w:rPr>
            </w:pPr>
            <w:r>
              <w:rPr>
                <w:rFonts w:ascii="Calibri" w:hAnsi="Calibri"/>
                <w:b/>
                <w:bCs/>
                <w:color w:val="000000"/>
                <w:sz w:val="16"/>
                <w:szCs w:val="16"/>
              </w:rPr>
              <w:t>*</w:t>
            </w:r>
            <w:r>
              <w:rPr>
                <w:rFonts w:ascii="Calibri" w:hAnsi="Calibri"/>
                <w:color w:val="000000"/>
                <w:sz w:val="16"/>
                <w:szCs w:val="16"/>
              </w:rPr>
              <w:t>ТОРГ-12, счет-фактура - по строке грузоотправитель указывается организация грузоотправителя</w:t>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480" w:hRule="atLeast"/>
        </w:trPr>
        <w:tc>
          <w:tcPr>
            <w:tcW w:w="4340" w:type="dxa"/>
            <w:gridSpan w:val="2"/>
            <w:tcBorders/>
            <w:shd w:color="auto" w:fill="auto" w:val="clear"/>
            <w:vAlign w:val="bottom"/>
          </w:tcPr>
          <w:p>
            <w:pPr>
              <w:pStyle w:val="Normal"/>
              <w:rPr>
                <w:rFonts w:ascii="Calibri" w:hAnsi="Calibri"/>
                <w:color w:val="000000"/>
                <w:sz w:val="16"/>
                <w:szCs w:val="16"/>
              </w:rPr>
            </w:pPr>
            <w:r>
              <w:rPr>
                <w:rFonts w:ascii="Calibri" w:hAnsi="Calibri"/>
                <w:b/>
                <w:bCs/>
                <w:color w:val="000000"/>
                <w:sz w:val="16"/>
                <w:szCs w:val="16"/>
              </w:rPr>
              <w:t>**</w:t>
            </w:r>
            <w:r>
              <w:rPr>
                <w:rFonts w:ascii="Calibri" w:hAnsi="Calibri"/>
                <w:color w:val="000000"/>
                <w:sz w:val="16"/>
                <w:szCs w:val="16"/>
              </w:rPr>
              <w:t>Реквизиты документа, согласно которому поставщиком передана обязанность по поставке груза</w:t>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r>
        <w:trPr>
          <w:trHeight w:val="480" w:hRule="atLeast"/>
        </w:trPr>
        <w:tc>
          <w:tcPr>
            <w:tcW w:w="4340" w:type="dxa"/>
            <w:gridSpan w:val="2"/>
            <w:tcBorders/>
            <w:shd w:color="auto" w:fill="auto" w:val="clear"/>
            <w:vAlign w:val="bottom"/>
          </w:tcPr>
          <w:p>
            <w:pPr>
              <w:pStyle w:val="Normal"/>
              <w:rPr>
                <w:rFonts w:ascii="Calibri" w:hAnsi="Calibri"/>
                <w:color w:val="000000"/>
                <w:sz w:val="16"/>
                <w:szCs w:val="16"/>
              </w:rPr>
            </w:pPr>
            <w:r>
              <w:rPr>
                <w:rFonts w:ascii="Calibri" w:hAnsi="Calibri"/>
                <w:b/>
                <w:bCs/>
                <w:color w:val="000000"/>
                <w:sz w:val="16"/>
                <w:szCs w:val="16"/>
              </w:rPr>
              <w:t xml:space="preserve">*** </w:t>
            </w:r>
            <w:r>
              <w:rPr>
                <w:rFonts w:ascii="Calibri" w:hAnsi="Calibri"/>
                <w:color w:val="000000"/>
                <w:sz w:val="16"/>
                <w:szCs w:val="16"/>
              </w:rPr>
              <w:t>В случае поставки товара силами поставщика в графе 2,6 проставляется "он же"</w:t>
            </w:r>
          </w:p>
        </w:tc>
        <w:tc>
          <w:tcPr>
            <w:tcW w:w="1219" w:type="dxa"/>
            <w:tcBorders/>
            <w:shd w:color="auto" w:fill="auto" w:val="clear"/>
            <w:vAlign w:val="bottom"/>
          </w:tcPr>
          <w:p>
            <w:pPr>
              <w:pStyle w:val="Normal"/>
              <w:rPr>
                <w:rFonts w:ascii="Calibri" w:hAnsi="Calibri"/>
                <w:color w:val="000000"/>
              </w:rPr>
            </w:pPr>
            <w:r>
              <w:rPr>
                <w:rFonts w:ascii="Calibri" w:hAnsi="Calibri"/>
                <w:color w:val="000000"/>
              </w:rPr>
            </w:r>
          </w:p>
        </w:tc>
        <w:tc>
          <w:tcPr>
            <w:tcW w:w="1359" w:type="dxa"/>
            <w:tcBorders/>
            <w:shd w:color="auto" w:fill="auto" w:val="clear"/>
            <w:vAlign w:val="bottom"/>
          </w:tcPr>
          <w:p>
            <w:pPr>
              <w:pStyle w:val="Normal"/>
              <w:rPr>
                <w:rFonts w:ascii="Calibri" w:hAnsi="Calibri"/>
                <w:color w:val="000000"/>
              </w:rPr>
            </w:pPr>
            <w:r>
              <w:rPr>
                <w:rFonts w:ascii="Calibri" w:hAnsi="Calibri"/>
                <w:color w:val="000000"/>
              </w:rPr>
            </w:r>
          </w:p>
        </w:tc>
        <w:tc>
          <w:tcPr>
            <w:tcW w:w="1858" w:type="dxa"/>
            <w:tcBorders/>
            <w:shd w:color="auto" w:fill="auto" w:val="clear"/>
            <w:vAlign w:val="bottom"/>
          </w:tcPr>
          <w:p>
            <w:pPr>
              <w:pStyle w:val="Normal"/>
              <w:rPr>
                <w:rFonts w:ascii="Calibri" w:hAnsi="Calibri"/>
                <w:color w:val="000000"/>
              </w:rPr>
            </w:pPr>
            <w:r>
              <w:rPr>
                <w:rFonts w:ascii="Calibri" w:hAnsi="Calibri"/>
                <w:color w:val="000000"/>
              </w:rPr>
            </w:r>
          </w:p>
        </w:tc>
        <w:tc>
          <w:tcPr>
            <w:tcW w:w="2137" w:type="dxa"/>
            <w:tcBorders/>
            <w:shd w:color="auto" w:fill="auto" w:val="clear"/>
            <w:vAlign w:val="bottom"/>
          </w:tcPr>
          <w:p>
            <w:pPr>
              <w:pStyle w:val="Normal"/>
              <w:rPr>
                <w:rFonts w:ascii="Calibri" w:hAnsi="Calibri"/>
                <w:color w:val="000000"/>
              </w:rPr>
            </w:pPr>
            <w:r>
              <w:rPr>
                <w:rFonts w:ascii="Calibri" w:hAnsi="Calibri"/>
                <w:color w:val="000000"/>
              </w:rPr>
            </w:r>
          </w:p>
        </w:tc>
        <w:tc>
          <w:tcPr>
            <w:tcW w:w="1978" w:type="dxa"/>
            <w:tcBorders/>
            <w:shd w:color="auto" w:fill="auto" w:val="clear"/>
            <w:vAlign w:val="bottom"/>
          </w:tcPr>
          <w:p>
            <w:pPr>
              <w:pStyle w:val="Normal"/>
              <w:rPr>
                <w:rFonts w:ascii="Calibri" w:hAnsi="Calibri"/>
                <w:color w:val="000000"/>
              </w:rPr>
            </w:pPr>
            <w:r>
              <w:rPr>
                <w:rFonts w:ascii="Calibri" w:hAnsi="Calibri"/>
                <w:color w:val="000000"/>
              </w:rPr>
            </w:r>
          </w:p>
        </w:tc>
        <w:tc>
          <w:tcPr>
            <w:tcW w:w="3333" w:type="dxa"/>
            <w:tcBorders/>
            <w:shd w:color="auto" w:fill="auto" w:val="clear"/>
            <w:vAlign w:val="bottom"/>
          </w:tcPr>
          <w:p>
            <w:pPr>
              <w:pStyle w:val="Normal"/>
              <w:rPr>
                <w:rFonts w:ascii="Calibri" w:hAnsi="Calibri"/>
                <w:color w:val="000000"/>
              </w:rPr>
            </w:pPr>
            <w:r>
              <w:rPr>
                <w:rFonts w:ascii="Calibri" w:hAnsi="Calibri"/>
                <w:color w:val="000000"/>
              </w:rPr>
            </w:r>
          </w:p>
        </w:tc>
      </w:tr>
    </w:tbl>
    <w:p>
      <w:pPr>
        <w:pStyle w:val="Normal"/>
        <w:rPr>
          <w:rFonts w:eastAsia="Calibri"/>
          <w:b/>
          <w:sz w:val="24"/>
          <w:szCs w:val="24"/>
          <w:lang w:eastAsia="en-US"/>
        </w:rPr>
      </w:pPr>
      <w:r>
        <w:rPr>
          <w:rFonts w:eastAsia="Calibri"/>
          <w:b/>
          <w:sz w:val="24"/>
          <w:szCs w:val="24"/>
          <w:lang w:eastAsia="en-US"/>
        </w:rPr>
      </w:r>
    </w:p>
    <w:p>
      <w:pPr>
        <w:pStyle w:val="Normal"/>
        <w:ind w:firstLine="5103" w:right="96"/>
        <w:rPr>
          <w:b/>
          <w:bCs/>
          <w:sz w:val="24"/>
          <w:szCs w:val="24"/>
        </w:rPr>
      </w:pPr>
      <w:r>
        <w:rPr>
          <w:b/>
          <w:bCs/>
          <w:sz w:val="24"/>
          <w:szCs w:val="24"/>
        </w:rPr>
      </w:r>
    </w:p>
    <w:sectPr>
      <w:headerReference w:type="default" r:id="rId8"/>
      <w:headerReference w:type="first" r:id="rId9"/>
      <w:footerReference w:type="default" r:id="rId10"/>
      <w:footnotePr>
        <w:numFmt w:val="decimal"/>
      </w:footnotePr>
      <w:type w:val="nextPage"/>
      <w:pgSz w:orient="landscape" w:w="16838" w:h="11906"/>
      <w:pgMar w:left="1134" w:right="1134" w:gutter="0" w:header="709" w:top="1134" w:footer="318" w:bottom="567"/>
      <w:pgNumType w:fmt="decimal"/>
      <w:formProt w:val="false"/>
      <w:textDirection w:val="lrTb"/>
      <w:docGrid w:type="default" w:linePitch="36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PT Sans">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1"/>
      <w:rPr>
        <w:rFonts w:ascii="Times New Roman" w:hAnsi="Times New Roman" w:cs="Times New Roman"/>
        <w:sz w:val="18"/>
        <w:szCs w:val="18"/>
      </w:rPr>
    </w:pPr>
    <w:r>
      <w:rPr>
        <w:rFonts w:cs="Times New Roman" w:ascii="Times New Roman" w:hAnsi="Times New Roman"/>
        <w:sz w:val="18"/>
        <w:szCs w:val="18"/>
      </w:rPr>
      <w:t>Документ распечатан из программы 1С: Документооборот. Версия файла 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7"/>
        </w:rPr>
        <w:footnoteRef/>
      </w:r>
      <w:r>
        <w:rPr/>
        <w:t xml:space="preserve"> </w:t>
      </w:r>
      <w:r>
        <w:rPr/>
        <w:t>В случае, если предметом договора поставки является товар, подлежащий прослеживаемости согласно Постановлению Правительства от 01.07.2021 №1108 «</w:t>
      </w:r>
      <w:r>
        <w:rPr>
          <w:rStyle w:val="Doctitleimportant"/>
        </w:rPr>
        <w:t xml:space="preserve">Об утверждении Положения о национальной системе прослеживаемости товаров», Стороны заключают </w:t>
      </w:r>
      <w:r>
        <w:rPr/>
        <w:t>Соглашение о взаимном выставлении счетов-фактур в электронном виде по форме, направленной Покупателем Поставщику течение пяти календарных дней с момента заключения договора. Корректировка условий Соглашения по форме и содержанию допускается.</w:t>
      </w:r>
    </w:p>
  </w:footnote>
  <w:footnote w:id="3">
    <w:p>
      <w:pPr>
        <w:pStyle w:val="FootnoteText"/>
        <w:rPr/>
      </w:pPr>
      <w:r>
        <w:rPr>
          <w:rStyle w:val="Style17"/>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4">
    <w:p>
      <w:pPr>
        <w:pStyle w:val="FootnoteText"/>
        <w:jc w:val="both"/>
        <w:rPr/>
      </w:pPr>
      <w:r>
        <w:rPr>
          <w:rStyle w:val="Style17"/>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5">
    <w:p>
      <w:pPr>
        <w:pStyle w:val="FootnoteText"/>
        <w:jc w:val="both"/>
        <w:rPr/>
      </w:pPr>
      <w:r>
        <w:rPr>
          <w:rStyle w:val="Style17"/>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tab/>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rPr>
        <w:i/>
        <w:i/>
      </w:rPr>
    </w:pPr>
    <w:r>
      <w:rPr>
        <w:i/>
      </w:rPr>
      <w:tab/>
      <w:tab/>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1" w:customStyle="1">
    <w:name w:val="Знак сноски1"/>
    <w:qFormat/>
    <w:rPr>
      <w:vertAlign w:val="superscript"/>
    </w:rPr>
  </w:style>
  <w:style w:type="character" w:styleId="FootnoteCharacters" w:customStyle="1">
    <w:name w:val="Footnote Characters"/>
    <w:uiPriority w:val="99"/>
    <w:qFormat/>
    <w:rsid w:val="00f47c6a"/>
    <w:rPr>
      <w:vertAlign w:val="superscript"/>
    </w:rPr>
  </w:style>
  <w:style w:type="character" w:styleId="Style14" w:customStyle="1">
    <w:name w:val="Верхний колонтитул Знак"/>
    <w:basedOn w:val="DefaultParagraphFont"/>
    <w:uiPriority w:val="99"/>
    <w:qFormat/>
    <w:rsid w:val="000449a5"/>
    <w:rPr/>
  </w:style>
  <w:style w:type="character" w:styleId="11" w:customStyle="1">
    <w:name w:val="Гиперссылка1"/>
    <w:qFormat/>
    <w:rsid w:val="005e6f32"/>
    <w:rPr>
      <w:color w:val="0000FF"/>
      <w:u w:val="single"/>
    </w:rPr>
  </w:style>
  <w:style w:type="character" w:styleId="Style15" w:customStyle="1">
    <w:name w:val="Нижний колонтитул Знак"/>
    <w:uiPriority w:val="99"/>
    <w:qFormat/>
    <w:rsid w:val="00d925fb"/>
    <w:rPr/>
  </w:style>
  <w:style w:type="character" w:styleId="Style16" w:customStyle="1">
    <w:name w:val="Абзац списка Знак"/>
    <w:link w:val="ListParagraph"/>
    <w:uiPriority w:val="34"/>
    <w:qFormat/>
    <w:locked/>
    <w:rsid w:val="00f70749"/>
    <w:rPr/>
  </w:style>
  <w:style w:type="character" w:styleId="Doctitleimportant" w:customStyle="1">
    <w:name w:val="doc__title_important"/>
    <w:basedOn w:val="DefaultParagraphFont"/>
    <w:qFormat/>
    <w:rsid w:val="00f631b8"/>
    <w:rPr/>
  </w:style>
  <w:style w:type="character" w:styleId="Style17" w:customStyle="1">
    <w:name w:val="Символ сноски"/>
    <w:qFormat/>
    <w:rPr>
      <w:vertAlign w:val="superscript"/>
    </w:rPr>
  </w:style>
  <w:style w:type="character" w:styleId="12" w:customStyle="1">
    <w:name w:val="Знак концевой сноски1"/>
    <w:qFormat/>
    <w:rPr>
      <w:vertAlign w:val="superscript"/>
    </w:rPr>
  </w:style>
  <w:style w:type="character" w:styleId="Style18" w:customStyle="1">
    <w:name w:val="Символ концевой сноски"/>
    <w:qFormat/>
    <w:rPr>
      <w:vertAlign w:val="superscript"/>
    </w:rPr>
  </w:style>
  <w:style w:type="character" w:styleId="2" w:customStyle="1">
    <w:name w:val="Знак сноски2"/>
    <w:qFormat/>
    <w:rsid w:val="008f1263"/>
    <w:rPr>
      <w:vertAlign w:val="superscript"/>
    </w:rPr>
  </w:style>
  <w:style w:type="character" w:styleId="Hyperlink">
    <w:name w:val="Hyperlink"/>
    <w:rPr>
      <w:color w:val="000080"/>
      <w:u w:val="single"/>
    </w:rPr>
  </w:style>
  <w:style w:type="character" w:styleId="EndnoteReference">
    <w:name w:val="Endnote Reference"/>
    <w:rPr>
      <w:vertAlign w:val="superscript"/>
    </w:rPr>
  </w:style>
  <w:style w:type="character" w:styleId="FootnoteReference">
    <w:name w:val="Footnote Reference"/>
    <w:rPr>
      <w:vertAlign w:val="superscript"/>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rFonts w:cs="Lucida Sans"/>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rFonts w:cs="Lucida Sans"/>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5"/>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6"/>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1"/>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4"/>
    <w:uiPriority w:val="99"/>
    <w:rsid w:val="000449a5"/>
    <w:pPr>
      <w:tabs>
        <w:tab w:val="clear" w:pos="708"/>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3"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4"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cs="Calibri" w:eastAsia="Times New Roman"/>
      <w:color w:val="auto"/>
      <w:kern w:val="0"/>
      <w:sz w:val="22"/>
      <w:szCs w:val="20"/>
      <w:lang w:val="ru-RU" w:eastAsia="ru-RU" w:bidi="ar-SA"/>
    </w:rPr>
  </w:style>
  <w:style w:type="paragraph" w:styleId="ConsPlusNonformat" w:customStyle="1">
    <w:name w:val="ConsPlusNonformat"/>
    <w:qFormat/>
    <w:rsid w:val="00bc1331"/>
    <w:pPr>
      <w:widowControl w:val="false"/>
      <w:suppressAutoHyphens w:val="true"/>
      <w:bidi w:val="0"/>
      <w:spacing w:before="0" w:after="0"/>
      <w:jc w:val="left"/>
    </w:pPr>
    <w:rPr>
      <w:rFonts w:ascii="Courier New" w:hAnsi="Courier New" w:cs="Courier New" w:eastAsia="Times New Roman"/>
      <w:color w:val="auto"/>
      <w:kern w:val="0"/>
      <w:sz w:val="20"/>
      <w:szCs w:val="20"/>
      <w:lang w:val="ru-RU" w:eastAsia="ru-RU" w:bidi="ar-SA"/>
    </w:rPr>
  </w:style>
  <w:style w:type="paragraph" w:styleId="Style27"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a">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D94F5-036C-4893-A806-449DEC7A1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Application>AlterOffice/2026.2.0.0$Linux_X86_64 LibreOffice_project/bc4ef1adf80b36c7a6365f8ed6cbf29021361edd</Application>
  <AppVersion>15.0000</AppVersion>
  <Pages>19</Pages>
  <Words>6953</Words>
  <Characters>49740</Characters>
  <CharactersWithSpaces>56381</CharactersWithSpaces>
  <Paragraphs>371</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2021-08-12T06:24:00Z</dcterms:created>
  <dc:creator>tsypilev_ag</dc:creator>
  <dc:description/>
  <dc:language>ru-RU</dc:language>
  <cp:lastModifiedBy>molchanova_mn</cp:lastModifiedBy>
  <cp:lastPrinted>2020-03-18T06:36:00Z</cp:lastPrinted>
  <dcterms:modified xsi:type="dcterms:W3CDTF">2026-09-10T15:57:17Z</dcterms:modified>
  <cp:revision>46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