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7774C7C5">
                <wp:simplePos x="0" y="0"/>
                <wp:positionH relativeFrom="column">
                  <wp:posOffset>158115</wp:posOffset>
                </wp:positionH>
                <wp:positionV relativeFrom="paragraph">
                  <wp:posOffset>2504440</wp:posOffset>
                </wp:positionV>
                <wp:extent cx="800100" cy="133350"/>
                <wp:effectExtent l="0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2.45pt;margin-top:197.2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20EC4AF">
                <wp:simplePos x="0" y="0"/>
                <wp:positionH relativeFrom="column">
                  <wp:posOffset>306070</wp:posOffset>
                </wp:positionH>
                <wp:positionV relativeFrom="paragraph">
                  <wp:posOffset>2687320</wp:posOffset>
                </wp:positionV>
                <wp:extent cx="712470" cy="13335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4.1pt;margin-top:211.6pt;width:56.0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767CEF16">
                <wp:simplePos x="0" y="0"/>
                <wp:positionH relativeFrom="column">
                  <wp:posOffset>1224280</wp:posOffset>
                </wp:positionH>
                <wp:positionV relativeFrom="paragraph">
                  <wp:posOffset>2505710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6.4pt;margin-top:197.3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0" wp14:anchorId="23C48F64">
                <wp:simplePos x="0" y="0"/>
                <wp:positionH relativeFrom="column">
                  <wp:posOffset>3865245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635" t="635" r="0" b="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Потенциальным </w:t>
                            </w:r>
                          </w:p>
                          <w:p>
                            <w:pPr>
                              <w:pStyle w:val="Style15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поставщикам    </w:t>
                            </w:r>
                          </w:p>
                          <w:p>
                            <w:pPr>
                              <w:pStyle w:val="Style15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продукции</w:t>
                            </w:r>
                          </w:p>
                          <w:p>
                            <w:pPr>
                              <w:pStyle w:val="Style15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5"/>
                              <w:spacing w:lineRule="auto" w:line="36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304.35pt;margin-top:4.9pt;width:185.2pt;height:197.6pt;mso-wrap-style:square;v-text-anchor:top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Потенциальным </w:t>
                      </w:r>
                    </w:p>
                    <w:p>
                      <w:pPr>
                        <w:pStyle w:val="Style15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поставщикам    </w:t>
                      </w:r>
                    </w:p>
                    <w:p>
                      <w:pPr>
                        <w:pStyle w:val="Style15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продукции</w:t>
                      </w:r>
                    </w:p>
                    <w:p>
                      <w:pPr>
                        <w:pStyle w:val="Style15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15"/>
                        <w:spacing w:lineRule="auto" w:line="36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767CEF16">
                <wp:simplePos x="0" y="0"/>
                <wp:positionH relativeFrom="column">
                  <wp:posOffset>1220470</wp:posOffset>
                </wp:positionH>
                <wp:positionV relativeFrom="paragraph">
                  <wp:posOffset>2675890</wp:posOffset>
                </wp:positionV>
                <wp:extent cx="828040" cy="133350"/>
                <wp:effectExtent l="0" t="0" r="0" b="0"/>
                <wp:wrapNone/>
                <wp:docPr id="9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path="m0,0l-2147483645,0l-2147483645,-2147483646l0,-2147483646xe" stroked="f" o:allowincell="f" style="position:absolute;margin-left:96.1pt;margin-top:210.7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514600" cy="2837180"/>
            <wp:effectExtent l="0" t="0" r="0" b="0"/>
            <wp:docPr id="1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b w:val="false"/>
          <w:bCs w:val="false"/>
        </w:rPr>
      </w:pPr>
      <w:r>
        <w:rPr>
          <w:rFonts w:eastAsia="Times New Roman" w:ascii="Times New Roman" w:hAnsi="Times New Roman"/>
          <w:b w:val="false"/>
          <w:bCs w:val="false"/>
          <w:iCs/>
          <w:sz w:val="24"/>
          <w:szCs w:val="24"/>
        </w:rPr>
        <w:t>Уважаемые господа!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ПАО «Якутскэнерго» в лице филиала Каскад Вилюйских ГЭС им.Е.Н.Батенчука (далее – Заказчик) сообщает о проведении мониторинга цен для </w:t>
      </w: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 xml:space="preserve">планирования закупок продукции на 2027 год, </w:t>
      </w:r>
    </w:p>
    <w:p>
      <w:pPr>
        <w:pStyle w:val="Normal"/>
        <w:ind w:firstLine="720"/>
        <w:jc w:val="both"/>
        <w:rPr/>
      </w:pP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>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 xml:space="preserve"> связи с чем приглашает юридических лиц и индивидуальных предпринимателей, являющихся потенциальными поставщиками продукции (далее – Поставщики), подавать свои предложения </w:t>
      </w:r>
      <w:r>
        <w:rPr>
          <w:rFonts w:ascii="Times New Roman" w:hAnsi="Times New Roman"/>
          <w:sz w:val="24"/>
          <w:szCs w:val="24"/>
          <w:lang w:val="ru-RU"/>
        </w:rPr>
        <w:t>по лоту «</w:t>
      </w:r>
      <w:r>
        <w:rPr>
          <w:rFonts w:eastAsia="Geneva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 w:eastAsia="en-US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КПД2 26.20.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40.19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0 Поставка комплектующих АСУТП для  Каскада Вилюйских  ГЭС им.Е.Н. Батенчука  в рамках эксплуатационных расходов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>»:</w:t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Fonts w:eastAsia="Geneva" w:ascii="Times New Roman" w:hAnsi="Times New Roman"/>
          <w:sz w:val="24"/>
          <w:szCs w:val="24"/>
          <w:lang w:val="ru-RU" w:eastAsia="en-US"/>
        </w:rPr>
      </w:r>
    </w:p>
    <w:p>
      <w:pPr>
        <w:pStyle w:val="Normal"/>
        <w:ind w:firstLine="720"/>
        <w:jc w:val="both"/>
        <w:rPr>
          <w:rFonts w:ascii="Times New Roman" w:hAnsi="Times New Roman"/>
          <w:sz w:val="12"/>
          <w:szCs w:val="12"/>
          <w:lang w:val="ru-RU"/>
        </w:rPr>
      </w:pPr>
      <w:r>
        <w:rPr>
          <w:rFonts w:ascii="Times New Roman" w:hAnsi="Times New Roman"/>
          <w:sz w:val="12"/>
          <w:szCs w:val="12"/>
          <w:lang w:val="ru-RU"/>
        </w:rPr>
      </w:r>
    </w:p>
    <w:tbl>
      <w:tblPr>
        <w:tblW w:w="9889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13"/>
        <w:gridCol w:w="3562"/>
        <w:gridCol w:w="599"/>
        <w:gridCol w:w="739"/>
        <w:gridCol w:w="2624"/>
        <w:gridCol w:w="1851"/>
      </w:tblGrid>
      <w:tr>
        <w:trPr>
          <w:trHeight w:val="57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 xml:space="preserve">№ </w:t>
            </w: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>п/п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>продукции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>изм.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>Кол-во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>ОКПД2/ расшифровка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2"/>
                <w:szCs w:val="22"/>
                <w:lang w:val="ru-RU"/>
              </w:rPr>
              <w:t>Применение законодательства о национальном режиме</w:t>
            </w:r>
          </w:p>
        </w:tc>
      </w:tr>
      <w:tr>
        <w:trPr>
          <w:trHeight w:val="683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Блок питания Thermaltake PS-SPR-0750FPCBE внутренний 750Вт 140х140мм,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0"/>
                <w:szCs w:val="20"/>
              </w:rPr>
              <w:t>26.20.40 - Блоки, части и принадлежности вычислительных машин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bCs w:val="false"/>
                <w:iCs w:val="false"/>
                <w:color w:val="000000"/>
                <w:sz w:val="22"/>
                <w:szCs w:val="22"/>
              </w:rPr>
              <w:t>Установлен режим ограничения закупок товаров иностранного происхождения</w:t>
            </w:r>
          </w:p>
        </w:tc>
      </w:tr>
      <w:tr>
        <w:trPr>
          <w:trHeight w:val="567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Вентилятор Sunon DP200A2123XST 120х120х38мм,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iCs w:val="false"/>
                <w:sz w:val="20"/>
                <w:szCs w:val="20"/>
              </w:rPr>
              <w:t>26.20.40.190 - Комплектующие и запасные части для вычислительных машин, принтеров и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Видеокамера IP Trassir TR-D2151IR3 v7 (D) 1/2.8'' CMOS 2560х1920 3.6мм IP67,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  <w:shd w:fill="auto" w:val="clear"/>
                <w:lang w:val="ru-RU"/>
              </w:rPr>
              <w:t>26.20.30.190 - Устройства автоматической обработки данных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</w:rPr>
            </w:r>
          </w:p>
        </w:tc>
      </w:tr>
      <w:tr>
        <w:trPr>
          <w:trHeight w:val="61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4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Видеокамера IP Trassir TR-D3151IR3 v7 (D) 3.6 купольная 1/2.8'' CMOS 5Мп 2560х1944 3.6мм,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  <w:shd w:fill="auto" w:val="clear"/>
                <w:lang w:val="ru-RU"/>
              </w:rPr>
              <w:t>26.20.30.190 - Устройства автоматической обработки данных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Cs w:val="false"/>
                <w:iCs w:val="false"/>
                <w:color w:val="000000"/>
                <w:sz w:val="21"/>
                <w:szCs w:val="24"/>
                <w:shd w:fill="auto" w:val="clear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5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Видеоэнкодер промышленный Moxa Vport 461 1-канальный,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  <w:shd w:fill="auto" w:val="clear"/>
                <w:lang w:val="ru-RU"/>
              </w:rPr>
              <w:t xml:space="preserve">26.20.11.180 - Программно-аппаратные комплексы, созданные на компьютерах портативных 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</w:rPr>
            </w:r>
          </w:p>
        </w:tc>
      </w:tr>
      <w:tr>
        <w:trPr>
          <w:trHeight w:val="65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Диск жесткий HDD внешний Seagate Expansion STKM STKM5000400 5Tb USB 3.2 Gen1 2.5" 5400об/мин,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26.20.21.100 - Системы хранения данных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Диск жесткий HDD внутренний Cheetah 15K.7 Seagate ST3600057SS 600Gb SAS 3.5" 15000об/мин,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4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26.20.21.100 - Системы хранения данных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73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Диск жесткий HDD внутренний HP 765464-B21 1Tb SAS 2.5" 12G 7200об/мин,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5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26.20.21.100 - Системы хранения данных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Диск жесткий HDD внутренний Seagate Constellation ST1000NM0033 1Tb SATA III 3.5" 7200об/мин,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6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26.20.21.100 - Системы хранения данных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10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Диск жесткий HDD внутренний WD Purple Pro WD141PURP 14Tb SATA III 3.5", 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7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26.20.21.100 - Системы хранения данных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11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Кабель Cablexpert CC-HDMI4 HDMI(M)х2 4.5м, 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8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27.32.13.190 - Кабели, провода и другие проводники прочие на напряжение до 1 кВ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12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Кабель Cablexpert CC-HDMI4-15M HDMI(M)х2 15м, 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9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27.32.13.190 - Кабели, провода и другие проводники прочие на напряжение до 1 кВ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13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Кабель витая пара FTP 4х8х24AWG cat5e PVC Ripo 001-122015/010405 305м, 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10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27.32.13.190 - Кабели, провода и другие проводники прочие на напряжение до 1 кВ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Карта сетевая Orient XWT-INT225L4PE4,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11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26.12.20.000 - Платы звуковые, видеоплаты, сетевые и аналогичные платы для машин автоматической обработки информации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Карта сетевая Orient XWT-INT540L2PE8,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12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26.12.20.000 - Платы звуковые, видеоплаты, сетевые и аналогичные платы для машин автоматической обработки информации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Клавиатура Бештау КЛ104РУ проводная USB,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1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</w:rPr>
                <w:t>26.20.16.110 - Клавиатуры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Коммутатор неуправляемый Bolid SW-108 8хRJ45 Fast Ethernet/Uplink Fast Ethernet/SFP,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14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26.30.11.190 - Аппаратура коммуникационная передающая с приемными устройствами прочая, не включенная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39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Кронштейн настольный Onkron D421E 13-32" для мониторов,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15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26.40.51.000 - Части и принадлежности звукового и видеооборудования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Медиаконвертер D-Link DMC-530SC,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16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26.30.11.190 - Аппаратура коммуникационная передающая с приемными устройствами прочая, не включенная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Медиаконвертер DMC-1910R,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17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26.30.11.190 - Аппаратура коммуникационная передающая с приемными устройствами прочая, не включенная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Медиаконвертер DMC-1910T,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18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26.30.11.190 - Аппаратура коммуникационная передающая с приемными устройствами прочая, не включенная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Медиаконвертер TP-Link MC220L гигабитный Ethernet,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19">
              <w:r>
                <w:rPr>
                  <w:rStyle w:val="Hyperlink"/>
                  <w:rFonts w:ascii="Times New Roman" w:hAnsi="Times New Roman"/>
                  <w:bCs w:val="false"/>
                  <w:iCs w:val="false"/>
                  <w:color w:val="000000"/>
                  <w:sz w:val="20"/>
                  <w:szCs w:val="20"/>
                  <w:u w:val="none"/>
                  <w:lang w:val="ru-RU"/>
                </w:rPr>
                <w:t>26.30.11.190 - Аппаратура коммуникационная передающая с приемными устройствами прочая, не включенная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Модуль питания DMC-1001/A4A для шасси,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20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</w:rPr>
                <w:t>26.20.40.110 - Устройства и блоки питания вычислительных машин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Модуль управления DMC-1002 для шасси,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hyperlink r:id="rId21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</w:rPr>
                <w:t>26.20.40.150 - Устройства числового программного управления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Монитор ICL ViewRay 2716IQH-UR 27" 2560х1440 (16:9) IPS,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  <w:shd w:fill="auto" w:val="clear"/>
              </w:rPr>
              <w:t>26.20.17.110 - Мониторы, подключаемые к компьютеру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Мышь Logitech G304 Black беспроводная USB черный,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iCs w:val="false"/>
                <w:sz w:val="20"/>
                <w:szCs w:val="20"/>
              </w:rPr>
              <w:t>26.20.16.170 - Манипуляторы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Мышь Бештау М100РУ проводная USB,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iCs w:val="false"/>
                <w:sz w:val="20"/>
                <w:szCs w:val="20"/>
              </w:rPr>
              <w:t>26.20.16.170 - Манипуляторы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Переходник Cablexpert HDMI-DVI 19M/25F,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iCs w:val="false"/>
                <w:sz w:val="20"/>
                <w:szCs w:val="20"/>
              </w:rPr>
              <w:t>26.20.40.190 - Комплектующие и запасные части для вычислительных машин, принтеров и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Преобразователь интерфейсов Болид RS-232/485 RS-485 с гальванической развязкой С2000-ПИ,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iCs w:val="false"/>
                <w:sz w:val="20"/>
                <w:szCs w:val="20"/>
              </w:rPr>
              <w:t>26.51.43.117 - Преобразователи измерительные унифицирующие аналого-цифровые и цифро-аналоговые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30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 xml:space="preserve">Салфетки Defender Optima CLN 30320 для экрана туба 100шт,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iCs w:val="false"/>
                <w:sz w:val="20"/>
                <w:szCs w:val="20"/>
              </w:rPr>
              <w:t>17.22.11.140 - Скатерти и салфетки для стола из бумажной массы, бумаги, целлюлозной ваты и полотна из целлюлозных волокон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Cs w:val="false"/>
                <w:iCs w:val="false"/>
                <w:sz w:val="22"/>
                <w:szCs w:val="24"/>
                <w:lang w:val="ru-RU"/>
              </w:rPr>
            </w:r>
          </w:p>
        </w:tc>
      </w:tr>
    </w:tbl>
    <w:p>
      <w:pPr>
        <w:pStyle w:val="ListParagraph"/>
        <w:numPr>
          <w:ilvl w:val="0"/>
          <w:numId w:val="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Срок планируемой поставки: с </w:t>
      </w:r>
      <w:r>
        <w:rPr>
          <w:rFonts w:ascii="Times New Roman" w:hAnsi="Times New Roman"/>
          <w:sz w:val="24"/>
          <w:szCs w:val="24"/>
          <w:lang w:val="ru-RU"/>
        </w:rPr>
        <w:t>01</w:t>
      </w:r>
      <w:r>
        <w:rPr>
          <w:rFonts w:ascii="Times New Roman" w:hAnsi="Times New Roman"/>
          <w:sz w:val="24"/>
          <w:szCs w:val="24"/>
          <w:lang w:val="ru-RU"/>
        </w:rPr>
        <w:t>.0</w:t>
      </w:r>
      <w:r>
        <w:rPr>
          <w:rFonts w:ascii="Times New Roman" w:hAnsi="Times New Roman"/>
          <w:sz w:val="24"/>
          <w:szCs w:val="24"/>
          <w:lang w:val="ru-RU"/>
        </w:rPr>
        <w:t>9</w:t>
      </w:r>
      <w:r>
        <w:rPr>
          <w:rFonts w:ascii="Times New Roman" w:hAnsi="Times New Roman"/>
          <w:sz w:val="24"/>
          <w:szCs w:val="24"/>
          <w:lang w:val="ru-RU"/>
        </w:rPr>
        <w:t>.2027 г. до 30.11.2027 года.</w:t>
      </w:r>
    </w:p>
    <w:p>
      <w:pPr>
        <w:pStyle w:val="ListParagraph"/>
        <w:widowControl w:val="false"/>
        <w:numPr>
          <w:ilvl w:val="0"/>
          <w:numId w:val="10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Cs/>
          <w:sz w:val="24"/>
          <w:szCs w:val="24"/>
          <w:lang w:val="ru-RU"/>
        </w:rPr>
        <w:t>Оплата по Договору осуществляется Заказчиком в следующем порядке: в течение 7 (семи) рабочих дней (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для МСП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) /45 (сорока пяти) рабочих дней 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(прочие юр.лица)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с даты подписания Сторонами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товарной накладной (ТОРГ-12).</w:t>
      </w:r>
    </w:p>
    <w:p>
      <w:pPr>
        <w:pStyle w:val="BodyTextIndent"/>
        <w:widowControl w:val="false"/>
        <w:numPr>
          <w:ilvl w:val="0"/>
          <w:numId w:val="11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sz w:val="24"/>
          <w:szCs w:val="24"/>
          <w:lang w:val="ru-RU"/>
        </w:rPr>
        <w:t>Поставщик имеет право подать только одно ценовую заявку. В случае подачи Поставщиком нескольких заявок все они будут отклонены без рассмотрения по существу.</w:t>
      </w:r>
    </w:p>
    <w:p>
      <w:pPr>
        <w:pStyle w:val="ListParagraph"/>
        <w:widowControl w:val="false"/>
        <w:numPr>
          <w:ilvl w:val="0"/>
          <w:numId w:val="12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Заявка должно быть оформлена по форме, приложенной к настоящему запросу, и быть действительной до 30 декабря 2026 года (не менее 30 дней).   В случае, если Поставщик указывает более короткий срок действия своей ценовой заявки, она отклоняется как не отвечающая основным требованиям Заказчика.</w:t>
      </w:r>
    </w:p>
    <w:p>
      <w:pPr>
        <w:pStyle w:val="BodyTextIndent"/>
        <w:widowControl/>
        <w:numPr>
          <w:ilvl w:val="0"/>
          <w:numId w:val="13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Заявка должна быть подписана лицом, имеющим право в соответствии с законодательством Российской Федерации действовать от лица Поставщика.                           Заявка также должна быть скреплена печатью Поставщика.</w:t>
      </w:r>
    </w:p>
    <w:p>
      <w:pPr>
        <w:pStyle w:val="ListParagraph"/>
        <w:widowControl/>
        <w:numPr>
          <w:ilvl w:val="0"/>
          <w:numId w:val="14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Предлагаемая цена продукции должна быть указана с учетом НДС, а также должна включать другие обязательные платежи, стоимость всех сопутствующих услуг, в том числе транспортные расходы до центрального склада грузополучателя КВГЭС им.Е.Н. Батенчука в пос.Чернышевский Мирнинского района Республики Саха (Якутия), или до терминала Грузоперевозчика в г.Мирный Республики Саха (Якутия), и все скидки, предлагаемые Поставщиком.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Также в заявке должна быть указана</w:t>
      </w: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информация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ru-RU"/>
        </w:rPr>
        <w:t xml:space="preserve"> о стране происхождения и производителе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предлагаемой к поставке продукции. Обращаем Ваше внимание, что в соотствтсвии с постановлением Правительства Российской Федерации от 23 декабря 2024г. N1875 в отношении данных товаров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установлен режим ограничения закупок товаров иностранного происхождения (Приложение №2)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. 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7. </w:t>
        <w:tab/>
        <w:t>Заявка должна быть подана на русском языке. Все цены дол</w:t>
      </w:r>
      <w:r>
        <w:rPr>
          <w:rFonts w:ascii="Times New Roman" w:hAnsi="Times New Roman"/>
          <w:sz w:val="24"/>
          <w:szCs w:val="24"/>
          <w:lang w:val="ru-RU"/>
        </w:rPr>
        <w:t>жны быть выражены в российских рублях.</w:t>
      </w:r>
    </w:p>
    <w:p>
      <w:pPr>
        <w:pStyle w:val="ListParagraph"/>
        <w:widowControl/>
        <w:tabs>
          <w:tab w:val="clear" w:pos="720"/>
          <w:tab w:val="left" w:pos="288" w:leader="none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8. </w:t>
        <w:tab/>
        <w:tab/>
        <w:t xml:space="preserve">Предложение должно быть подано до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06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.00 часов московского времени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5</w:t>
      </w:r>
      <w:r>
        <w:rPr>
          <w:rFonts w:ascii="Times New Roman" w:hAnsi="Times New Roman"/>
          <w:b w:val="false"/>
          <w:bCs w:val="false"/>
          <w:color w:val="80008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сентября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026 года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>виде документа в формате PDF и электронной копии Excel (Word) любым способом: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непосредственно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на Электронную торговую площадку РАД: </w:t>
      </w:r>
      <w:hyperlink r:id="rId22">
        <w:r>
          <w:rPr>
            <w:rStyle w:val="Hyperlink"/>
            <w:rFonts w:ascii="Times New Roman" w:hAnsi="Times New Roman"/>
            <w:b w:val="false"/>
            <w:bCs w:val="false"/>
            <w:color w:val="2A6099"/>
            <w:sz w:val="24"/>
            <w:szCs w:val="24"/>
            <w:u w:val="none"/>
            <w:lang w:val="ru-RU"/>
          </w:rPr>
          <w:t>https://tender.lot-online.ru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посредством электронной почты на e-mail: </w:t>
      </w:r>
      <w:hyperlink r:id="rId23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9.</w:t>
      </w:r>
      <w:r>
        <w:rPr>
          <w:rFonts w:ascii="Times New Roman" w:hAnsi="Times New Roman"/>
          <w:b w:val="false"/>
          <w:bCs w:val="false"/>
          <w:i w:val="false"/>
          <w:iCs w:val="false"/>
          <w:color w:val="2A6099"/>
          <w:sz w:val="24"/>
          <w:szCs w:val="24"/>
          <w:u w:val="none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Настоящий мониторинг цен не является офертой или публичной офертой Заказчика и не является процедурой проведения конкурса. Заказчик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>
      <w:pPr>
        <w:pStyle w:val="Normal"/>
        <w:widowControl/>
        <w:tabs>
          <w:tab w:val="clear" w:pos="720"/>
          <w:tab w:val="left" w:pos="675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sz w:val="24"/>
          <w:szCs w:val="24"/>
          <w:lang w:val="ru-RU"/>
        </w:rPr>
        <w:t xml:space="preserve">10. </w:t>
        <w:tab/>
        <w:t xml:space="preserve">По техническим вопросам обращаться непосредственно к ответственному специалисту КВГЭС им.Е.Н.Батенчука ПАО «Якутскэнерго» по следующим телефонам/электронной почте: 8(41136) 72-2-35/ электронной почте: </w:t>
      </w:r>
      <w:hyperlink r:id="rId24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  <w:r>
        <w:rPr>
          <w:rFonts w:ascii="Times New Roman" w:hAnsi="Times New Roman"/>
          <w:b/>
          <w:color w:val="0070C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(ответственный- инженер  С.В.Ермолаева).</w:t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Standard"/>
        <w:tabs>
          <w:tab w:val="clear" w:pos="720"/>
          <w:tab w:val="left" w:pos="563" w:leader="none"/>
        </w:tabs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ab/>
        <w:t>Приложение:</w:t>
      </w:r>
    </w:p>
    <w:p>
      <w:pPr>
        <w:pStyle w:val="Standard"/>
        <w:widowControl/>
        <w:numPr>
          <w:ilvl w:val="0"/>
          <w:numId w:val="15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left"/>
        <w:textAlignment w:val="baseline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№1- Форма заявки.</w:t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szCs w:val="24"/>
        </w:rPr>
        <w:t xml:space="preserve"> </w:t>
      </w:r>
      <w:r>
        <w:rPr>
          <w:rFonts w:eastAsia="Times New Roman" w:cs="Times New Roman" w:ascii="Times New Roman" w:hAnsi="Times New Roman"/>
          <w:szCs w:val="24"/>
        </w:rPr>
        <w:tab/>
        <w:t>С</w:t>
      </w:r>
      <w:r>
        <w:rPr>
          <w:rFonts w:cs="Times New Roman" w:ascii="Times New Roman" w:hAnsi="Times New Roman"/>
          <w:szCs w:val="24"/>
        </w:rPr>
        <w:t xml:space="preserve"> уважением,</w:t>
      </w:r>
      <w:r>
        <w:rPr>
          <w:rFonts w:eastAsia="Times New Roman" w:cs="Times New Roman" w:ascii="Times New Roman" w:hAnsi="Times New Roman"/>
          <w:b/>
          <w:szCs w:val="24"/>
        </w:rPr>
        <w:t xml:space="preserve">         </w:t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b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Cs w:val="24"/>
        </w:rPr>
        <w:t>и</w:t>
      </w:r>
      <w:r>
        <w:rPr>
          <w:rFonts w:cs="Times New Roman" w:ascii="Times New Roman" w:hAnsi="Times New Roman"/>
          <w:b w:val="false"/>
          <w:bCs w:val="false"/>
          <w:szCs w:val="24"/>
        </w:rPr>
        <w:t>.</w:t>
      </w:r>
      <w:r>
        <w:rPr>
          <w:rFonts w:cs="Times New Roman" w:ascii="Times New Roman" w:hAnsi="Times New Roman"/>
          <w:szCs w:val="24"/>
        </w:rPr>
        <w:t xml:space="preserve">о.директора                                                                                                             С.П.Муж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исп. инженер ОМТС  Ермолаева С.В.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тел: 8 (41136) 72-2-35,78-378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е-mail:  </w:t>
      </w:r>
      <w:hyperlink r:id="rId25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2"/>
            <w:szCs w:val="22"/>
            <w:u w:val="none"/>
            <w:lang w:val="ru-RU"/>
          </w:rPr>
          <w:t>ermolaevasv@rushydro.ru</w:t>
        </w:r>
      </w:hyperlink>
    </w:p>
    <w:sectPr>
      <w:headerReference w:type="even" r:id="rId26"/>
      <w:headerReference w:type="default" r:id="rId27"/>
      <w:type w:val="nextPage"/>
      <w:pgSz w:w="11906" w:h="16838"/>
      <w:pgMar w:left="1134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z w:val="24"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z w:val="24"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0"/>
          </w:tabs>
          <w:ind w:left="1080" w:hanging="360"/>
        </w:pPr>
        <w:rPr>
          <w:sz w:val="24"/>
          <w:szCs w:val="24"/>
          <w:rFonts w:ascii="Times New Roman" w:hAnsi="Times New Roman"/>
        </w:rPr>
      </w:lvl>
    </w:lvlOverride>
  </w:num>
  <w:num w:numId="11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0"/>
          </w:tabs>
          <w:ind w:left="1080" w:hanging="360"/>
        </w:pPr>
        <w:rPr>
          <w:sz w:val="24"/>
          <w:szCs w:val="24"/>
          <w:rFonts w:ascii="Times New Roman" w:hAnsi="Times New Roman"/>
        </w:rPr>
      </w:lvl>
    </w:lvlOverride>
  </w:num>
  <w:num w:numId="12">
    <w:abstractNumId w:val="3"/>
  </w:num>
  <w:num w:numId="13">
    <w:abstractNumId w:val="3"/>
  </w:num>
  <w:num w:numId="14">
    <w:abstractNumId w:val="3"/>
  </w:num>
  <w:num w:numId="15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0"/>
      <w:szCs w:val="20"/>
      <w:lang w:val="en-US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utlineLvl w:val="0"/>
    </w:pPr>
    <w:rPr>
      <w:rFonts w:ascii="Times New Roman" w:hAnsi="Times New Roman" w:eastAsia="Times New Roman"/>
      <w:b/>
      <w:sz w:val="28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WWCharLFO6LVL1" w:customStyle="1">
    <w:name w:val="WW_CharLFO6LVL1"/>
    <w:qFormat/>
    <w:rPr>
      <w:sz w:val="22"/>
      <w:szCs w:val="22"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character" w:styleId="Style11">
    <w:name w:val="Символ нумерации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5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TextIndent">
    <w:name w:val="Body Text Indent"/>
    <w:basedOn w:val="Normal"/>
    <w:pPr>
      <w:ind w:firstLine="360"/>
      <w:jc w:val="both"/>
    </w:pPr>
    <w:rPr>
      <w:rFonts w:ascii="Times New Roman" w:hAnsi="Times New Roman" w:eastAsia="Times New Roman"/>
      <w:lang w:eastAsia="zh-CN"/>
    </w:rPr>
  </w:style>
  <w:style w:type="paragraph" w:styleId="Style16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zh-CN"/>
    </w:rPr>
  </w:style>
  <w:style w:type="paragraph" w:styleId="21" w:customStyle="1">
    <w:name w:val="Основной текст 21"/>
    <w:basedOn w:val="Normal"/>
    <w:qFormat/>
    <w:pPr>
      <w:shd w:val="clear" w:color="auto" w:fill="FFFFFF"/>
      <w:jc w:val="center"/>
    </w:pPr>
    <w:rPr>
      <w:rFonts w:ascii="Arial" w:hAnsi="Arial" w:eastAsia="Times New Roman" w:cs="Arial"/>
      <w:b/>
      <w:color w:val="000080"/>
      <w:lang w:eastAsia="zh-CN"/>
    </w:rPr>
  </w:style>
  <w:style w:type="paragraph" w:styleId="Standard" w:customStyle="1">
    <w:name w:val="Standard"/>
    <w:qFormat/>
    <w:rsid w:val="00121d65"/>
    <w:pPr>
      <w:widowControl/>
      <w:suppressAutoHyphens w:val="true"/>
      <w:bidi w:val="0"/>
      <w:spacing w:before="0" w:after="0"/>
      <w:jc w:val="left"/>
      <w:textAlignment w:val="baseline"/>
    </w:pPr>
    <w:rPr>
      <w:rFonts w:ascii="Geneva CY" w:hAnsi="Geneva CY" w:eastAsia="Geneva" w:cs="Geneva CY"/>
      <w:color w:val="auto"/>
      <w:kern w:val="0"/>
      <w:sz w:val="24"/>
      <w:szCs w:val="20"/>
      <w:lang w:val="ru-RU" w:eastAsia="en-US" w:bidi="ar-SA"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Style19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3" w:customStyle="1">
    <w:name w:val="WW8Num3"/>
    <w:qFormat/>
  </w:style>
  <w:style w:type="numbering" w:styleId="WW8Num5" w:customStyle="1">
    <w:name w:val="WW8Num5"/>
    <w:qFormat/>
  </w:style>
  <w:style w:type="numbering" w:styleId="123">
    <w:name w:val="Нумерованный 12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services.lot-online.ru/app/okpd2/25.73.30.170" TargetMode="External"/><Relationship Id="rId4" Type="http://schemas.openxmlformats.org/officeDocument/2006/relationships/hyperlink" Target="https://services.lot-online.ru/app/okpd2/25.73.30.170" TargetMode="External"/><Relationship Id="rId5" Type="http://schemas.openxmlformats.org/officeDocument/2006/relationships/hyperlink" Target="https://services.lot-online.ru/app/okpd2/25.73.30.170" TargetMode="External"/><Relationship Id="rId6" Type="http://schemas.openxmlformats.org/officeDocument/2006/relationships/hyperlink" Target="https://services.lot-online.ru/app/okpd2/25.73.30.170" TargetMode="External"/><Relationship Id="rId7" Type="http://schemas.openxmlformats.org/officeDocument/2006/relationships/hyperlink" Target="https://services.lot-online.ru/app/okpd2/25.73.30.170" TargetMode="External"/><Relationship Id="rId8" Type="http://schemas.openxmlformats.org/officeDocument/2006/relationships/hyperlink" Target="https://services.lot-online.ru/app/okpd2/25.73.30.170" TargetMode="External"/><Relationship Id="rId9" Type="http://schemas.openxmlformats.org/officeDocument/2006/relationships/hyperlink" Target="https://services.lot-online.ru/app/okpd2/25.73.30.170" TargetMode="External"/><Relationship Id="rId10" Type="http://schemas.openxmlformats.org/officeDocument/2006/relationships/hyperlink" Target="https://services.lot-online.ru/app/okpd2/25.73.30.170" TargetMode="External"/><Relationship Id="rId11" Type="http://schemas.openxmlformats.org/officeDocument/2006/relationships/hyperlink" Target="https://services.lot-online.ru/app/okpd2/25.73.30.140" TargetMode="External"/><Relationship Id="rId12" Type="http://schemas.openxmlformats.org/officeDocument/2006/relationships/hyperlink" Target="https://services.lot-online.ru/app/okpd2/25.73.30.140" TargetMode="External"/><Relationship Id="rId13" Type="http://schemas.openxmlformats.org/officeDocument/2006/relationships/hyperlink" Target="https://services.lot-online.ru/app/okpd2/25.73.30.140" TargetMode="External"/><Relationship Id="rId14" Type="http://schemas.openxmlformats.org/officeDocument/2006/relationships/hyperlink" Target="https://services.lot-online.ru/app/okpd2/25.73.30.160" TargetMode="External"/><Relationship Id="rId15" Type="http://schemas.openxmlformats.org/officeDocument/2006/relationships/hyperlink" Target="https://services.lot-online.ru/app/okpd2/25.73.30.160" TargetMode="External"/><Relationship Id="rId16" Type="http://schemas.openxmlformats.org/officeDocument/2006/relationships/hyperlink" Target="https://services.lot-online.ru/app/okpd2/25.73.30.240" TargetMode="External"/><Relationship Id="rId17" Type="http://schemas.openxmlformats.org/officeDocument/2006/relationships/hyperlink" Target="https://services.lot-online.ru/app/okpd2/25.73.30.160" TargetMode="External"/><Relationship Id="rId18" Type="http://schemas.openxmlformats.org/officeDocument/2006/relationships/hyperlink" Target="https://services.lot-online.ru/app/okpd2/25.73.30.160" TargetMode="External"/><Relationship Id="rId19" Type="http://schemas.openxmlformats.org/officeDocument/2006/relationships/hyperlink" Target="https://services.lot-online.ru/app/okpd2/25.73.30.160" TargetMode="External"/><Relationship Id="rId20" Type="http://schemas.openxmlformats.org/officeDocument/2006/relationships/hyperlink" Target="https://services.lot-online.ru/app/okpd2/25.73.30.299" TargetMode="External"/><Relationship Id="rId21" Type="http://schemas.openxmlformats.org/officeDocument/2006/relationships/hyperlink" Target="https://services.lot-online.ru/app/okpd2/25.73.30.299" TargetMode="External"/><Relationship Id="rId22" Type="http://schemas.openxmlformats.org/officeDocument/2006/relationships/hyperlink" Target="https://tender.lot-online.ru/" TargetMode="External"/><Relationship Id="rId23" Type="http://schemas.openxmlformats.org/officeDocument/2006/relationships/hyperlink" Target="mailto:ermolaevasv@rushydro.ru" TargetMode="External"/><Relationship Id="rId24" Type="http://schemas.openxmlformats.org/officeDocument/2006/relationships/hyperlink" Target="mailto:ermolaevasv@rushydro.ru" TargetMode="External"/><Relationship Id="rId25" Type="http://schemas.openxmlformats.org/officeDocument/2006/relationships/hyperlink" Target="mailto:ermolaevasv@rushydro.ru" TargetMode="External"/><Relationship Id="rId26" Type="http://schemas.openxmlformats.org/officeDocument/2006/relationships/header" Target="header1.xml"/><Relationship Id="rId27" Type="http://schemas.openxmlformats.org/officeDocument/2006/relationships/header" Target="header2.xml"/><Relationship Id="rId28" Type="http://schemas.openxmlformats.org/officeDocument/2006/relationships/numbering" Target="numbering.xml"/><Relationship Id="rId29" Type="http://schemas.openxmlformats.org/officeDocument/2006/relationships/fontTable" Target="fontTable.xml"/><Relationship Id="rId30" Type="http://schemas.openxmlformats.org/officeDocument/2006/relationships/settings" Target="settings.xml"/><Relationship Id="rId3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Application>AlterOffice/3.4.0.9$Linux_X86_64 LibreOffice_project/b8daf9e823b1a5463a2f48435ddc2e8696e7d4fc</Application>
  <AppVersion>15.0000</AppVersion>
  <Pages>4</Pages>
  <Words>1044</Words>
  <Characters>6765</Characters>
  <CharactersWithSpaces>8191</CharactersWithSpaces>
  <Paragraphs>193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2026-06-04T08:41:00Z</dcterms:created>
  <dc:creator>Andrey Zhurin</dc:creator>
  <dc:description/>
  <dc:language>ru-RU</dc:language>
  <cp:lastModifiedBy/>
  <cp:lastPrinted>2026-06-05T01:43:00Z</cp:lastPrinted>
  <dcterms:modified xsi:type="dcterms:W3CDTF">2026-09-22T19:20:58Z</dcterms:modified>
  <cp:revision>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