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header3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header4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6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keepNext w:val="true"/>
        <w:keepLines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bookmarkStart w:id="0" w:name="_Toc141696704"/>
      <w:bookmarkStart w:id="1" w:name="_Toc137554584"/>
      <w:bookmarkStart w:id="2" w:name="_Toc139856287"/>
      <w:bookmarkStart w:id="3" w:name="_Toc141696704"/>
      <w:bookmarkStart w:id="4" w:name="_Toc137554584"/>
      <w:bookmarkStart w:id="5" w:name="_Toc139856287"/>
      <w:bookmarkEnd w:id="3"/>
      <w:bookmarkEnd w:id="4"/>
      <w:bookmarkEnd w:id="5"/>
    </w:p>
    <w:p>
      <w:pPr>
        <w:pStyle w:val="Normal"/>
        <w:keepNext w:val="true"/>
        <w:keepLines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оказание услуг</w:t>
      </w:r>
    </w:p>
    <w:p>
      <w:pPr>
        <w:pStyle w:val="Normal"/>
        <w:rPr>
          <w:b/>
          <w:bCs/>
          <w:sz w:val="32"/>
          <w:szCs w:val="32"/>
          <w:lang w:bidi="he-IL"/>
        </w:rPr>
      </w:pPr>
      <w:r>
        <w:rPr>
          <w:b/>
          <w:bCs/>
          <w:sz w:val="32"/>
          <w:szCs w:val="32"/>
          <w:lang w:bidi="he-IL"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ОКДП2 03.22.90  Возмещение ущерба водным биоресурсам от эксплуатации объектов для нужд филиала ПАО "РусГидро" - "Карачаево-Черкесский филиал"</w:t>
      </w:r>
    </w:p>
    <w:p>
      <w:pPr>
        <w:pStyle w:val="Normal"/>
        <w:jc w:val="center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</w:r>
    </w:p>
    <w:p>
      <w:pPr>
        <w:pStyle w:val="Normal"/>
        <w:jc w:val="center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</w:r>
    </w:p>
    <w:p>
      <w:pPr>
        <w:pStyle w:val="Normal"/>
        <w:jc w:val="center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</w:r>
    </w:p>
    <w:p>
      <w:pPr>
        <w:pStyle w:val="Normal"/>
        <w:jc w:val="right"/>
        <w:rPr>
          <w:rFonts w:ascii="Calibri" w:hAnsi="Calibri" w:eastAsia="Calibri"/>
          <w:sz w:val="22"/>
          <w:szCs w:val="22"/>
          <w:lang w:eastAsia="en-US"/>
        </w:rPr>
      </w:pPr>
      <w:r>
        <w:rPr>
          <w:rFonts w:eastAsia="Calibri" w:ascii="Calibri" w:hAnsi="Calibri"/>
          <w:sz w:val="22"/>
          <w:szCs w:val="22"/>
          <w:lang w:eastAsia="en-US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</w:rPr>
      </w:pPr>
      <w:r>
        <w:rPr>
          <w:rFonts w:eastAsia="Calibri"/>
          <w:b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</w:rPr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Toc54643694">
            <w:r>
              <w:rPr>
                <w:webHidden/>
                <w:rStyle w:val="Style14"/>
                <w:vanish w:val="false"/>
              </w:rPr>
              <w:t>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Общие сведения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3695">
            <w:r>
              <w:rPr>
                <w:webHidden/>
                <w:rStyle w:val="Style14"/>
                <w:iCs/>
                <w:vanish w:val="false"/>
              </w:rPr>
              <w:t>1.1.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Обозначения и сокращения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3696">
            <w:r>
              <w:rPr>
                <w:webHidden/>
                <w:rStyle w:val="Style14"/>
                <w:iCs/>
                <w:vanish w:val="false"/>
              </w:rPr>
              <w:t>1.2.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Наименование закупаемой продукции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3697">
            <w:r>
              <w:rPr>
                <w:webHidden/>
                <w:rStyle w:val="Style14"/>
                <w:iCs/>
                <w:vanish w:val="false"/>
              </w:rPr>
              <w:t>1.3.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Цель оказания услуг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3698">
            <w:r>
              <w:rPr>
                <w:webHidden/>
                <w:rStyle w:val="Style14"/>
                <w:iCs/>
                <w:vanish w:val="false"/>
              </w:rPr>
              <w:t>1.4.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Существующее положение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</w:rPr>
          </w:pPr>
          <w:hyperlink w:anchor="_Toc54643699">
            <w:r>
              <w:rPr>
                <w:webHidden/>
                <w:rStyle w:val="Style14"/>
                <w:vanish w:val="false"/>
              </w:rPr>
              <w:t>Таблица 1. Перечень объектов заказчика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3700">
            <w:r>
              <w:rPr>
                <w:webHidden/>
                <w:rStyle w:val="Style14"/>
                <w:iCs/>
                <w:vanish w:val="false"/>
              </w:rPr>
              <w:t>1.5.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</w:rPr>
          </w:pPr>
          <w:hyperlink w:anchor="_Toc54643702">
            <w:r>
              <w:rPr>
                <w:webHidden/>
                <w:rStyle w:val="Style14"/>
                <w:vanish w:val="false"/>
              </w:rPr>
              <w:t>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3703">
            <w:r>
              <w:rPr>
                <w:webHidden/>
                <w:rStyle w:val="Style14"/>
                <w:iCs/>
                <w:vanish w:val="false"/>
              </w:rPr>
              <w:t>2.1.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объемам и срокам оказания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3704">
            <w:r>
              <w:rPr>
                <w:webHidden/>
                <w:rStyle w:val="Style14"/>
                <w:vanish w:val="false"/>
              </w:rPr>
              <w:t>2.1.1.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перечню и объему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</w:rPr>
          </w:pPr>
          <w:hyperlink w:anchor="_Toc54643705">
            <w:r>
              <w:rPr>
                <w:webHidden/>
                <w:rStyle w:val="Style14"/>
                <w:vanish w:val="false"/>
              </w:rPr>
              <w:t>Таблица 2. Перечень и объем оказываемых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3706">
            <w:r>
              <w:rPr>
                <w:webHidden/>
                <w:rStyle w:val="Style14"/>
                <w:vanish w:val="false"/>
              </w:rPr>
              <w:t>2.1.2.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срокам оказания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</w:rPr>
          </w:pPr>
          <w:hyperlink w:anchor="_Toc54643707">
            <w:r>
              <w:rPr>
                <w:webHidden/>
                <w:rStyle w:val="Style14"/>
                <w:vanish w:val="false"/>
              </w:rPr>
              <w:t>Таблица 3. Требования к срокам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3708">
            <w:r>
              <w:rPr>
                <w:webHidden/>
                <w:rStyle w:val="Style14"/>
                <w:iCs/>
                <w:vanish w:val="false"/>
              </w:rPr>
              <w:t>2.2.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качеству услуг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</w:rPr>
          </w:pPr>
          <w:hyperlink w:anchor="_Toc54643709">
            <w:r>
              <w:rPr>
                <w:webHidden/>
                <w:rStyle w:val="Style14"/>
                <w:vanish w:val="false"/>
              </w:rPr>
              <w:t>Таблица 4. Требования к качеству услуг</w:t>
            </w:r>
            <w:r>
              <w:rPr>
                <w:rStyle w:val="Style1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lang w:val="en-US"/>
              </w:rPr>
              <w:t>5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4"/>
              <w:lang w:val="en-US"/>
            </w:rPr>
            <w:fldChar w:fldCharType="end"/>
          </w:r>
        </w:p>
      </w:sdtContent>
    </w:sdt>
    <w:p>
      <w:pPr>
        <w:pStyle w:val="TOC1"/>
        <w:tabs>
          <w:tab w:val="clear" w:pos="708"/>
          <w:tab w:val="right" w:pos="9911" w:leader="dot"/>
        </w:tabs>
        <w:rPr>
          <w:rFonts w:ascii="Calibri" w:hAnsi="Calibri" w:eastAsia="新細明體" w:cs="Arial" w:asciiTheme="minorHAnsi" w:cstheme="minorBidi" w:eastAsiaTheme="minorEastAsia" w:hAnsiTheme="minorHAnsi"/>
          <w:b w:val="false"/>
          <w:bCs w:val="false"/>
        </w:rPr>
      </w:pPr>
      <w:r>
        <w:rPr>
          <w:rFonts w:eastAsia="新細明體" w:cs="Arial" w:cstheme="minorBidi" w:eastAsiaTheme="minorEastAsia" w:ascii="Calibri" w:hAnsi="Calibri"/>
          <w:b w:val="false"/>
          <w:bCs w:val="false"/>
        </w:rPr>
      </w:r>
    </w:p>
    <w:p>
      <w:pPr>
        <w:pStyle w:val="TOC1"/>
        <w:tabs>
          <w:tab w:val="clear" w:pos="708"/>
          <w:tab w:val="right" w:pos="9911" w:leader="dot"/>
        </w:tabs>
        <w:rPr>
          <w:rFonts w:ascii="Calibri" w:hAnsi="Calibri" w:eastAsia="新細明體" w:cs="Arial" w:asciiTheme="minorHAnsi" w:cstheme="minorBidi" w:eastAsiaTheme="minorEastAsia" w:hAnsiTheme="minorHAnsi"/>
          <w:b w:val="false"/>
          <w:bCs w:val="false"/>
        </w:rPr>
      </w:pPr>
      <w:r>
        <w:rPr>
          <w:rFonts w:eastAsia="新細明體" w:cs="Arial" w:cstheme="minorBidi" w:eastAsiaTheme="minorEastAsia" w:ascii="Calibri" w:hAnsi="Calibri"/>
          <w:b w:val="false"/>
          <w:bCs w:val="false"/>
        </w:rPr>
      </w:r>
    </w:p>
    <w:p>
      <w:pPr>
        <w:pStyle w:val="Heading2"/>
        <w:tabs>
          <w:tab w:val="clear" w:pos="0"/>
        </w:tabs>
        <w:ind w:left="0" w:hanging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caps/>
          <w:lang w:val="ru-RU"/>
        </w:rPr>
      </w:pPr>
      <w:bookmarkStart w:id="6" w:name="_Toc54643694"/>
      <w:r>
        <w:rPr>
          <w:lang w:val="ru-RU"/>
        </w:rPr>
        <w:t>Общие сведения</w:t>
      </w:r>
      <w:bookmarkEnd w:id="6"/>
    </w:p>
    <w:p>
      <w:pPr>
        <w:pStyle w:val="Heading4"/>
        <w:numPr>
          <w:ilvl w:val="1"/>
          <w:numId w:val="3"/>
        </w:numPr>
        <w:rPr/>
      </w:pPr>
      <w:bookmarkStart w:id="7" w:name="_Toc54643695"/>
      <w:bookmarkStart w:id="8" w:name="_Toc46743505"/>
      <w:r>
        <w:rPr/>
        <w:t>Обозначения и сокращения</w:t>
      </w:r>
      <w:bookmarkEnd w:id="7"/>
      <w:bookmarkEnd w:id="8"/>
    </w:p>
    <w:p>
      <w:pPr>
        <w:pStyle w:val="Normal"/>
        <w:rPr>
          <w:rStyle w:val="Style8"/>
          <w:b w:val="false"/>
          <w:bCs/>
          <w:iCs/>
          <w:sz w:val="26"/>
          <w:szCs w:val="26"/>
        </w:rPr>
      </w:pPr>
      <w:r>
        <w:rPr>
          <w:b w:val="false"/>
          <w:bCs/>
          <w:iCs/>
          <w:sz w:val="26"/>
          <w:szCs w:val="26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Филиал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</w:rPr>
              <w:t>Филиал ПАО «РусГидро» - «Карачаево – Черкесский филиал»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ВБР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Водные биологические ресурсы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ГЭС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Гидроэлектростанция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ГАЭС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highlight w:val="none"/>
                <w:shd w:fill="auto" w:val="clear"/>
              </w:rPr>
            </w:pPr>
            <w:r>
              <w:rPr>
                <w:bCs/>
                <w:sz w:val="24"/>
                <w:szCs w:val="24"/>
                <w:shd w:fill="auto" w:val="clear"/>
              </w:rPr>
              <w:t>Гидроаккумулирующая электростанция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3"/>
        </w:numPr>
        <w:rPr/>
      </w:pPr>
      <w:bookmarkStart w:id="9" w:name="_Toc54643696"/>
      <w:bookmarkStart w:id="10" w:name="_Toc46743506"/>
      <w:r>
        <w:rPr/>
        <w:t>Наименование закупаемой продукции</w:t>
      </w:r>
      <w:bookmarkEnd w:id="9"/>
      <w:bookmarkEnd w:id="10"/>
      <w:r>
        <w:rPr>
          <w:lang w:val="ru-RU"/>
        </w:rPr>
        <w:t>:</w:t>
      </w:r>
    </w:p>
    <w:p>
      <w:pPr>
        <w:pStyle w:val="Heading4"/>
        <w:tabs>
          <w:tab w:val="clear" w:pos="0"/>
        </w:tabs>
        <w:spacing w:before="240" w:after="60"/>
        <w:ind w:left="0" w:hanging="0"/>
        <w:rPr/>
      </w:pPr>
      <w:bookmarkStart w:id="11" w:name="_Toc54643697"/>
      <w:r>
        <w:rPr>
          <w:b w:val="false"/>
          <w:bCs w:val="false"/>
          <w:lang w:val="ru-RU"/>
        </w:rPr>
        <w:t>ОКДП2 03.22.90 Возмещение ущерба водным биоресурсам от эксплуатации объектов для нужд филиала ПАО "РусГидро" - "Карачаево-Черкесский филиал"</w:t>
      </w:r>
    </w:p>
    <w:p>
      <w:pPr>
        <w:pStyle w:val="Heading4"/>
        <w:numPr>
          <w:ilvl w:val="1"/>
          <w:numId w:val="3"/>
        </w:numPr>
        <w:spacing w:before="240" w:after="60"/>
        <w:rPr/>
      </w:pPr>
      <w:bookmarkStart w:id="12" w:name="_Toc46743507"/>
      <w:r>
        <w:rPr/>
        <w:t xml:space="preserve">Цель </w:t>
      </w:r>
      <w:bookmarkEnd w:id="12"/>
      <w:r>
        <w:rPr>
          <w:lang w:val="ru-RU"/>
        </w:rPr>
        <w:t>оказания услуг</w:t>
      </w:r>
      <w:bookmarkEnd w:id="11"/>
      <w:r>
        <w:rPr/>
        <w:t>: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Целью проведения является осуществление услуг по искусственному воспроизводству водных биоресурсов с последующим выпуском в водные объекты рыбохозяйственного значения Азово-Черноморского бассейна в соответствии с утвержденными Росрыболовством мероприятиями на соответствующий год в качестве компенсационных мероприятий за ущерб водным биологическим ресурсам от эксплуатации гидротехнических сооружений.</w:t>
      </w:r>
    </w:p>
    <w:p>
      <w:pPr>
        <w:pStyle w:val="Heading4"/>
        <w:numPr>
          <w:ilvl w:val="1"/>
          <w:numId w:val="3"/>
        </w:numPr>
        <w:rPr>
          <w:lang w:val="ru-RU"/>
        </w:rPr>
      </w:pPr>
      <w:bookmarkStart w:id="13" w:name="_Toc54643698"/>
      <w:bookmarkStart w:id="14" w:name="_Toc46743508"/>
      <w:r>
        <w:rPr/>
        <w:t>Существующее положение</w:t>
      </w:r>
      <w:bookmarkEnd w:id="13"/>
      <w:bookmarkEnd w:id="14"/>
      <w:r>
        <w:rPr>
          <w:lang w:val="ru-RU"/>
        </w:rPr>
        <w:t>:</w:t>
      </w:r>
    </w:p>
    <w:p>
      <w:pPr>
        <w:pStyle w:val="Normal"/>
        <w:ind w:firstLine="432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Краткое описание существующего положения. Основные характеристики.</w:t>
      </w:r>
    </w:p>
    <w:p>
      <w:pPr>
        <w:pStyle w:val="Normal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 xml:space="preserve"> </w:t>
      </w:r>
      <w:r>
        <w:rPr>
          <w:sz w:val="24"/>
          <w:szCs w:val="24"/>
          <w:lang w:eastAsia="x-none"/>
        </w:rPr>
        <w:t>В 2020 году ФГБУ «Главрыбвод» проведены гидробиологические и ихтиологические исследования участков в районе расположения Зеленчукской ГЭС-ГАЭС, малой ГЭС на водозаборе р. Б.Зеленчук, введена в эксплуатацию Усть-Джегутинская МГЭС. В 2023 году введены в эксплуатацию Красногорские МГЭС. На каждый объект имеются оценки воздействия на водные биологические ресурсы и среду их обитания, где проведен расчет количественного и качественного состава выпускаемого ежегодно малька.</w:t>
      </w:r>
    </w:p>
    <w:p>
      <w:pPr>
        <w:pStyle w:val="Normal"/>
        <w:ind w:firstLine="540"/>
        <w:rPr>
          <w:rFonts w:eastAsia="Calibri" w:eastAsiaTheme="minorHAnsi"/>
          <w:sz w:val="24"/>
          <w:szCs w:val="24"/>
          <w:lang w:eastAsia="en-US" w:bidi="he-IL"/>
        </w:rPr>
      </w:pPr>
      <w:r>
        <w:rPr>
          <w:sz w:val="24"/>
          <w:szCs w:val="24"/>
        </w:rPr>
        <w:t>В связи с тем, что ущерб водным биоресурсам был нанесён в водных объектах Карачаево-Черкесской Республики, имеются обращения граждан в общественные и государственные организации, выпуск малька осуществляется в бассейн рек Карачаево-Черкесской Республики.</w:t>
      </w:r>
    </w:p>
    <w:p>
      <w:pPr>
        <w:pStyle w:val="Normal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tabs>
          <w:tab w:val="clear" w:pos="708"/>
          <w:tab w:val="left" w:pos="284" w:leader="none"/>
          <w:tab w:val="left" w:pos="567" w:leader="none"/>
          <w:tab w:val="left" w:pos="993" w:leader="none"/>
          <w:tab w:val="left" w:pos="1276" w:leader="none"/>
          <w:tab w:val="left" w:pos="1843" w:leader="none"/>
          <w:tab w:val="left" w:pos="1985" w:leader="none"/>
        </w:tabs>
        <w:jc w:val="both"/>
        <w:rPr>
          <w:b/>
          <w:i/>
          <w:i/>
          <w:sz w:val="24"/>
          <w:szCs w:val="24"/>
          <w:u w:val="single"/>
        </w:rPr>
      </w:pPr>
      <w:r>
        <w:rPr>
          <w:sz w:val="24"/>
          <w:szCs w:val="24"/>
        </w:rPr>
        <w:tab/>
      </w:r>
      <w:r>
        <w:rPr>
          <w:b/>
          <w:i/>
          <w:sz w:val="24"/>
          <w:szCs w:val="24"/>
          <w:u w:val="single"/>
        </w:rPr>
        <w:t>Основание на оказание услуг</w:t>
      </w:r>
    </w:p>
    <w:p>
      <w:pPr>
        <w:pStyle w:val="Normal"/>
        <w:tabs>
          <w:tab w:val="clear" w:pos="708"/>
          <w:tab w:val="left" w:pos="284" w:leader="none"/>
          <w:tab w:val="left" w:pos="567" w:leader="none"/>
          <w:tab w:val="left" w:pos="993" w:leader="none"/>
          <w:tab w:val="left" w:pos="1276" w:leader="none"/>
          <w:tab w:val="left" w:pos="1843" w:leader="none"/>
          <w:tab w:val="left" w:pos="1985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  <w:t>Заключения Федерального агентства по рыболовству о согласовании осуществления деятельности в рамках проекта «Оценка воздействия эксплуатации малой ГЭС на водозаборе р. Большой Зеленчук филиала ПАО «РусГидро»-«Карачаево-Черкесский филиал» на водные биологические ресурсы и среду их обитания (заключение от 09.02.2021г. № 1577), проекта «Оценка воздействия эксплуатации Зеленчукской ГЭС-ГАЭС филиала ПАО «РусГидро»-«Карачаево-Черкесский филиал» на водные биологические ресурсы и среду их обитания (заключение от 09.02.2021г. № 1578), заключение АЧТУ Росрыболовства о согласовании планируемой деятельности в рамках проекта «Корректировка проектной документации по объекту малая ГЭС «Усть-Джегутинская»» (заключение от 01.11.2019 №15567), заключение АЧТУ Росрыболовства о согласовании планируемой деятельности в рамках проекта «Красногорская МГЭС-1» (заключение от 22.06.2020 №8402) и заключение АЧТУ Росрыболовства о согласовании планируемой деятельности в рамках проекта «Красногорская МГЭС-2» (заключение от 22.06.2020 №8401).</w:t>
      </w:r>
    </w:p>
    <w:p>
      <w:pPr>
        <w:pStyle w:val="Normal"/>
        <w:tabs>
          <w:tab w:val="clear" w:pos="708"/>
          <w:tab w:val="left" w:pos="284" w:leader="none"/>
          <w:tab w:val="left" w:pos="567" w:leader="none"/>
          <w:tab w:val="left" w:pos="993" w:leader="none"/>
          <w:tab w:val="left" w:pos="1276" w:leader="none"/>
          <w:tab w:val="left" w:pos="1843" w:leader="none"/>
          <w:tab w:val="left" w:pos="1985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8"/>
          <w:tab w:val="left" w:pos="284" w:leader="none"/>
          <w:tab w:val="left" w:pos="567" w:leader="none"/>
          <w:tab w:val="left" w:pos="993" w:leader="none"/>
          <w:tab w:val="left" w:pos="1276" w:leader="none"/>
          <w:tab w:val="left" w:pos="1843" w:leader="none"/>
          <w:tab w:val="left" w:pos="1985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  <w:lang w:val="ru-RU"/>
        </w:rPr>
      </w:pPr>
      <w:bookmarkStart w:id="15" w:name="_Toc54643699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  <w:bookmarkEnd w:id="15"/>
    </w:p>
    <w:tbl>
      <w:tblPr>
        <w:tblW w:w="991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817"/>
        <w:gridCol w:w="1964"/>
        <w:gridCol w:w="2769"/>
        <w:gridCol w:w="2384"/>
        <w:gridCol w:w="1984"/>
      </w:tblGrid>
      <w:tr>
        <w:trPr/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>
        <w:trPr/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>
          <w:trHeight w:val="881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/>
            </w:pPr>
            <w:r>
              <w:rPr/>
            </w:r>
          </w:p>
        </w:tc>
        <w:tc>
          <w:tcPr>
            <w:tcW w:w="1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Услуги по искусственному воспроизводству ВБР с последующим выпуском в бассейн рек Карачаево-Черкесской Республики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Зеленчукская ГЭС-ГАЭС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Заключение № №1578 от 09.02.2021 </w:t>
            </w:r>
          </w:p>
          <w:p>
            <w:pPr>
              <w:pStyle w:val="Normal"/>
              <w:widowControl w:val="fals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(79 825 экз.)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Эксплуатирующая организация: Филиал ПАО "РусГидро" - "Карачаево-Черкесский филиал"</w:t>
            </w:r>
          </w:p>
        </w:tc>
      </w:tr>
      <w:tr>
        <w:trPr>
          <w:trHeight w:val="881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/>
            </w:pPr>
            <w:r>
              <w:rPr/>
            </w:r>
          </w:p>
        </w:tc>
        <w:tc>
          <w:tcPr>
            <w:tcW w:w="196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МГЭС на водозаборе р. Б.Зеленчук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Заключение № №1577 от 09.02.2021 </w:t>
            </w:r>
          </w:p>
          <w:p>
            <w:pPr>
              <w:pStyle w:val="Normal"/>
              <w:widowControl w:val="fals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(80 798 экз.)</w:t>
            </w:r>
          </w:p>
        </w:tc>
        <w:tc>
          <w:tcPr>
            <w:tcW w:w="198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  <w:tr>
        <w:trPr>
          <w:trHeight w:val="881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/>
            </w:pPr>
            <w:r>
              <w:rPr/>
            </w:r>
          </w:p>
        </w:tc>
        <w:tc>
          <w:tcPr>
            <w:tcW w:w="196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Усть-Джегутинская МГЭС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Заключение № №15567 от 01.11.2019 </w:t>
            </w:r>
          </w:p>
          <w:p>
            <w:pPr>
              <w:pStyle w:val="Normal"/>
              <w:widowControl w:val="fals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(629 711 экз.)</w:t>
            </w:r>
          </w:p>
        </w:tc>
        <w:tc>
          <w:tcPr>
            <w:tcW w:w="198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  <w:tr>
        <w:trPr>
          <w:trHeight w:val="881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/>
            </w:pPr>
            <w:r>
              <w:rPr/>
            </w:r>
          </w:p>
        </w:tc>
        <w:tc>
          <w:tcPr>
            <w:tcW w:w="196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Красногорская МГЭС 2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Заключение № №8401 от 22.06.2020 </w:t>
            </w:r>
          </w:p>
          <w:p>
            <w:pPr>
              <w:pStyle w:val="Normal"/>
              <w:widowControl w:val="fals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(131 106 экз.)</w:t>
            </w:r>
          </w:p>
        </w:tc>
        <w:tc>
          <w:tcPr>
            <w:tcW w:w="198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  <w:tr>
        <w:trPr>
          <w:trHeight w:val="881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/>
            </w:pPr>
            <w:r>
              <w:rPr/>
            </w:r>
          </w:p>
        </w:tc>
        <w:tc>
          <w:tcPr>
            <w:tcW w:w="196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Красногорская МГЭС 1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Заключение № №8402 от 22.06.2020 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(123 407 экз</w:t>
            </w:r>
            <w:bookmarkStart w:id="16" w:name="_GoBack"/>
            <w:bookmarkEnd w:id="16"/>
            <w:r>
              <w:rPr>
                <w:iCs/>
                <w:sz w:val="24"/>
                <w:szCs w:val="24"/>
              </w:rPr>
              <w:t>.)</w:t>
            </w:r>
          </w:p>
        </w:tc>
        <w:tc>
          <w:tcPr>
            <w:tcW w:w="198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  <w:tr>
        <w:trPr>
          <w:trHeight w:val="881" w:hRule="atLeast"/>
        </w:trPr>
        <w:tc>
          <w:tcPr>
            <w:tcW w:w="991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ind w:left="360" w:hanging="0"/>
              <w:rPr/>
            </w:pPr>
            <w:r>
              <w:rPr/>
            </w:r>
          </w:p>
          <w:p>
            <w:pPr>
              <w:pStyle w:val="Normal"/>
              <w:widowControl w:val="false"/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right"/>
              <w:rPr>
                <w:b/>
                <w:bCs/>
                <w:iCs/>
                <w:sz w:val="28"/>
                <w:szCs w:val="28"/>
              </w:rPr>
            </w:pPr>
            <w:r>
              <w:rPr>
                <w:b/>
                <w:bCs/>
                <w:iCs/>
                <w:sz w:val="28"/>
                <w:szCs w:val="28"/>
              </w:rPr>
              <w:t>ИТОГО: 1 044 847 экз.</w:t>
            </w:r>
          </w:p>
        </w:tc>
      </w:tr>
    </w:tbl>
    <w:p>
      <w:pPr>
        <w:pStyle w:val="Heading4"/>
        <w:numPr>
          <w:ilvl w:val="1"/>
          <w:numId w:val="3"/>
        </w:numPr>
        <w:rPr>
          <w:lang w:val="ru-RU"/>
        </w:rPr>
      </w:pPr>
      <w:bookmarkStart w:id="17" w:name="_Toc46743509"/>
      <w:bookmarkStart w:id="18" w:name="_Hlk49857604"/>
      <w:bookmarkStart w:id="19" w:name="_Toc54643700"/>
      <w:r>
        <w:rPr/>
        <w:t xml:space="preserve">Информация в отношении исполнения договора, </w:t>
      </w:r>
      <w:bookmarkStart w:id="20" w:name="_Hlk46492347"/>
      <w:r>
        <w:rPr/>
        <w:t xml:space="preserve">которая должна быть учтена при подготовке заявки </w:t>
      </w:r>
      <w:bookmarkEnd w:id="20"/>
      <w:r>
        <w:rPr/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rPr/>
        <w:t xml:space="preserve"> на этапе исполнения договора)</w:t>
      </w:r>
      <w:bookmarkStart w:id="21" w:name="_Hlk48209761"/>
      <w:bookmarkEnd w:id="17"/>
      <w:bookmarkEnd w:id="18"/>
      <w:bookmarkEnd w:id="19"/>
      <w:r>
        <w:rPr>
          <w:lang w:val="ru-RU"/>
        </w:rPr>
        <w:t>:</w:t>
      </w:r>
    </w:p>
    <w:p>
      <w:pPr>
        <w:pStyle w:val="Normal"/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Исполнитель осуществляет выпуск молоди биологического ресурса, соответствующего вида, а именно молодь резидентной формы кумжи (форели), используемых в целях сохранения водных биоресурсов в соответствии</w:t>
      </w:r>
      <w:r>
        <w:rPr>
          <w:rFonts w:eastAsia="Calibri"/>
          <w:b w:val="false"/>
          <w:bCs w:val="false"/>
          <w:sz w:val="24"/>
          <w:szCs w:val="24"/>
          <w:u w:val="none"/>
        </w:rPr>
        <w:t xml:space="preserve"> с </w:t>
      </w:r>
      <w:hyperlink r:id="rId2">
        <w:r>
          <w:rPr>
            <w:rStyle w:val="Hyperlink"/>
            <w:rFonts w:eastAsia="Calibri"/>
            <w:b w:val="false"/>
            <w:bCs w:val="false"/>
            <w:i w:val="false"/>
            <w:caps w:val="false"/>
            <w:smallCaps w:val="false"/>
            <w:color w:val="000000"/>
            <w:spacing w:val="0"/>
            <w:sz w:val="24"/>
            <w:szCs w:val="24"/>
            <w:u w:val="none"/>
            <w:shd w:fill="FFFFFF" w:val="clear"/>
          </w:rPr>
          <w:t>Федеральным законом от 20.12.2004 N 166-ФЗ "О рыболовстве и сохранении водных биологических ресурсов"</w:t>
        </w:r>
      </w:hyperlink>
      <w:r>
        <w:rPr>
          <w:rFonts w:eastAsia="Calibri"/>
          <w:b w:val="false"/>
          <w:bCs w:val="false"/>
          <w:color w:val="auto"/>
          <w:sz w:val="24"/>
          <w:szCs w:val="24"/>
          <w:u w:val="none"/>
        </w:rPr>
        <w:t>,</w:t>
      </w:r>
      <w:r>
        <w:rPr>
          <w:rFonts w:eastAsia="Calibri"/>
          <w:sz w:val="24"/>
          <w:szCs w:val="24"/>
        </w:rPr>
        <w:t xml:space="preserve"> соответствующей штучной навеской, в установленном количестве, в определённые сроки и в водный объект рыбохозяйственного значения в соответствии с настоящими техническими требованиями и соблюдением требований ветеринарного надзора с предоставлением соответствующих ветеринарных сопроводительных документов.</w:t>
      </w:r>
    </w:p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iCs/>
          <w:caps/>
          <w:lang w:val="ru-RU"/>
        </w:rPr>
      </w:pPr>
      <w:bookmarkStart w:id="22" w:name="_Toc54643702"/>
      <w:bookmarkStart w:id="23" w:name="_Toc51339693"/>
      <w:bookmarkEnd w:id="21"/>
      <w:r>
        <w:rPr>
          <w:iCs/>
          <w:lang w:val="ru-RU"/>
        </w:rPr>
        <w:t>Требования</w:t>
      </w:r>
      <w:r>
        <w:rPr>
          <w:iCs/>
        </w:rPr>
        <w:t xml:space="preserve"> к продукции</w:t>
      </w:r>
      <w:bookmarkEnd w:id="22"/>
      <w:bookmarkEnd w:id="23"/>
    </w:p>
    <w:p>
      <w:pPr>
        <w:pStyle w:val="Heading4"/>
        <w:numPr>
          <w:ilvl w:val="1"/>
          <w:numId w:val="3"/>
        </w:numPr>
        <w:rPr/>
      </w:pPr>
      <w:bookmarkStart w:id="24" w:name="_Toc54643703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24"/>
    </w:p>
    <w:p>
      <w:pPr>
        <w:pStyle w:val="Heading3"/>
        <w:numPr>
          <w:ilvl w:val="2"/>
          <w:numId w:val="3"/>
        </w:numPr>
        <w:rPr>
          <w:lang w:val="ru-RU"/>
        </w:rPr>
      </w:pPr>
      <w:bookmarkStart w:id="25" w:name="_Toc54643704"/>
      <w:r>
        <w:rPr>
          <w:lang w:val="ru-RU"/>
        </w:rPr>
        <w:t>Требования к перечню и объему услуг</w:t>
      </w:r>
      <w:bookmarkEnd w:id="25"/>
    </w:p>
    <w:p>
      <w:pPr>
        <w:pStyle w:val="Normal"/>
        <w:ind w:firstLine="708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В результате оказанных услуг Исполнитель обязан осуществить выпуск в водный бассейн рек Карачаево-Черкесской Республики молоди кумжи (форели) в количестве 1 044 847 (Один миллион сорок четыре тысячи восемьсот сорок семь) штук, средней штучной массой не менее 3,0 грамм.</w:t>
      </w:r>
    </w:p>
    <w:p>
      <w:pPr>
        <w:pStyle w:val="Normal"/>
        <w:ind w:firstLine="708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 xml:space="preserve">Выполнение комплекса работ по по искусственному воспроизводству водных биоресурсов с последующим выпуском в водные объекты рыбохозяйственного значения Азово-Черноморского бассейна включает в себя все услуги от получения икры до выпуска малька в водоём самостоятельно:  </w:t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- получение икры;</w:t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- инкубация икры;</w:t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- выращивание малька;</w:t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- ветеринарный и технологический контроль;</w:t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- транспортировка молоди кумжи (форели).</w:t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Выпуск малька в водоём проводится совместно Исполнителем, Заказчиком и представителями Росрыболовства.</w:t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Результатом оказания услуг является утвержденный акт выпуска рыбоводной продукции.</w:t>
      </w:r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  <w:lang w:val="ru-RU"/>
        </w:rPr>
      </w:pPr>
      <w:bookmarkStart w:id="26" w:name="_Toc54643705"/>
      <w:bookmarkStart w:id="27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27"/>
      <w:r>
        <w:rPr>
          <w:sz w:val="24"/>
          <w:szCs w:val="24"/>
          <w:lang w:val="ru-RU"/>
        </w:rPr>
        <w:t>и объем оказываемых услуг</w:t>
      </w:r>
      <w:bookmarkEnd w:id="26"/>
    </w:p>
    <w:tbl>
      <w:tblPr>
        <w:tblW w:w="981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849"/>
        <w:gridCol w:w="4849"/>
        <w:gridCol w:w="1994"/>
        <w:gridCol w:w="2117"/>
      </w:tblGrid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98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Компенсационные  мероприятия посредством искусственного воспроизводства молоди черноморского лосося (кумжи) за 2024 год от эксплуатации объектов Филиала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Зеленчукская ГЭС-ГАЭС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экземпляр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79 825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МГЭС на водозаборе р. Б.Зеленчук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экземпляр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80 798 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Усть-Джегутинская МГЭС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экземпляр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629 711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Красногорская МГЭС 2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экземпляр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131 106 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Красногорская МГЭС 1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экземпляр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123 407 </w:t>
            </w:r>
          </w:p>
        </w:tc>
      </w:tr>
      <w:tr>
        <w:trPr>
          <w:trHeight w:val="437" w:hRule="atLeast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1 044 847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Heading3"/>
        <w:numPr>
          <w:ilvl w:val="2"/>
          <w:numId w:val="3"/>
        </w:numPr>
        <w:rPr>
          <w:lang w:val="ru-RU"/>
        </w:rPr>
      </w:pPr>
      <w:bookmarkStart w:id="28" w:name="_Toc54643706"/>
      <w:bookmarkStart w:id="29" w:name="_Toc51339696"/>
      <w:r>
        <w:rPr>
          <w:lang w:val="ru-RU"/>
        </w:rPr>
        <w:t xml:space="preserve">Требования </w:t>
      </w:r>
      <w:bookmarkEnd w:id="29"/>
      <w:r>
        <w:rPr>
          <w:lang w:val="ru-RU"/>
        </w:rPr>
        <w:t>к срокам оказания услуг</w:t>
      </w:r>
      <w:bookmarkEnd w:id="28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  <w:lang w:val="ru-RU"/>
        </w:rPr>
      </w:pPr>
      <w:bookmarkStart w:id="30" w:name="_Toc54643707"/>
      <w:bookmarkStart w:id="31" w:name="_Toc51339697"/>
      <w:bookmarkStart w:id="32" w:name="_Toc50125127"/>
      <w:bookmarkStart w:id="33" w:name="_Toc50125126"/>
      <w:bookmarkEnd w:id="33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34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31"/>
      <w:bookmarkEnd w:id="32"/>
      <w:bookmarkEnd w:id="34"/>
      <w:r>
        <w:rPr>
          <w:sz w:val="24"/>
          <w:szCs w:val="24"/>
          <w:lang w:val="ru-RU"/>
        </w:rPr>
        <w:t>оказания услуг</w:t>
      </w:r>
      <w:bookmarkEnd w:id="30"/>
    </w:p>
    <w:tbl>
      <w:tblPr>
        <w:tblW w:w="977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130"/>
        <w:gridCol w:w="2550"/>
        <w:gridCol w:w="2979"/>
        <w:gridCol w:w="3116"/>
      </w:tblGrid>
      <w:tr>
        <w:trPr/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/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bookmarkStart w:id="35" w:name="_Toc46743510"/>
            <w:r>
              <w:rPr>
                <w:b/>
                <w:sz w:val="24"/>
                <w:szCs w:val="24"/>
              </w:rPr>
              <w:t>4</w:t>
            </w:r>
            <w:bookmarkEnd w:id="35"/>
          </w:p>
        </w:tc>
      </w:tr>
      <w:tr>
        <w:trPr/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/>
            </w:pPr>
            <w:r>
              <w:rPr/>
            </w:r>
          </w:p>
        </w:tc>
        <w:tc>
          <w:tcPr>
            <w:tcW w:w="25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Autospacing="1" w:after="0"/>
              <w:ind w:right="-113" w:hanging="0"/>
              <w:rPr>
                <w:color w:val="00000A"/>
                <w:sz w:val="24"/>
                <w:szCs w:val="24"/>
              </w:rPr>
            </w:pPr>
            <w:r>
              <w:rPr>
                <w:bCs/>
                <w:color w:val="00000A"/>
                <w:sz w:val="24"/>
                <w:szCs w:val="24"/>
              </w:rPr>
              <w:t>Срок оказания услуг по возмещению ущерба</w:t>
            </w:r>
          </w:p>
        </w:tc>
        <w:tc>
          <w:tcPr>
            <w:tcW w:w="2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Autospacing="1" w:after="0"/>
              <w:ind w:right="-113" w:hanging="0"/>
              <w:rPr>
                <w:color w:val="00000A"/>
                <w:sz w:val="24"/>
                <w:szCs w:val="24"/>
              </w:rPr>
            </w:pPr>
            <w:r>
              <w:rPr>
                <w:iCs/>
                <w:color w:val="00000A"/>
                <w:sz w:val="24"/>
                <w:szCs w:val="24"/>
              </w:rPr>
              <w:t>С даты заключения договора</w:t>
            </w:r>
            <w:r>
              <w:rPr>
                <w:color w:val="00000A"/>
                <w:sz w:val="24"/>
                <w:szCs w:val="24"/>
              </w:rPr>
              <w:t xml:space="preserve"> </w:t>
            </w:r>
          </w:p>
        </w:tc>
        <w:tc>
          <w:tcPr>
            <w:tcW w:w="31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Autospacing="1" w:after="0"/>
              <w:ind w:right="-113" w:hanging="0"/>
              <w:rPr>
                <w:color w:val="00000A"/>
                <w:sz w:val="24"/>
                <w:szCs w:val="24"/>
              </w:rPr>
            </w:pPr>
            <w:r>
              <w:rPr>
                <w:bCs/>
                <w:color w:val="00000A"/>
                <w:sz w:val="24"/>
                <w:szCs w:val="24"/>
              </w:rPr>
              <w:t xml:space="preserve">До </w:t>
            </w:r>
            <w:r>
              <w:rPr>
                <w:bCs/>
                <w:iCs/>
                <w:color w:val="000000"/>
                <w:sz w:val="24"/>
                <w:szCs w:val="24"/>
              </w:rPr>
              <w:t>30 июня 2027 года</w:t>
            </w:r>
          </w:p>
        </w:tc>
      </w:tr>
    </w:tbl>
    <w:p>
      <w:pPr>
        <w:sectPr>
          <w:headerReference w:type="even" r:id="rId3"/>
          <w:headerReference w:type="defaul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2"/>
        <w:tabs>
          <w:tab w:val="clear" w:pos="0"/>
        </w:tabs>
        <w:ind w:left="1134" w:hanging="1134"/>
        <w:rPr/>
      </w:pPr>
      <w:bookmarkStart w:id="36" w:name="_Toc157589988"/>
      <w:r>
        <w:rPr/>
        <w:t>2.2. Требования к качеству услуг</w:t>
      </w:r>
      <w:bookmarkEnd w:id="36"/>
    </w:p>
    <w:p>
      <w:pPr>
        <w:pStyle w:val="Heading3"/>
        <w:rPr/>
      </w:pPr>
      <w:bookmarkStart w:id="37" w:name="_Toc157589989"/>
      <w:r>
        <w:rPr/>
        <w:t>Таблица </w:t>
      </w:r>
      <w:r>
        <w:rPr>
          <w:lang w:val="ru-RU"/>
        </w:rPr>
        <w:t>5</w:t>
      </w:r>
      <w:r>
        <w:rPr/>
        <w:t xml:space="preserve">. Требования к </w:t>
      </w:r>
      <w:r>
        <w:rPr>
          <w:lang w:val="ru-RU"/>
        </w:rPr>
        <w:t>качеству услуг</w:t>
      </w:r>
      <w:bookmarkEnd w:id="37"/>
      <w:r>
        <w:rPr/>
        <w:t xml:space="preserve"> </w:t>
      </w:r>
    </w:p>
    <w:p>
      <w:pPr>
        <w:pStyle w:val="Normal"/>
        <w:rPr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Наименование услуг (позиция №1 Таблицы 3):</w:t>
      </w:r>
    </w:p>
    <w:tbl>
      <w:tblPr>
        <w:tblStyle w:val="affff5"/>
        <w:tblW w:w="1488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851"/>
        <w:gridCol w:w="2267"/>
        <w:gridCol w:w="4394"/>
        <w:gridCol w:w="1701"/>
        <w:gridCol w:w="2547"/>
        <w:gridCol w:w="3124"/>
      </w:tblGrid>
      <w:tr>
        <w:trPr/>
        <w:tc>
          <w:tcPr>
            <w:tcW w:w="85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26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2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439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395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424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312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207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6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439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246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54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11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312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2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43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54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3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60" w:after="60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666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оказанию услуг </w:t>
            </w:r>
          </w:p>
        </w:tc>
        <w:tc>
          <w:tcPr>
            <w:tcW w:w="170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547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124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666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Общие требования к оказанию услуг </w:t>
            </w:r>
          </w:p>
        </w:tc>
        <w:tc>
          <w:tcPr>
            <w:tcW w:w="170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547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124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226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Требования к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x-none" w:eastAsia="ru-RU" w:bidi="ar-SA"/>
              </w:rPr>
              <w:t>объём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 Услуг</w:t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172"/>
              <w:jc w:val="left"/>
              <w:rPr>
                <w:rFonts w:eastAsia="SimSun"/>
                <w:sz w:val="24"/>
                <w:szCs w:val="24"/>
              </w:rPr>
            </w:pPr>
            <w:r>
              <w:rPr>
                <w:rFonts w:eastAsia="SimSun" w:cs="Times New Roman"/>
                <w:kern w:val="0"/>
                <w:sz w:val="24"/>
                <w:szCs w:val="24"/>
                <w:lang w:val="ru-RU" w:eastAsia="ru-RU" w:bidi="ar-SA"/>
              </w:rPr>
              <w:t xml:space="preserve">В результате оказанных услуг Исполнитель обязан осуществить выпуск в водный бассейн рек Карачаево-Черкесской Республики молоди кумжи (форели) в количестве </w:t>
            </w: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1 044 847</w:t>
            </w:r>
            <w:r>
              <w:rPr>
                <w:rFonts w:eastAsia="SimSun" w:cs="Times New Roman"/>
                <w:kern w:val="0"/>
                <w:sz w:val="24"/>
                <w:szCs w:val="24"/>
                <w:lang w:val="ru-RU" w:eastAsia="ru-RU" w:bidi="ar-SA"/>
              </w:rPr>
              <w:t xml:space="preserve"> штук, средней штучной массой не менее 3,0 грамм.</w:t>
            </w:r>
          </w:p>
          <w:p>
            <w:pPr>
              <w:pStyle w:val="Headertext"/>
              <w:widowControl w:val="false"/>
              <w:spacing w:before="0" w:after="0"/>
              <w:ind w:firstLine="172"/>
              <w:jc w:val="both"/>
              <w:rPr>
                <w:rFonts w:ascii="Times New Roman" w:hAnsi="Times New Roman" w:cs="Times New Roman"/>
                <w:b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kern w:val="0"/>
                <w:sz w:val="24"/>
                <w:szCs w:val="24"/>
                <w:lang w:val="ru-RU" w:eastAsia="ru-RU" w:bidi="ar-SA"/>
              </w:rPr>
              <w:t xml:space="preserve">Исполнитель оказывает все услуги от получения икры до выпуска малька в водоём самостоятельно: 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SimSun"/>
                <w:sz w:val="24"/>
                <w:szCs w:val="24"/>
              </w:rPr>
            </w:pPr>
            <w:r>
              <w:rPr>
                <w:rFonts w:eastAsia="SimSun" w:cs="Times New Roman"/>
                <w:kern w:val="0"/>
                <w:sz w:val="24"/>
                <w:szCs w:val="24"/>
                <w:lang w:val="ru-RU" w:eastAsia="ru-RU" w:bidi="ar-SA"/>
              </w:rPr>
              <w:t>- получение икры;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SimSun"/>
                <w:sz w:val="24"/>
                <w:szCs w:val="24"/>
              </w:rPr>
            </w:pPr>
            <w:r>
              <w:rPr>
                <w:rFonts w:eastAsia="SimSun" w:cs="Times New Roman"/>
                <w:kern w:val="0"/>
                <w:sz w:val="24"/>
                <w:szCs w:val="24"/>
                <w:lang w:val="ru-RU" w:eastAsia="ru-RU" w:bidi="ar-SA"/>
              </w:rPr>
              <w:t>- инкубация икры;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SimSun"/>
                <w:sz w:val="24"/>
                <w:szCs w:val="24"/>
              </w:rPr>
            </w:pPr>
            <w:r>
              <w:rPr>
                <w:rFonts w:eastAsia="SimSun" w:cs="Times New Roman"/>
                <w:kern w:val="0"/>
                <w:sz w:val="24"/>
                <w:szCs w:val="24"/>
                <w:lang w:val="ru-RU" w:eastAsia="ru-RU" w:bidi="ar-SA"/>
              </w:rPr>
              <w:t>- выращивание малька;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SimSun"/>
                <w:sz w:val="24"/>
                <w:szCs w:val="24"/>
              </w:rPr>
            </w:pPr>
            <w:r>
              <w:rPr>
                <w:rFonts w:eastAsia="SimSun" w:cs="Times New Roman"/>
                <w:kern w:val="0"/>
                <w:sz w:val="24"/>
                <w:szCs w:val="24"/>
                <w:lang w:val="ru-RU" w:eastAsia="ru-RU" w:bidi="ar-SA"/>
              </w:rPr>
              <w:t>- ветеринарный и технологический контроль;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SimSun"/>
                <w:sz w:val="24"/>
                <w:szCs w:val="24"/>
              </w:rPr>
            </w:pPr>
            <w:r>
              <w:rPr>
                <w:rFonts w:eastAsia="SimSun" w:cs="Times New Roman"/>
                <w:kern w:val="0"/>
                <w:sz w:val="24"/>
                <w:szCs w:val="24"/>
                <w:lang w:val="ru-RU" w:eastAsia="ru-RU" w:bidi="ar-SA"/>
              </w:rPr>
              <w:t>- транспортировка молоди кумжи (форели).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172"/>
              <w:jc w:val="left"/>
              <w:rPr>
                <w:rFonts w:eastAsia="SimSun"/>
                <w:sz w:val="24"/>
                <w:szCs w:val="24"/>
              </w:rPr>
            </w:pPr>
            <w:r>
              <w:rPr>
                <w:rFonts w:eastAsia="SimSun" w:cs="Times New Roman"/>
                <w:kern w:val="0"/>
                <w:sz w:val="24"/>
                <w:szCs w:val="24"/>
                <w:lang w:val="ru-RU" w:eastAsia="ru-RU" w:bidi="ar-SA"/>
              </w:rPr>
              <w:t>Выпуск малька в водоём проводится совместно Исполнителем, Заказчиком и представителями Росрыболовства.</w:t>
            </w:r>
          </w:p>
        </w:tc>
        <w:tc>
          <w:tcPr>
            <w:tcW w:w="17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38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4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12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60" w:after="60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666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  <w:tc>
          <w:tcPr>
            <w:tcW w:w="170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547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124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666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164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Общие требования к результатам услуг</w:t>
            </w:r>
          </w:p>
        </w:tc>
        <w:tc>
          <w:tcPr>
            <w:tcW w:w="170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547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124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2267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Предоставление отчётных документов</w:t>
            </w:r>
          </w:p>
        </w:tc>
        <w:tc>
          <w:tcPr>
            <w:tcW w:w="439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172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 xml:space="preserve">Результатом оказания услуг является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утвержденный акт выпуска рыбоводной продукции.</w:t>
            </w:r>
          </w:p>
        </w:tc>
        <w:tc>
          <w:tcPr>
            <w:tcW w:w="17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47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12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666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164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приемке результата оказания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  <w:r>
              <w:rPr>
                <w:rStyle w:val="Style8"/>
                <w:rFonts w:eastAsia="Times New Roman" w:cs="Times New Roman"/>
                <w:b w:val="false"/>
                <w:bCs/>
                <w:i w:val="false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 </w:t>
            </w:r>
          </w:p>
        </w:tc>
        <w:tc>
          <w:tcPr>
            <w:tcW w:w="170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547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124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2267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ind w:firstLine="23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Объем предоставляемых документов</w:t>
            </w:r>
          </w:p>
        </w:tc>
        <w:tc>
          <w:tcPr>
            <w:tcW w:w="4394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ind w:firstLine="172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Исполнитель передает Заказчику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x-none" w:bidi="ar-SA"/>
              </w:rPr>
              <w:t>утвержденный Акт выпуска рыбоводной продукции и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Акты об оказании Услуг.</w:t>
            </w:r>
          </w:p>
        </w:tc>
        <w:tc>
          <w:tcPr>
            <w:tcW w:w="17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246" w:hanging="141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4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12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60" w:after="60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666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40" w:after="0"/>
              <w:ind w:firstLine="164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  <w:tc>
          <w:tcPr>
            <w:tcW w:w="170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547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124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trHeight w:val="337" w:hRule="atLeast"/>
        </w:trPr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226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23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spacing w:val="5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Соблюдение требований</w:t>
            </w:r>
          </w:p>
        </w:tc>
        <w:tc>
          <w:tcPr>
            <w:tcW w:w="439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172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Услуги должны быть оказаны в соответствии с действующими требованиями следующей нормативно-технической документации: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172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Постановление Правительства Российской Федерации от 30 мая 2025 г. N 799"О согласовании Федеральным агентством по рыболовству строительства и реконструкции объектов капитального строительства, внедрения новых технологических процессов и осуществления иной деятельности, оказывающей воздействие на водные биологические ресурсы и среду их обитания»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Постановление Правительства Российской Федерации от 29 мая 2025 г. №785 «Об утверждении Положения о мерах по сохранению водных биологических ресурсов и среды их обитания».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172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Приказ Федерального агентства по рыболовству от 2 апреля 2012 г. № 278 “О внесении изменений в приложение к приказу Федерального агентства по рыболовству от 12 июля 2011 года № 688”</w:t>
            </w:r>
          </w:p>
        </w:tc>
        <w:tc>
          <w:tcPr>
            <w:tcW w:w="17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10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47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lang w:val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124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60" w:after="60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666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ind w:firstLine="164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ответственности и гарантиям исполнителя</w:t>
            </w:r>
          </w:p>
        </w:tc>
        <w:tc>
          <w:tcPr>
            <w:tcW w:w="170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547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124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226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23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Ответственность</w:t>
            </w:r>
          </w:p>
        </w:tc>
        <w:tc>
          <w:tcPr>
            <w:tcW w:w="4394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1489" w:leader="none"/>
              </w:tabs>
              <w:suppressAutoHyphens w:val="true"/>
              <w:spacing w:before="0" w:after="0"/>
              <w:ind w:firstLine="31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Исполнитель несет ответственность за достоверность информации и выводов, полученных в результате оказанных услуг по искусственному воспроизводству ВБР </w:t>
            </w:r>
          </w:p>
        </w:tc>
        <w:tc>
          <w:tcPr>
            <w:tcW w:w="17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246"/>
              <w:jc w:val="center"/>
              <w:rPr>
                <w:sz w:val="24"/>
                <w:szCs w:val="24"/>
              </w:rPr>
            </w:pPr>
            <w:bookmarkStart w:id="38" w:name="__RefHeading___Toc28500_3659982571"/>
            <w:bookmarkEnd w:id="38"/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4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124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bCs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bCs/>
                <w:kern w:val="0"/>
                <w:sz w:val="20"/>
                <w:szCs w:val="20"/>
                <w:lang w:val="ru-RU" w:eastAsia="ru-RU" w:bidi="ar-SA"/>
              </w:rPr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1134" w:gutter="0" w:header="680" w:top="1134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Normal"/>
        <w:spacing w:lineRule="auto" w:line="276" w:before="0" w:after="200"/>
        <w:rPr>
          <w:b/>
          <w:sz w:val="24"/>
          <w:szCs w:val="24"/>
        </w:rPr>
      </w:pPr>
      <w:r>
        <w:rPr>
          <w:b/>
          <w:sz w:val="24"/>
          <w:szCs w:val="24"/>
        </w:rPr>
        <w:t>3. Требования к документации по ценообразованию на этапе закупки</w:t>
      </w:r>
    </w:p>
    <w:p>
      <w:pPr>
        <w:pStyle w:val="Normal"/>
        <w:spacing w:lineRule="auto" w:line="276" w:before="0" w:after="200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>3.1 В обоснование стоимости заявки Участник должен представить Коммерческое предложение  Сметная документация в состав заявки участника не включается.</w:t>
      </w:r>
    </w:p>
    <w:p>
      <w:pPr>
        <w:pStyle w:val="Heading4"/>
        <w:tabs>
          <w:tab w:val="clear" w:pos="0"/>
        </w:tabs>
        <w:spacing w:before="120" w:after="60"/>
        <w:ind w:left="0" w:hanging="0"/>
        <w:rPr>
          <w:iCs/>
          <w:shd w:fill="FFFF99" w:val="clear"/>
        </w:rPr>
      </w:pPr>
      <w:r>
        <w:rPr/>
      </w:r>
    </w:p>
    <w:sectPr>
      <w:headerReference w:type="default" r:id="rId7"/>
      <w:headerReference w:type="first" r:id="rId8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8</w:t>
    </w:r>
    <w:r>
      <w:rPr/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222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ind w:left="5038" w:hanging="0"/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Style14" w:customStyle="1">
    <w:name w:val="Ссылка указателя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left="280" w:hanging="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" w:customStyle="1">
    <w:name w:val="caption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 w:customStyle="1">
    <w:name w:val="Содержимое врезки"/>
    <w:basedOn w:val="Normal"/>
    <w:qFormat/>
    <w:pPr/>
    <w:rPr/>
  </w:style>
  <w:style w:type="paragraph" w:styleId="Headertext" w:customStyle="1">
    <w:name w:val="headertext"/>
    <w:qFormat/>
    <w:rsid w:val="00166d78"/>
    <w:pPr>
      <w:widowControl w:val="false"/>
      <w:suppressAutoHyphens w:val="false"/>
      <w:bidi w:val="0"/>
      <w:spacing w:before="0" w:after="0"/>
      <w:jc w:val="left"/>
    </w:pPr>
    <w:rPr>
      <w:rFonts w:ascii="Arial" w:hAnsi="Arial" w:eastAsia="新細明體" w:cs="Arial" w:eastAsiaTheme="minorEastAsia"/>
      <w:b/>
      <w:bCs/>
      <w:color w:val="auto"/>
      <w:kern w:val="0"/>
      <w:sz w:val="22"/>
      <w:szCs w:val="22"/>
      <w:lang w:val="ru-RU" w:eastAsia="ru-RU" w:bidi="ar-SA"/>
    </w:rPr>
  </w:style>
  <w:style w:type="paragraph" w:styleId="Style34">
    <w:name w:val="Содержимое таблицы"/>
    <w:basedOn w:val="Normal"/>
    <w:qFormat/>
    <w:pPr>
      <w:widowControl w:val="false"/>
      <w:suppressLineNumbers/>
    </w:pPr>
    <w:rPr/>
  </w:style>
  <w:style w:type="paragraph" w:styleId="Style35">
    <w:name w:val="Заголовок таблицы"/>
    <w:basedOn w:val="Style34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5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b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consultant.ru/document/cons_doc_LAW_50799/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header" Target="header4.xml"/><Relationship Id="rId7" Type="http://schemas.openxmlformats.org/officeDocument/2006/relationships/header" Target="header5.xml"/><Relationship Id="rId8" Type="http://schemas.openxmlformats.org/officeDocument/2006/relationships/header" Target="header6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121465-43F2-430B-86DF-E457516CD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Application>AlterOffice/3.4.0.9$Linux_X86_64 LibreOffice_project/b8daf9e823b1a5463a2f48435ddc2e8696e7d4fc</Application>
  <AppVersion>15.0000</AppVersion>
  <Pages>9</Pages>
  <Words>1331</Words>
  <Characters>8889</Characters>
  <CharactersWithSpaces>10022</CharactersWithSpaces>
  <Paragraphs>220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2024-07-10T10:25:00Z</dcterms:created>
  <dc:creator>Быстров Олег Геннадьевич</dc:creator>
  <dc:description/>
  <dc:language>ru-RU</dc:language>
  <cp:lastModifiedBy>zabelkinans@corp.gidroogk.com</cp:lastModifiedBy>
  <cp:lastPrinted>2006-07-26T14:04:00Z</cp:lastPrinted>
  <dcterms:modified xsi:type="dcterms:W3CDTF">2026-09-22T15:39:10Z</dcterms:modified>
  <cp:revision>8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