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5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>
          <w:sz w:val="24"/>
          <w:szCs w:val="24"/>
        </w:rPr>
      </w:pPr>
      <w:r>
        <w:rPr>
          <w:sz w:val="24"/>
          <w:szCs w:val="24"/>
          <w:shd w:fill="auto" w:val="clear"/>
        </w:rPr>
        <w:t>ОКП</w:t>
      </w:r>
      <w:r>
        <w:rPr>
          <w:color w:val="000000"/>
          <w:sz w:val="24"/>
          <w:szCs w:val="24"/>
          <w:shd w:fill="auto" w:val="clear"/>
        </w:rPr>
        <w:t>Д2 28.13.13.120 П</w:t>
      </w:r>
      <w:r>
        <w:rPr>
          <w:b w:val="false"/>
          <w:bCs w:val="false"/>
          <w:sz w:val="24"/>
          <w:szCs w:val="24"/>
          <w:shd w:fill="auto" w:val="clear"/>
          <w:lang w:eastAsia="en-US"/>
        </w:rPr>
        <w:t>оставка винтового насоса с</w:t>
      </w:r>
      <w:r>
        <w:rPr>
          <w:sz w:val="24"/>
          <w:szCs w:val="24"/>
          <w:shd w:fill="auto" w:val="clear"/>
        </w:rPr>
        <w:t xml:space="preserve"> клапаном AGAM и электродвигателем для выполнения работ на Нижегородской ГЭС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center"/>
        <w:outlineLvl w:val="0"/>
        <w:rPr>
          <w:sz w:val="24"/>
          <w:szCs w:val="24"/>
        </w:rPr>
      </w:pPr>
      <w:r>
        <w:rPr>
          <w:b w:val="false"/>
          <w:bCs w:val="false"/>
          <w:sz w:val="24"/>
          <w:szCs w:val="24"/>
          <w:shd w:fill="auto" w:val="clear"/>
        </w:rPr>
        <w:t>(Лот №</w:t>
      </w:r>
      <w:r>
        <w:rPr>
          <w:b w:val="false"/>
          <w:bCs w:val="false"/>
          <w:sz w:val="24"/>
          <w:szCs w:val="24"/>
          <w:shd w:fill="auto" w:val="clear"/>
        </w:rPr>
        <w:t>_____</w:t>
      </w:r>
      <w:r>
        <w:rPr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shd w:fill="auto" w:val="clear"/>
          <w:em w:val="none"/>
        </w:rPr>
        <w:t>-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shd w:fill="auto" w:val="clear"/>
          <w:em w:val="none"/>
        </w:rPr>
        <w:t>ТПИР ОБСЛ ДОХ-2026-ГРВКК-СШФ</w:t>
      </w:r>
      <w:r>
        <w:rPr>
          <w:b w:val="false"/>
          <w:bCs w:val="false"/>
          <w:sz w:val="24"/>
          <w:szCs w:val="24"/>
          <w:shd w:fill="auto" w:val="clear"/>
        </w:rPr>
        <w:t>)</w:t>
      </w:r>
    </w:p>
    <w:p>
      <w:pPr>
        <w:pStyle w:val="Normal"/>
        <w:rPr>
          <w:szCs w:val="24"/>
          <w:highlight w:val="none"/>
          <w:shd w:fill="auto" w:val="clear"/>
        </w:rPr>
      </w:pPr>
      <w:r>
        <w:rPr>
          <w:szCs w:val="24"/>
          <w:shd w:fill="auto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Cs w:val="24"/>
        </w:rPr>
      </w:pPr>
      <w:r>
        <w:rPr>
          <w:rFonts w:eastAsia="Calibri"/>
          <w:b/>
          <w:i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0" w:name="_Toc75446568"/>
      <w:bookmarkStart w:id="1" w:name="_Toc46743506"/>
      <w:r>
        <w:rPr/>
        <w:t>Наименование закупаемой продукции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both"/>
        <w:outlineLvl w:val="0"/>
        <w:rPr>
          <w:szCs w:val="24"/>
        </w:rPr>
      </w:pPr>
      <w:r>
        <w:rPr>
          <w:szCs w:val="24"/>
        </w:rPr>
        <w:tab/>
      </w:r>
      <w:r>
        <w:rPr>
          <w:sz w:val="24"/>
          <w:szCs w:val="24"/>
          <w:shd w:fill="auto" w:val="clear"/>
        </w:rPr>
        <w:t>ОКП</w:t>
      </w:r>
      <w:r>
        <w:rPr>
          <w:color w:val="000000"/>
          <w:sz w:val="24"/>
          <w:szCs w:val="24"/>
          <w:shd w:fill="auto" w:val="clear"/>
        </w:rPr>
        <w:t>Д2 28.13.13.120 П</w:t>
      </w:r>
      <w:r>
        <w:rPr>
          <w:b w:val="false"/>
          <w:bCs w:val="false"/>
          <w:color w:val="000000"/>
          <w:sz w:val="24"/>
          <w:szCs w:val="24"/>
          <w:shd w:fill="auto" w:val="clear"/>
          <w:lang w:eastAsia="en-US"/>
        </w:rPr>
        <w:t>оста</w:t>
      </w:r>
      <w:r>
        <w:rPr>
          <w:b w:val="false"/>
          <w:bCs w:val="false"/>
          <w:color w:val="auto"/>
          <w:sz w:val="24"/>
          <w:szCs w:val="24"/>
          <w:lang w:eastAsia="en-US"/>
        </w:rPr>
        <w:t xml:space="preserve">вка винтового насоса с </w:t>
      </w:r>
      <w:r>
        <w:rPr>
          <w:color w:val="auto"/>
          <w:sz w:val="24"/>
          <w:szCs w:val="24"/>
        </w:rPr>
        <w:t>клапаном AGAM и электродвигателем для выполнения работ на Нижегородской ГЭС</w:t>
      </w:r>
      <w:r>
        <w:rPr>
          <w:sz w:val="24"/>
          <w:szCs w:val="24"/>
        </w:rPr>
        <w:t xml:space="preserve"> (далее продукция).</w:t>
      </w:r>
      <w:bookmarkStart w:id="2" w:name="_Toc7544656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  <w:bookmarkEnd w:id="2"/>
      <w:r>
        <w:rPr/>
        <w:t xml:space="preserve"> </w:t>
      </w:r>
    </w:p>
    <w:p>
      <w:pPr>
        <w:pStyle w:val="Normal"/>
        <w:ind w:firstLine="432"/>
        <w:jc w:val="both"/>
        <w:rPr>
          <w:rFonts w:eastAsia="Times New Roman" w:cs="Times New Roman"/>
          <w:bCs/>
          <w:szCs w:val="24"/>
          <w:shd w:fill="FFFFFF" w:val="clear"/>
          <w:lang w:eastAsia="ru-RU"/>
        </w:rPr>
      </w:pPr>
      <w:r>
        <w:rPr>
          <w:rFonts w:eastAsia="Times New Roman" w:cs="Times New Roman"/>
          <w:bCs/>
          <w:szCs w:val="24"/>
          <w:shd w:fill="FFFFFF" w:val="clear"/>
          <w:lang w:eastAsia="ru-RU"/>
        </w:rPr>
        <w:tab/>
        <w:t>Исполнение доходных договоров:</w:t>
      </w:r>
    </w:p>
    <w:p>
      <w:pPr>
        <w:pStyle w:val="Normal"/>
        <w:ind w:firstLine="432"/>
        <w:jc w:val="both"/>
        <w:rPr>
          <w:szCs w:val="24"/>
        </w:rPr>
      </w:pPr>
      <w:r>
        <w:rPr>
          <w:szCs w:val="24"/>
        </w:rPr>
        <w:t xml:space="preserve">- №1240-129-2021 от 12.07.2021 «Строительно-монтажные и пусконаладочные работы по замене гидроагрегата ст.№1,4,7» для нужд филиала ПАО «РусГидро»-«Нижегородская ГЭС», </w:t>
      </w:r>
      <w:r>
        <w:rPr>
          <w:rFonts w:eastAsia="Times New Roman" w:cs="Times New Roman"/>
          <w:bCs/>
          <w:szCs w:val="24"/>
          <w:shd w:fill="FFFFFF" w:val="clear"/>
          <w:lang w:eastAsia="ru-RU"/>
        </w:rPr>
        <w:t>заключенный между ПАО «РусГидро» и АО «Гидроремонт-ВКК»</w:t>
      </w:r>
      <w:r>
        <w:rPr>
          <w:rStyle w:val="Style"/>
          <w:b w:val="false"/>
          <w:bCs/>
          <w:i w:val="false"/>
          <w:szCs w:val="24"/>
          <w:shd w:fill="FFFFFF" w:val="clear"/>
        </w:rPr>
        <w:t>.</w:t>
      </w:r>
    </w:p>
    <w:p>
      <w:pPr>
        <w:pStyle w:val="Normal"/>
        <w:ind w:firstLine="432"/>
        <w:jc w:val="both"/>
        <w:rPr>
          <w:szCs w:val="24"/>
        </w:rPr>
      </w:pPr>
      <w:r>
        <w:rPr>
          <w:szCs w:val="24"/>
        </w:rPr>
      </w:r>
    </w:p>
    <w:p>
      <w:pPr>
        <w:pStyle w:val="Heading1"/>
        <w:numPr>
          <w:ilvl w:val="0"/>
          <w:numId w:val="1"/>
        </w:numPr>
        <w:ind w:left="0" w:firstLine="709"/>
        <w:rPr>
          <w:caps/>
          <w:lang w:val="ru-RU"/>
        </w:rPr>
      </w:pPr>
      <w:bookmarkStart w:id="4" w:name="_Toc75446573"/>
      <w:bookmarkStart w:id="5" w:name="_Toc51339693"/>
      <w:r>
        <w:rPr/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1"/>
        </w:numPr>
        <w:ind w:left="0" w:firstLine="709"/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1"/>
        </w:numPr>
        <w:ind w:left="0" w:firstLine="709"/>
        <w:rPr/>
      </w:pPr>
      <w:bookmarkStart w:id="7" w:name="_Toc75446575"/>
      <w:r>
        <w:rPr/>
        <w:t>Перечень и объем закупаемой продукции</w:t>
      </w:r>
      <w:bookmarkEnd w:id="7"/>
    </w:p>
    <w:p>
      <w:pPr>
        <w:pStyle w:val="Normal"/>
        <w:jc w:val="both"/>
        <w:rPr>
          <w:szCs w:val="24"/>
        </w:rPr>
      </w:pPr>
      <w:bookmarkStart w:id="8" w:name="_Toc75446576"/>
      <w:bookmarkStart w:id="9" w:name="_Toc51339695"/>
      <w:r>
        <w:rPr>
          <w:szCs w:val="24"/>
        </w:rPr>
        <w:t xml:space="preserve">Таблица 2.1 Перечень </w:t>
      </w:r>
      <w:bookmarkEnd w:id="9"/>
      <w:r>
        <w:rPr>
          <w:szCs w:val="24"/>
        </w:rPr>
        <w:t>и объем закупаемой продукци</w:t>
      </w:r>
      <w:bookmarkEnd w:id="8"/>
      <w:r>
        <w:rPr>
          <w:szCs w:val="24"/>
        </w:rPr>
        <w:t>и</w:t>
      </w:r>
    </w:p>
    <w:tbl>
      <w:tblPr>
        <w:tblStyle w:val="affffd"/>
        <w:tblW w:w="94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4"/>
        <w:gridCol w:w="6076"/>
        <w:gridCol w:w="1308"/>
        <w:gridCol w:w="1421"/>
      </w:tblGrid>
      <w:tr>
        <w:trPr>
          <w:trHeight w:val="567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6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3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Единица измерения</w:t>
            </w:r>
          </w:p>
        </w:tc>
        <w:tc>
          <w:tcPr>
            <w:tcW w:w="1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Количество</w:t>
            </w:r>
          </w:p>
        </w:tc>
      </w:tr>
      <w:tr>
        <w:trPr>
          <w:trHeight w:val="221" w:hRule="atLeast"/>
        </w:trPr>
        <w:tc>
          <w:tcPr>
            <w:tcW w:w="674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6076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308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21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400" w:hRule="atLeast"/>
        </w:trPr>
        <w:tc>
          <w:tcPr>
            <w:tcW w:w="6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607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/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lang w:val="ru-RU" w:eastAsia="en-US" w:bidi="ar-SA"/>
              </w:rPr>
              <w:t>Винтовой насос WOF 055 6 072</w:t>
            </w:r>
          </w:p>
        </w:tc>
        <w:tc>
          <w:tcPr>
            <w:tcW w:w="1308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"/>
                <w:iCs/>
                <w:color w:val="000000"/>
                <w:spacing w:val="-4"/>
                <w:kern w:val="0"/>
                <w:sz w:val="24"/>
                <w:szCs w:val="24"/>
                <w:lang w:val="ru-RU" w:eastAsia="en-US" w:bidi="ar-SA"/>
              </w:rPr>
              <w:t>шт</w:t>
            </w:r>
          </w:p>
        </w:tc>
        <w:tc>
          <w:tcPr>
            <w:tcW w:w="142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</w:tr>
      <w:tr>
        <w:trPr>
          <w:trHeight w:val="400" w:hRule="atLeast"/>
        </w:trPr>
        <w:tc>
          <w:tcPr>
            <w:tcW w:w="67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607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>
                <w:sz w:val="22"/>
              </w:rPr>
            </w:pPr>
            <w:r>
              <w:rPr>
                <w:sz w:val="22"/>
              </w:rPr>
              <w:t>Клапан AGAM-32/10/210-LX 24DC</w:t>
            </w:r>
          </w:p>
        </w:tc>
        <w:tc>
          <w:tcPr>
            <w:tcW w:w="1308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</w:t>
            </w:r>
          </w:p>
        </w:tc>
        <w:tc>
          <w:tcPr>
            <w:tcW w:w="142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</w:tr>
      <w:tr>
        <w:trPr>
          <w:trHeight w:val="400" w:hRule="atLeast"/>
        </w:trPr>
        <w:tc>
          <w:tcPr>
            <w:tcW w:w="67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607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Электродвигатель А250S2</w:t>
            </w:r>
          </w:p>
        </w:tc>
        <w:tc>
          <w:tcPr>
            <w:tcW w:w="1308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"/>
                <w:iCs/>
                <w:color w:val="000000"/>
                <w:spacing w:val="-4"/>
                <w:kern w:val="0"/>
                <w:sz w:val="24"/>
                <w:szCs w:val="24"/>
                <w:lang w:val="ru-RU" w:eastAsia="en-US" w:bidi="ar-SA"/>
              </w:rPr>
              <w:t>шт</w:t>
            </w:r>
          </w:p>
        </w:tc>
        <w:tc>
          <w:tcPr>
            <w:tcW w:w="142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1"/>
        </w:numPr>
        <w:ind w:left="0" w:firstLine="709"/>
        <w:rPr>
          <w:color w:val="auto"/>
        </w:rPr>
      </w:pPr>
      <w:r>
        <w:rPr>
          <w:color w:val="auto"/>
        </w:rPr>
        <w:t xml:space="preserve">Требования к срокам поставки продукции </w:t>
      </w:r>
    </w:p>
    <w:p>
      <w:pPr>
        <w:pStyle w:val="Normal"/>
        <w:rPr>
          <w:color w:val="auto"/>
        </w:rPr>
      </w:pPr>
      <w:bookmarkStart w:id="10" w:name="_Toc75446579"/>
      <w:bookmarkStart w:id="11" w:name="_Toc50125127"/>
      <w:bookmarkStart w:id="12" w:name="_Toc51339697"/>
      <w:r>
        <w:rPr>
          <w:rFonts w:eastAsia="Calibri"/>
          <w:color w:val="auto"/>
          <w:szCs w:val="24"/>
          <w:lang w:eastAsia="x-none"/>
        </w:rPr>
        <w:t xml:space="preserve">Таблица 2.2 </w:t>
      </w:r>
      <w:bookmarkStart w:id="13" w:name="_Hlk50465284"/>
      <w:r>
        <w:rPr>
          <w:rFonts w:eastAsia="Calibri"/>
          <w:color w:val="auto"/>
          <w:szCs w:val="24"/>
          <w:lang w:eastAsia="x-none"/>
        </w:rPr>
        <w:t xml:space="preserve">Требования по срокам </w:t>
      </w:r>
      <w:bookmarkEnd w:id="11"/>
      <w:bookmarkEnd w:id="12"/>
      <w:bookmarkEnd w:id="13"/>
      <w:r>
        <w:rPr>
          <w:rFonts w:eastAsia="Calibri"/>
          <w:color w:val="auto"/>
          <w:szCs w:val="24"/>
          <w:lang w:eastAsia="x-none"/>
        </w:rPr>
        <w:t>поставки продукции</w:t>
      </w:r>
      <w:bookmarkEnd w:id="10"/>
      <w:r>
        <w:rPr>
          <w:rFonts w:eastAsia="Calibri"/>
          <w:color w:val="auto"/>
          <w:szCs w:val="24"/>
          <w:lang w:eastAsia="x-none"/>
        </w:rPr>
        <w:t xml:space="preserve"> </w:t>
      </w:r>
    </w:p>
    <w:tbl>
      <w:tblPr>
        <w:tblW w:w="963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2"/>
        <w:gridCol w:w="3746"/>
        <w:gridCol w:w="2210"/>
        <w:gridCol w:w="2835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 xml:space="preserve">№ </w:t>
            </w:r>
            <w:r>
              <w:rPr>
                <w:color w:val="auto"/>
                <w:szCs w:val="24"/>
              </w:rPr>
              <w:t>п/п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Наименование продукции / партии продукции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1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2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center"/>
              <w:outlineLvl w:val="0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ОКПД2 28.13.13.120 Поставка винтового насоса с клапаном </w:t>
            </w: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4"/>
                <w:shd w:fill="auto" w:val="clear"/>
                <w:lang w:val="ru-RU" w:eastAsia="en-US" w:bidi="ar-SA"/>
              </w:rPr>
              <w:t>AGAM</w:t>
            </w: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и электродвигателем для выполнения работ на Нижегородской ГЭС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Cs w:val="24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  <w:szCs w:val="24"/>
              </w:rPr>
              <w:t xml:space="preserve">В течение </w:t>
            </w:r>
            <w:r>
              <w:rPr>
                <w:color w:val="000000"/>
                <w:szCs w:val="24"/>
                <w:shd w:fill="FFFF00" w:val="clear"/>
              </w:rPr>
              <w:t>125</w:t>
            </w:r>
            <w:r>
              <w:rPr>
                <w:color w:val="auto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rPr>
          <w:rFonts w:eastAsia="Calibri"/>
          <w:szCs w:val="24"/>
          <w:lang w:eastAsia="x-none"/>
        </w:rPr>
      </w:pPr>
      <w:bookmarkStart w:id="14" w:name="_Toc75446582"/>
      <w:r>
        <w:rPr>
          <w:rFonts w:eastAsia="Calibri"/>
          <w:szCs w:val="24"/>
          <w:lang w:eastAsia="x-none"/>
        </w:rPr>
        <w:t xml:space="preserve">          </w:t>
      </w:r>
      <w:r>
        <w:rPr>
          <w:rFonts w:eastAsia="Calibri"/>
          <w:szCs w:val="24"/>
          <w:lang w:eastAsia="x-none"/>
        </w:rPr>
        <w:t>Таблица 2.3. Требования к продукции</w:t>
      </w:r>
      <w:bookmarkEnd w:id="14"/>
    </w:p>
    <w:tbl>
      <w:tblPr>
        <w:tblW w:w="152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9"/>
        <w:gridCol w:w="4311"/>
        <w:gridCol w:w="2375"/>
        <w:gridCol w:w="1911"/>
        <w:gridCol w:w="1758"/>
        <w:gridCol w:w="2293"/>
        <w:gridCol w:w="1856"/>
      </w:tblGrid>
      <w:tr>
        <w:trPr>
          <w:trHeight w:val="20" w:hRule="atLeast"/>
        </w:trPr>
        <w:tc>
          <w:tcPr>
            <w:tcW w:w="15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bCs/>
                <w:szCs w:val="24"/>
              </w:rPr>
              <w:t xml:space="preserve">Наименование продукции (позиции № 1.1. Таблицы 2.1): </w:t>
            </w:r>
            <w:r>
              <w:rPr>
                <w:b/>
                <w:bCs/>
                <w:szCs w:val="24"/>
                <w:shd w:fill="auto" w:val="clear"/>
              </w:rPr>
              <w:t>ОКП</w:t>
            </w:r>
            <w:r>
              <w:rPr>
                <w:b/>
                <w:bCs/>
                <w:color w:val="000000"/>
                <w:szCs w:val="24"/>
                <w:shd w:fill="auto" w:val="clear"/>
              </w:rPr>
              <w:t>Д2 28.13.13.120 П</w:t>
            </w:r>
            <w:r>
              <w:rPr>
                <w:b/>
                <w:bCs/>
                <w:sz w:val="24"/>
                <w:szCs w:val="24"/>
                <w:shd w:fill="auto" w:val="clear"/>
                <w:lang w:eastAsia="en-US"/>
              </w:rPr>
              <w:t>оставка винтового насоса с</w:t>
            </w:r>
            <w:r>
              <w:rPr>
                <w:b/>
                <w:bCs/>
                <w:szCs w:val="24"/>
                <w:shd w:fill="auto" w:val="clear"/>
              </w:rPr>
              <w:t xml:space="preserve"> клапаном </w:t>
            </w:r>
            <w:r>
              <w:rPr>
                <w:b/>
                <w:bCs/>
                <w:sz w:val="22"/>
                <w:szCs w:val="24"/>
                <w:shd w:fill="auto" w:val="clear"/>
              </w:rPr>
              <w:t>AGAM</w:t>
            </w:r>
            <w:r>
              <w:rPr>
                <w:b/>
                <w:bCs/>
                <w:szCs w:val="24"/>
                <w:shd w:fill="auto" w:val="clear"/>
              </w:rPr>
              <w:t xml:space="preserve"> и электродвигателем для выполнения работ на Нижегородской ГЭС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>
        <w:trPr>
          <w:trHeight w:val="20" w:hRule="atLeast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>п/п</w:t>
            </w:r>
          </w:p>
        </w:tc>
        <w:tc>
          <w:tcPr>
            <w:tcW w:w="4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продукции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Соответствие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стандартам</w:t>
            </w:r>
          </w:p>
        </w:tc>
        <w:tc>
          <w:tcPr>
            <w:tcW w:w="4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eastAsia="Calibri"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0" w:hRule="atLeast"/>
        </w:trPr>
        <w:tc>
          <w:tcPr>
            <w:tcW w:w="7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4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9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0" w:hRule="atLeast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5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6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7</w:t>
            </w:r>
          </w:p>
        </w:tc>
      </w:tr>
      <w:tr>
        <w:trPr>
          <w:trHeight w:val="20" w:hRule="atLeast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>
                <w:b/>
                <w:szCs w:val="24"/>
              </w:rPr>
              <w:t>1.</w:t>
            </w:r>
          </w:p>
        </w:tc>
        <w:tc>
          <w:tcPr>
            <w:tcW w:w="14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71" w:hRule="atLeast"/>
        </w:trPr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/>
              <w:t>1.1.</w:t>
            </w:r>
          </w:p>
        </w:tc>
        <w:tc>
          <w:tcPr>
            <w:tcW w:w="4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rFonts w:eastAsia="Arial Unicode MS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Винтовой насос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Маркировка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center"/>
              <w:outlineLvl w:val="0"/>
              <w:rPr/>
            </w:pPr>
            <w:r>
              <w:rPr>
                <w:rFonts w:eastAsia="Arial Unicode MS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WOF 055 6 072</w:t>
            </w: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-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>
                <w:color w:val="C9211E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Seim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color w:val="C9211E"/>
              </w:rPr>
            </w:pPr>
            <w:r>
              <w:rPr>
                <w:color w:val="C9211E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  <w:szCs w:val="24"/>
              </w:rPr>
              <w:t>Давление подачи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100 бар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7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color w:val="C9211E"/>
              </w:rPr>
            </w:pPr>
            <w:r>
              <w:rPr>
                <w:color w:val="C9211E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 вращения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2900 об/мин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5" w:hRule="atLeast"/>
        </w:trPr>
        <w:tc>
          <w:tcPr>
            <w:tcW w:w="7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  <w:t>1.2</w:t>
            </w:r>
          </w:p>
        </w:tc>
        <w:tc>
          <w:tcPr>
            <w:tcW w:w="43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/>
            </w:pPr>
            <w:r>
              <w:rPr/>
              <w:t>Клапан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Маркировка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bidi="ar-SA"/>
              </w:rPr>
              <w:t>AGAM-32/10/210-LX 24 DC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5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Производитель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bidi="ar-SA"/>
              </w:rPr>
              <w:t>Atos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5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Артикул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bidi="ar-SA"/>
              </w:rPr>
              <w:t>С066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5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Максимальное давление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bidi="ar-SA"/>
              </w:rPr>
              <w:t>До 350 бар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5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Производительность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bidi="ar-SA"/>
              </w:rPr>
              <w:t>200-600 л/мин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" w:hRule="atLeast"/>
        </w:trPr>
        <w:tc>
          <w:tcPr>
            <w:tcW w:w="7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  <w:t>1.3</w:t>
            </w:r>
          </w:p>
        </w:tc>
        <w:tc>
          <w:tcPr>
            <w:tcW w:w="43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Электродвигатель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Маркировка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center"/>
              <w:outlineLvl w:val="0"/>
              <w:rPr/>
            </w:pPr>
            <w:r>
              <w:rPr>
                <w:rFonts w:eastAsia="Calibri" w:cs="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А250S2БУЗ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АО «ЭЛДИН»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auto"/>
                <w:szCs w:val="24"/>
              </w:rPr>
              <w:t>Мощность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75 кВт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 вращения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3000 об/мин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Напряжение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/>
            </w:pPr>
            <w:r>
              <w:rPr/>
              <w:t>380/660 В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" w:hRule="atLeast"/>
        </w:trPr>
        <w:tc>
          <w:tcPr>
            <w:tcW w:w="7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43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900" w:leader="none"/>
              </w:tabs>
              <w:spacing w:lineRule="auto" w:line="276"/>
              <w:ind w:left="0" w:hanging="0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Степень защиты от попадания пыли и водяных брызг</w:t>
            </w:r>
          </w:p>
        </w:tc>
        <w:tc>
          <w:tcPr>
            <w:tcW w:w="19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0" w:right="0" w:hanging="0"/>
              <w:jc w:val="center"/>
              <w:rPr/>
            </w:pPr>
            <w:r>
              <w:rPr/>
              <w:t>IP 65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2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</w:rPr>
              <w:t>2.</w:t>
            </w:r>
          </w:p>
        </w:tc>
        <w:tc>
          <w:tcPr>
            <w:tcW w:w="103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Место поставки</w:t>
            </w:r>
          </w:p>
        </w:tc>
        <w:tc>
          <w:tcPr>
            <w:tcW w:w="60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bidi w:val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606520, Российская Федерация, Нижегородская область, г. Заволжье, ул. Привокзальная, д. 14</w:t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2.2.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Приемка продукции</w:t>
            </w:r>
          </w:p>
        </w:tc>
        <w:tc>
          <w:tcPr>
            <w:tcW w:w="60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Осуществляется только в рабочие дни с 9-00 до 11-00 и с 13-00 до 16-00.</w:t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2.3.</w:t>
            </w:r>
          </w:p>
        </w:tc>
        <w:tc>
          <w:tcPr>
            <w:tcW w:w="103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ru-RU"/>
              </w:rPr>
              <w:t xml:space="preserve"> по тел. 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FFFF00" w:val="clear"/>
                <w:lang w:eastAsia="ru-RU"/>
              </w:rPr>
              <w:t>8-920-015-83-43</w:t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3.</w:t>
            </w:r>
          </w:p>
        </w:tc>
        <w:tc>
          <w:tcPr>
            <w:tcW w:w="859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Сроки гарантии</w:t>
            </w:r>
          </w:p>
        </w:tc>
        <w:tc>
          <w:tcPr>
            <w:tcW w:w="428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Не менее 60 месяцев с даты подписания сторонами ТОРГ-12 (УПД)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4.</w:t>
            </w:r>
          </w:p>
        </w:tc>
        <w:tc>
          <w:tcPr>
            <w:tcW w:w="859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4.1.</w:t>
            </w:r>
          </w:p>
        </w:tc>
        <w:tc>
          <w:tcPr>
            <w:tcW w:w="4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428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экз., транспортную накладную.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spacing w:val="-4"/>
                <w:kern w:val="0"/>
                <w:sz w:val="24"/>
                <w:szCs w:val="24"/>
                <w:lang w:val="ru-RU" w:eastAsia="en-US" w:bidi="ar-SA"/>
              </w:rPr>
              <w:t>При поставке продукция должна быть укомплектована документами на русском языке, удостоверяющими качество продукции и гарантийные обязательства производителя, выданными производителем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spacing w:val="-4"/>
                <w:kern w:val="0"/>
                <w:sz w:val="24"/>
                <w:szCs w:val="24"/>
                <w:lang w:val="ru-RU" w:eastAsia="en-US" w:bidi="ar-SA"/>
              </w:rPr>
              <w:t>Предоставляется при поставке продукции: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spacing w:val="-4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kern w:val="0"/>
                <w:sz w:val="24"/>
                <w:szCs w:val="24"/>
                <w:lang w:val="ru-RU" w:eastAsia="en-US" w:bidi="ar-SA"/>
              </w:rPr>
              <w:t>- Паспорт и руководство (инструкция) по эксплуатации на русском языке;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spacing w:val="-4"/>
                <w:kern w:val="0"/>
                <w:sz w:val="24"/>
                <w:szCs w:val="24"/>
                <w:lang w:val="ru-RU" w:eastAsia="en-US" w:bidi="ar-SA"/>
              </w:rPr>
              <w:t>- Сертификат или декларация соответствия согласно ТР ТС 004/2011 О безопасности низковольтного оборудования»;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spacing w:val="-4"/>
                <w:kern w:val="0"/>
                <w:sz w:val="24"/>
                <w:szCs w:val="24"/>
                <w:lang w:val="ru-RU" w:eastAsia="en-US" w:bidi="ar-SA"/>
              </w:rPr>
              <w:t>- Сертификат или декларация соответствия согласно ТР ТС 020/2011 «Электромагнитная совместимость технических средств».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5.</w:t>
            </w:r>
          </w:p>
        </w:tc>
        <w:tc>
          <w:tcPr>
            <w:tcW w:w="859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103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 w:val="false"/>
                <w:sz w:val="22"/>
                <w:szCs w:val="22"/>
                <w:shd w:fill="auto" w:val="clear"/>
                <w:lang w:eastAsia="x-none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Style"/>
                <w:rFonts w:eastAsia="Times New Roman" w:cs="Times New Roman"/>
                <w:b w:val="false"/>
                <w:bCs/>
                <w:i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x-none" w:bidi="ar-SA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85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6.</w:t>
            </w:r>
          </w:p>
        </w:tc>
        <w:tc>
          <w:tcPr>
            <w:tcW w:w="1450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Требования к рабочей документации и чертежам</w:t>
            </w:r>
          </w:p>
        </w:tc>
      </w:tr>
      <w:tr>
        <w:trPr>
          <w:trHeight w:val="278" w:hRule="atLeast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6.1</w:t>
            </w:r>
          </w:p>
        </w:tc>
        <w:tc>
          <w:tcPr>
            <w:tcW w:w="1450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Рабочая документация и чертежи предоставляются по официальному запросу через секретаря закупочной комиссии.</w:t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1134" w:right="1134" w:gutter="0" w:header="0" w:top="426" w:footer="708" w:bottom="85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1"/>
        <w:keepLines/>
        <w:numPr>
          <w:ilvl w:val="0"/>
          <w:numId w:val="1"/>
        </w:numPr>
        <w:tabs>
          <w:tab w:val="clear" w:pos="709"/>
          <w:tab w:val="left" w:pos="0" w:leader="none"/>
        </w:tabs>
        <w:spacing w:before="120" w:after="60"/>
        <w:ind w:left="357" w:hanging="357"/>
        <w:jc w:val="center"/>
        <w:rPr>
          <w:lang w:val="ru-RU"/>
        </w:rPr>
      </w:pPr>
      <w:bookmarkStart w:id="15" w:name="_Toc51339699"/>
      <w:bookmarkStart w:id="16" w:name="_Toc46743519"/>
      <w:bookmarkStart w:id="17" w:name="_Toc75446583"/>
      <w:bookmarkStart w:id="18" w:name="_Toc53393312"/>
      <w:r>
        <w:rPr>
          <w:lang w:val="ru-RU"/>
        </w:rPr>
        <w:t>Требования к документации по ценообразованию</w:t>
      </w:r>
      <w:bookmarkEnd w:id="18"/>
      <w:r>
        <w:rPr>
          <w:lang w:val="ru-RU"/>
        </w:rPr>
        <w:t xml:space="preserve"> на этапе закупки</w:t>
      </w:r>
      <w:bookmarkEnd w:id="17"/>
    </w:p>
    <w:p>
      <w:pPr>
        <w:pStyle w:val="Normal"/>
        <w:numPr>
          <w:ilvl w:val="1"/>
          <w:numId w:val="10"/>
        </w:numPr>
        <w:ind w:left="0" w:hanging="0"/>
        <w:jc w:val="both"/>
        <w:rPr>
          <w:rFonts w:eastAsia="Times New Roman" w:cs="Times New Roman"/>
          <w:i/>
          <w:i/>
          <w:szCs w:val="24"/>
          <w:lang w:eastAsia="ru-RU"/>
        </w:rPr>
      </w:pPr>
      <w:r>
        <w:rPr>
          <w:rFonts w:eastAsia="Times New Roman" w:cs="Times New Roman"/>
          <w:i/>
          <w:szCs w:val="24"/>
          <w:lang w:eastAsia="ru-RU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19" w:name="_Hlk88325985"/>
      <w:r>
        <w:rPr>
          <w:rFonts w:eastAsia="Times New Roman" w:cs="Times New Roman"/>
          <w:i/>
          <w:szCs w:val="24"/>
          <w:lang w:eastAsia="ru-RU"/>
        </w:rPr>
        <w:t>(с учетом прилагаемой к ней инструкции по заполнению)</w:t>
      </w:r>
      <w:bookmarkEnd w:id="19"/>
      <w:r>
        <w:rPr>
          <w:rFonts w:eastAsia="Times New Roman" w:cs="Times New Roman"/>
          <w:i/>
          <w:szCs w:val="24"/>
          <w:lang w:eastAsia="ru-RU"/>
        </w:rPr>
        <w:t>, приведенной в Документации о закупке.</w:t>
      </w:r>
    </w:p>
    <w:p>
      <w:pPr>
        <w:pStyle w:val="Normal"/>
        <w:numPr>
          <w:ilvl w:val="1"/>
          <w:numId w:val="11"/>
        </w:numPr>
        <w:ind w:left="0" w:hanging="0"/>
        <w:jc w:val="both"/>
        <w:rPr>
          <w:rFonts w:eastAsia="Times New Roman" w:cs="Times New Roman"/>
          <w:i/>
          <w:i/>
          <w:szCs w:val="24"/>
          <w:lang w:eastAsia="ru-RU"/>
        </w:rPr>
      </w:pPr>
      <w:bookmarkStart w:id="20" w:name="_Hlk88327292"/>
      <w:r>
        <w:rPr>
          <w:rFonts w:eastAsia="Times New Roman" w:cs="Times New Roman"/>
          <w:i/>
          <w:szCs w:val="24"/>
          <w:lang w:eastAsia="ru-RU"/>
        </w:rPr>
        <w:t>Дополнительные документы по ценообразованию</w:t>
      </w:r>
      <w:bookmarkEnd w:id="20"/>
      <w:r>
        <w:rPr>
          <w:rFonts w:eastAsia="Times New Roman" w:cs="Times New Roman"/>
          <w:i/>
          <w:szCs w:val="24"/>
          <w:lang w:eastAsia="ru-RU"/>
        </w:rPr>
        <w:t xml:space="preserve"> в состав заявки не включаются.</w:t>
      </w:r>
      <w:bookmarkEnd w:id="15"/>
      <w:bookmarkEnd w:id="16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jc w:val="left"/>
        <w:rPr>
          <w:b/>
          <w:bCs/>
          <w:sz w:val="24"/>
          <w:szCs w:val="24"/>
        </w:rPr>
      </w:pPr>
      <w:r>
        <w:rPr/>
      </w:r>
    </w:p>
    <w:sectPr>
      <w:footerReference w:type="default" r:id="rId5"/>
      <w:footerReference w:type="first" r:id="rId6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27147852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6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04079526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5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6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22405473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6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6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7"/>
    <w:lvlOverride w:ilvl="0">
      <w:startOverride w:val="3"/>
    </w:lvlOverride>
    <w:lvlOverride w:ilvl="1">
      <w:startOverride w:val="1"/>
    </w:lvlOverride>
  </w:num>
  <w:num w:numId="11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3b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c2ba4"/>
    <w:pPr>
      <w:keepNext w:val="true"/>
      <w:tabs>
        <w:tab w:val="clear" w:pos="708"/>
        <w:tab w:val="left" w:pos="0" w:leader="none"/>
        <w:tab w:val="left" w:pos="709" w:leader="none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c2ba4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Hyperlink" w:customStyle="1">
    <w:name w:val="Hyperlink"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5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FollowedHyperlink" w:customStyle="1">
    <w:name w:val="FollowedHyperlink"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">
    <w:name w:val="index heading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rsid w:val="00734d42"/>
    <w:pPr>
      <w:numPr>
        <w:ilvl w:val="0"/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rsid w:val="00cd6e45"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 w:hanging="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4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rsid w:val="00cd6e45"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cd6e45"/>
    <w:pPr>
      <w:numPr>
        <w:ilvl w:val="3"/>
        <w:numId w:val="5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5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5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cd6e45"/>
    <w:pPr>
      <w:keepNext w:val="true"/>
      <w:numPr>
        <w:ilvl w:val="5"/>
        <w:numId w:val="5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cd6e45"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rsid w:val="00cd6e45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rsid w:val="004900e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2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d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3047</TotalTime>
  <Application>AlterOffice/3.4.0.9$Linux_X86_64 LibreOffice_project/b8daf9e823b1a5463a2f48435ddc2e8696e7d4fc</Application>
  <AppVersion>15.0000</AppVersion>
  <Pages>6</Pages>
  <Words>687</Words>
  <Characters>4761</Characters>
  <CharactersWithSpaces>5314</CharactersWithSpaces>
  <Paragraphs>147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2023-05-24T06:11:00Z</dcterms:created>
  <dc:creator>Кочетов Сергей Владимирович</dc:creator>
  <dc:description/>
  <dc:language>ru-RU</dc:language>
  <cp:lastModifiedBy>kudryavtsevaen@corp.gidroogk.com</cp:lastModifiedBy>
  <cp:lastPrinted>2025-10-23T14:35:35Z</cp:lastPrinted>
  <dcterms:modified xsi:type="dcterms:W3CDTF">2026-09-23T10:46:45Z</dcterms:modified>
  <cp:revision>219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