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bookmarkStart w:id="0" w:name="_GoBack"/>
      <w:bookmarkStart w:id="1" w:name="_GoBack"/>
      <w:bookmarkEnd w:id="1"/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32"/>
          <w:szCs w:val="32"/>
        </w:rPr>
        <w:t>Технические требования</w:t>
      </w:r>
    </w:p>
    <w:p>
      <w:pPr>
        <w:pStyle w:val="BodyTextIndent3"/>
        <w:spacing w:before="0" w:after="0"/>
        <w:ind w:left="284" w:hanging="0"/>
        <w:jc w:val="center"/>
        <w:rPr/>
      </w:pPr>
      <w:r>
        <w:rPr>
          <w:rFonts w:eastAsia="Times New Roman"/>
          <w:b/>
          <w:color w:val="000000"/>
          <w:sz w:val="32"/>
          <w:szCs w:val="32"/>
        </w:rPr>
        <w:t xml:space="preserve"> </w:t>
      </w:r>
      <w:r>
        <w:rPr>
          <w:b/>
          <w:sz w:val="32"/>
          <w:szCs w:val="32"/>
        </w:rPr>
        <w:t>ОКПД 2: 26.20.14.100 Поставка серверного оборудования системы автоматической пожарной сигнализации и системы оповещения и управления эвакуацией Чебоксарской ГЭС</w:t>
      </w:r>
      <w:r>
        <w:rPr>
          <w:rFonts w:eastAsia="Times New Roman"/>
          <w:b/>
          <w:color w:val="000000"/>
          <w:sz w:val="32"/>
          <w:szCs w:val="32"/>
        </w:rPr>
        <w:t xml:space="preserve"> </w:t>
      </w:r>
    </w:p>
    <w:p>
      <w:pPr>
        <w:pStyle w:val="BodyTextIndent3"/>
        <w:spacing w:before="0" w:after="0"/>
        <w:ind w:left="284" w:hang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(очередь 1)</w:t>
      </w:r>
    </w:p>
    <w:p>
      <w:pPr>
        <w:pStyle w:val="BodyTextIndent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26"/>
          <w:szCs w:val="26"/>
        </w:rPr>
        <w:t>СОДЕРЖАНИЕ</w:t>
      </w:r>
    </w:p>
    <w:p>
      <w:pPr>
        <w:pStyle w:val="TOCHeading"/>
        <w:numPr>
          <w:ilvl w:val="0"/>
        </w:numPr>
        <w:ind w:left="142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400" w:leader="none"/>
              <w:tab w:val="right" w:pos="9628" w:leader="dot"/>
            </w:tabs>
            <w:rPr>
              <w:rFonts w:ascii="Times New Roman" w:hAnsi="Times New Roman" w:eastAsia="" w:eastAsiaTheme="minorEastAsia"/>
              <w:color w:val="auto"/>
              <w:sz w:val="24"/>
              <w:szCs w:val="24"/>
            </w:rPr>
          </w:pPr>
          <w:r>
            <w:fldChar w:fldCharType="begin"/>
          </w:r>
          <w:r>
            <w:rPr>
              <w:webHidden/>
              <w:rStyle w:val="Style21"/>
              <w:sz w:val="24"/>
              <w:szCs w:val="24"/>
              <w:vanish w:val="false"/>
              <w:rFonts w:ascii="Times New Roman" w:hAnsi="Times New Roman"/>
            </w:rPr>
            <w:instrText xml:space="preserve"> TOC \z \o "1-1" \u \h</w:instrText>
          </w:r>
          <w:r>
            <w:rPr>
              <w:webHidden/>
              <w:rStyle w:val="Style21"/>
              <w:sz w:val="24"/>
              <w:szCs w:val="24"/>
              <w:vanish w:val="false"/>
              <w:rFonts w:ascii="Times New Roman" w:hAnsi="Times New Roman"/>
            </w:rPr>
            <w:fldChar w:fldCharType="separate"/>
          </w:r>
          <w:hyperlink w:anchor="_Toc235105307">
            <w:r>
              <w:rPr>
                <w:webHidden/>
                <w:rStyle w:val="Style21"/>
                <w:rFonts w:ascii="Times New Roman" w:hAnsi="Times New Roman"/>
                <w:vanish w:val="false"/>
                <w:sz w:val="24"/>
                <w:szCs w:val="24"/>
              </w:rPr>
              <w:t>1.</w:t>
            </w:r>
            <w:r>
              <w:rPr>
                <w:rStyle w:val="Style21"/>
                <w:rFonts w:eastAsia="" w:ascii="Times New Roman" w:hAnsi="Times New Roman" w:eastAsiaTheme="minorEastAsia"/>
                <w:color w:val="auto"/>
                <w:sz w:val="24"/>
                <w:szCs w:val="24"/>
              </w:rPr>
              <w:tab/>
            </w:r>
            <w:r>
              <w:rPr>
                <w:rStyle w:val="Style21"/>
                <w:rFonts w:ascii="Times New Roman" w:hAnsi="Times New Roman"/>
                <w:sz w:val="24"/>
                <w:szCs w:val="24"/>
                <w:lang w:val="en-US"/>
              </w:rPr>
              <w:t xml:space="preserve">Общие </w:t>
            </w:r>
            <w:r>
              <w:rPr>
                <w:rStyle w:val="Style21"/>
                <w:rFonts w:ascii="Times New Roman" w:hAnsi="Times New Roman"/>
                <w:iCs/>
                <w:sz w:val="24"/>
                <w:szCs w:val="24"/>
              </w:rPr>
              <w:t>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_Toc235105307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1"/>
                <w:rFonts w:ascii="Times New Roman" w:hAnsi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400" w:leader="none"/>
              <w:tab w:val="right" w:pos="9628" w:leader="dot"/>
            </w:tabs>
            <w:rPr>
              <w:rFonts w:ascii="Times New Roman" w:hAnsi="Times New Roman" w:eastAsia="" w:eastAsiaTheme="minorEastAsia"/>
              <w:color w:val="auto"/>
              <w:sz w:val="24"/>
              <w:szCs w:val="24"/>
            </w:rPr>
          </w:pPr>
          <w:hyperlink w:anchor="_Toc235105308">
            <w:r>
              <w:rPr>
                <w:webHidden/>
                <w:rStyle w:val="Style21"/>
                <w:rFonts w:ascii="Times New Roman" w:hAnsi="Times New Roman"/>
                <w:vanish w:val="false"/>
                <w:sz w:val="24"/>
                <w:szCs w:val="24"/>
                <w:lang w:val="en-US"/>
              </w:rPr>
              <w:t>2.</w:t>
            </w:r>
            <w:r>
              <w:rPr>
                <w:rStyle w:val="Style21"/>
                <w:rFonts w:eastAsia="" w:ascii="Times New Roman" w:hAnsi="Times New Roman" w:eastAsiaTheme="minorEastAsia"/>
                <w:color w:val="auto"/>
                <w:sz w:val="24"/>
                <w:szCs w:val="24"/>
              </w:rPr>
              <w:tab/>
            </w:r>
            <w:r>
              <w:rPr>
                <w:rStyle w:val="Style21"/>
                <w:rFonts w:ascii="Times New Roman" w:hAnsi="Times New Roman"/>
                <w:sz w:val="24"/>
                <w:szCs w:val="24"/>
                <w:lang w:val="en-US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_Toc235105308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1"/>
                <w:rFonts w:ascii="Times New Roman" w:hAnsi="Times New Roman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400" w:leader="none"/>
              <w:tab w:val="right" w:pos="9628" w:leader="dot"/>
            </w:tabs>
            <w:rPr>
              <w:rFonts w:ascii="Times New Roman" w:hAnsi="Times New Roman" w:eastAsia="" w:eastAsiaTheme="minorEastAsia"/>
              <w:color w:val="auto"/>
              <w:sz w:val="24"/>
              <w:szCs w:val="24"/>
            </w:rPr>
          </w:pPr>
          <w:hyperlink w:anchor="_Toc235105309">
            <w:r>
              <w:rPr>
                <w:webHidden/>
                <w:rStyle w:val="Style21"/>
                <w:rFonts w:ascii="Times New Roman" w:hAnsi="Times New Roman"/>
                <w:vanish w:val="false"/>
                <w:sz w:val="24"/>
                <w:szCs w:val="24"/>
              </w:rPr>
              <w:t>3.</w:t>
            </w:r>
            <w:r>
              <w:rPr>
                <w:rStyle w:val="Style21"/>
                <w:rFonts w:eastAsia="" w:ascii="Times New Roman" w:hAnsi="Times New Roman" w:eastAsiaTheme="minorEastAsia"/>
                <w:color w:val="auto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_Toc235105309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1"/>
                <w:rFonts w:ascii="Times New Roman" w:hAnsi="Times New Roman"/>
                <w:sz w:val="24"/>
                <w:szCs w:val="24"/>
              </w:rPr>
              <w:t>Требования к документации по ценообразованию на этапе закупки</w:t>
              <w:tab/>
              <w:t>11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21"/>
              <w:sz w:val="24"/>
              <w:szCs w:val="24"/>
              <w:rFonts w:ascii="Times New Roman" w:hAnsi="Times New Roman"/>
            </w:rPr>
            <w:fldChar w:fldCharType="end"/>
          </w:r>
        </w:p>
      </w:sdtContent>
    </w:sdt>
    <w:p>
      <w:pPr>
        <w:pStyle w:val="TOC2"/>
        <w:tabs>
          <w:tab w:val="clear" w:pos="708"/>
          <w:tab w:val="right" w:pos="9628" w:leader="dot"/>
        </w:tabs>
        <w:rPr/>
      </w:pPr>
      <w:r>
        <w:rPr/>
      </w:r>
    </w:p>
    <w:p>
      <w:pPr>
        <w:pStyle w:val="Normal"/>
        <w:widowControl/>
        <w:suppressAutoHyphens w:val="false"/>
        <w:spacing w:lineRule="auto" w:line="276" w:before="0" w:after="20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3709" w:leader="none"/>
        </w:tabs>
        <w:rPr/>
      </w:pPr>
      <w:r>
        <w:rPr>
          <w:rFonts w:ascii="Times New Roman" w:hAnsi="Times New Roman"/>
        </w:rPr>
        <w:tab/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4"/>
        <w:rPr>
          <w:sz w:val="26"/>
          <w:szCs w:val="26"/>
        </w:rPr>
      </w:pPr>
      <w:r>
        <w:rPr>
          <w:sz w:val="26"/>
          <w:szCs w:val="26"/>
        </w:rPr>
      </w:r>
      <w:bookmarkStart w:id="2" w:name="_Toc361660480"/>
      <w:bookmarkStart w:id="3" w:name="_Toc361660480"/>
      <w:bookmarkEnd w:id="3"/>
      <w:r>
        <w:br w:type="page"/>
      </w:r>
    </w:p>
    <w:p>
      <w:pPr>
        <w:pStyle w:val="14"/>
        <w:numPr>
          <w:ilvl w:val="0"/>
          <w:numId w:val="26"/>
        </w:numPr>
        <w:tabs>
          <w:tab w:val="clear" w:pos="360"/>
          <w:tab w:val="clear" w:pos="900"/>
          <w:tab w:val="left" w:pos="-5224" w:leader="none"/>
        </w:tabs>
        <w:spacing w:before="240" w:after="0"/>
        <w:jc w:val="center"/>
        <w:outlineLvl w:val="0"/>
        <w:rPr/>
      </w:pPr>
      <w:bookmarkStart w:id="4" w:name="_Toc135142137"/>
      <w:bookmarkStart w:id="5" w:name="_Toc179983647"/>
      <w:bookmarkStart w:id="6" w:name="_Toc200032276"/>
      <w:bookmarkStart w:id="7" w:name="_Toc235105307"/>
      <w:r>
        <w:rPr>
          <w:sz w:val="28"/>
          <w:lang w:val="en-US"/>
        </w:rPr>
        <w:t xml:space="preserve">Общие </w:t>
      </w:r>
      <w:r>
        <w:rPr>
          <w:rFonts w:eastAsia="Calibri"/>
          <w:iCs/>
          <w:sz w:val="28"/>
          <w:szCs w:val="28"/>
        </w:rPr>
        <w:t>сведения</w:t>
      </w:r>
      <w:bookmarkEnd w:id="4"/>
      <w:bookmarkEnd w:id="5"/>
      <w:bookmarkEnd w:id="6"/>
      <w:bookmarkEnd w:id="7"/>
    </w:p>
    <w:p>
      <w:pPr>
        <w:pStyle w:val="26"/>
        <w:numPr>
          <w:ilvl w:val="0"/>
          <w:numId w:val="27"/>
        </w:numPr>
        <w:tabs>
          <w:tab w:val="clear" w:pos="-2115"/>
          <w:tab w:val="clear" w:pos="-1575"/>
          <w:tab w:val="left" w:pos="-1624" w:leader="none"/>
        </w:tabs>
        <w:spacing w:before="120" w:after="120"/>
        <w:jc w:val="left"/>
        <w:rPr/>
      </w:pPr>
      <w:bookmarkStart w:id="8" w:name="_Toc135142138"/>
      <w:bookmarkStart w:id="9" w:name="_Toc179983648"/>
      <w:bookmarkStart w:id="10" w:name="_Toc200032277"/>
      <w:r>
        <w:rPr>
          <w:b/>
          <w:bCs/>
        </w:rPr>
        <w:t>Обозначения</w:t>
      </w:r>
      <w:r>
        <w:rPr>
          <w:b/>
          <w:lang w:val="en-US"/>
        </w:rPr>
        <w:t xml:space="preserve"> и сокращения</w:t>
      </w:r>
      <w:bookmarkEnd w:id="8"/>
      <w:bookmarkEnd w:id="9"/>
      <w:bookmarkEnd w:id="10"/>
    </w:p>
    <w:tbl>
      <w:tblPr>
        <w:tblW w:w="942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428"/>
        <w:gridCol w:w="7997"/>
      </w:tblGrid>
      <w:tr>
        <w:trPr>
          <w:cantSplit w:val="true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bookmarkStart w:id="11" w:name="_Toc427935030"/>
            <w:bookmarkStart w:id="12" w:name="_Toc427935029"/>
            <w:bookmarkStart w:id="13" w:name="_Toc4739525"/>
            <w:bookmarkStart w:id="14" w:name="_Toc427926828"/>
            <w:bookmarkStart w:id="15" w:name="_Toc427926829"/>
            <w:bookmarkEnd w:id="11"/>
            <w:bookmarkEnd w:id="12"/>
            <w:bookmarkEnd w:id="13"/>
            <w:bookmarkEnd w:id="14"/>
            <w:bookmarkEnd w:id="15"/>
            <w:r>
              <w:rPr>
                <w:rFonts w:ascii="Times New Roman" w:hAnsi="Times New Roman"/>
                <w:sz w:val="24"/>
                <w:szCs w:val="24"/>
              </w:rPr>
              <w:t>АПС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автоматическая пожарная сигнализация</w:t>
            </w:r>
          </w:p>
        </w:tc>
      </w:tr>
      <w:tr>
        <w:trPr>
          <w:cantSplit w:val="true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26"/>
              <w:widowControl w:val="false"/>
              <w:numPr>
                <w:ilvl w:val="0"/>
                <w:numId w:val="0"/>
              </w:numPr>
              <w:tabs>
                <w:tab w:val="clear" w:pos="-2115"/>
                <w:tab w:val="clear" w:pos="-1575"/>
                <w:tab w:val="left" w:pos="0" w:leader="none"/>
                <w:tab w:val="left" w:pos="360" w:leader="none"/>
                <w:tab w:val="left" w:pos="900" w:leader="none"/>
              </w:tabs>
              <w:spacing w:before="60" w:after="60"/>
              <w:ind w:left="495" w:hanging="495"/>
              <w:jc w:val="left"/>
              <w:rPr/>
            </w:pPr>
            <w:r>
              <w:rPr/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Покупатель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26"/>
              <w:widowControl w:val="false"/>
              <w:numPr>
                <w:ilvl w:val="0"/>
                <w:numId w:val="0"/>
              </w:numPr>
              <w:tabs>
                <w:tab w:val="clear" w:pos="-2115"/>
                <w:tab w:val="clear" w:pos="-1575"/>
                <w:tab w:val="left" w:pos="0" w:leader="none"/>
                <w:tab w:val="left" w:pos="360" w:leader="none"/>
                <w:tab w:val="left" w:pos="900" w:leader="none"/>
              </w:tabs>
              <w:spacing w:before="60" w:after="60"/>
              <w:ind w:left="495" w:hanging="495"/>
              <w:jc w:val="left"/>
              <w:rPr/>
            </w:pPr>
            <w:r>
              <w:rPr/>
              <w:t>ПАО «РусГидро»</w:t>
            </w:r>
          </w:p>
        </w:tc>
      </w:tr>
      <w:tr>
        <w:trPr>
          <w:cantSplit w:val="true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ЗИП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26"/>
              <w:widowControl w:val="false"/>
              <w:numPr>
                <w:ilvl w:val="0"/>
                <w:numId w:val="0"/>
              </w:numPr>
              <w:tabs>
                <w:tab w:val="clear" w:pos="-2115"/>
                <w:tab w:val="clear" w:pos="-1575"/>
                <w:tab w:val="left" w:pos="0" w:leader="none"/>
                <w:tab w:val="left" w:pos="360" w:leader="none"/>
                <w:tab w:val="left" w:pos="900" w:leader="none"/>
              </w:tabs>
              <w:spacing w:before="60" w:after="60"/>
              <w:ind w:left="495" w:hanging="495"/>
              <w:jc w:val="left"/>
              <w:rPr/>
            </w:pPr>
            <w:r>
              <w:rPr/>
              <w:t>запасные изделия и приспособления</w:t>
            </w:r>
          </w:p>
        </w:tc>
      </w:tr>
      <w:tr>
        <w:trPr>
          <w:cantSplit w:val="true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нормативно-технические документы</w:t>
            </w:r>
          </w:p>
        </w:tc>
      </w:tr>
      <w:tr>
        <w:trPr>
          <w:cantSplit w:val="true"/>
        </w:trPr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ПАО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26"/>
              <w:widowControl w:val="false"/>
              <w:numPr>
                <w:ilvl w:val="0"/>
                <w:numId w:val="0"/>
              </w:numPr>
              <w:tabs>
                <w:tab w:val="clear" w:pos="-2115"/>
                <w:tab w:val="clear" w:pos="-1575"/>
                <w:tab w:val="left" w:pos="0" w:leader="none"/>
                <w:tab w:val="left" w:pos="360" w:leader="none"/>
                <w:tab w:val="left" w:pos="900" w:leader="none"/>
              </w:tabs>
              <w:spacing w:before="60" w:after="60"/>
              <w:ind w:left="495" w:hanging="495"/>
              <w:jc w:val="left"/>
              <w:rPr/>
            </w:pPr>
            <w:r>
              <w:rPr>
                <w:lang w:val="en-US"/>
              </w:rPr>
              <w:t>п</w:t>
            </w:r>
            <w:r>
              <w:rPr/>
              <w:t>убличное акционерное общество</w:t>
            </w:r>
          </w:p>
        </w:tc>
      </w:tr>
      <w:tr>
        <w:trPr>
          <w:cantSplit w:val="true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26"/>
              <w:widowControl w:val="false"/>
              <w:numPr>
                <w:ilvl w:val="0"/>
                <w:numId w:val="0"/>
              </w:numPr>
              <w:tabs>
                <w:tab w:val="clear" w:pos="-2115"/>
                <w:tab w:val="clear" w:pos="-1575"/>
                <w:tab w:val="left" w:pos="-382" w:leader="none"/>
                <w:tab w:val="left" w:pos="57" w:leader="none"/>
              </w:tabs>
              <w:spacing w:before="60" w:after="60"/>
              <w:ind w:left="113" w:right="340" w:hanging="57"/>
              <w:jc w:val="left"/>
              <w:rPr/>
            </w:pPr>
            <w:r>
              <w:rPr/>
              <w:t>проектная документация «Системы автоматической пожарной сигнализации и системы оповещения и управления эвакуацией Чебоксарской ГЭС»</w:t>
            </w:r>
          </w:p>
        </w:tc>
      </w:tr>
      <w:tr>
        <w:trPr>
          <w:cantSplit w:val="true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СОУЭ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26"/>
              <w:widowControl w:val="false"/>
              <w:numPr>
                <w:ilvl w:val="0"/>
                <w:numId w:val="0"/>
              </w:numPr>
              <w:tabs>
                <w:tab w:val="clear" w:pos="-2115"/>
                <w:tab w:val="clear" w:pos="-1575"/>
                <w:tab w:val="left" w:pos="0" w:leader="none"/>
                <w:tab w:val="left" w:pos="360" w:leader="none"/>
                <w:tab w:val="left" w:pos="900" w:leader="none"/>
              </w:tabs>
              <w:spacing w:before="60" w:after="60"/>
              <w:ind w:left="495" w:hanging="495"/>
              <w:rPr/>
            </w:pPr>
            <w:r>
              <w:rPr/>
              <w:t>система оповещения и управления эвакуацией</w:t>
            </w:r>
          </w:p>
        </w:tc>
      </w:tr>
      <w:tr>
        <w:trPr>
          <w:cantSplit w:val="true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26"/>
              <w:widowControl w:val="false"/>
              <w:numPr>
                <w:ilvl w:val="0"/>
                <w:numId w:val="0"/>
              </w:numPr>
              <w:tabs>
                <w:tab w:val="clear" w:pos="-2115"/>
                <w:tab w:val="clear" w:pos="-1575"/>
                <w:tab w:val="left" w:pos="0" w:leader="none"/>
                <w:tab w:val="left" w:pos="360" w:leader="none"/>
                <w:tab w:val="left" w:pos="900" w:leader="none"/>
              </w:tabs>
              <w:spacing w:before="60" w:after="60"/>
              <w:ind w:left="495" w:hanging="495"/>
              <w:jc w:val="left"/>
              <w:rPr/>
            </w:pPr>
            <w:r>
              <w:rPr/>
              <w:t>технические требования</w:t>
            </w:r>
          </w:p>
        </w:tc>
      </w:tr>
      <w:tr>
        <w:trPr>
          <w:trHeight w:val="479" w:hRule="atLeast"/>
          <w:cantSplit w:val="true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ПоставщикУчастник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26"/>
              <w:widowControl w:val="false"/>
              <w:numPr>
                <w:ilvl w:val="0"/>
                <w:numId w:val="0"/>
              </w:numPr>
              <w:tabs>
                <w:tab w:val="clear" w:pos="-2115"/>
                <w:tab w:val="clear" w:pos="-1575"/>
                <w:tab w:val="left" w:pos="0" w:leader="none"/>
                <w:tab w:val="left" w:pos="360" w:leader="none"/>
                <w:tab w:val="left" w:pos="900" w:leader="none"/>
              </w:tabs>
              <w:spacing w:before="60" w:after="60"/>
              <w:ind w:left="495" w:hanging="495"/>
              <w:jc w:val="left"/>
              <w:rPr/>
            </w:pPr>
            <w:r>
              <w:rPr/>
              <w:t>Подрядная организация, Контрагент</w:t>
            </w:r>
          </w:p>
        </w:tc>
      </w:tr>
    </w:tbl>
    <w:p>
      <w:pPr>
        <w:pStyle w:val="26"/>
        <w:numPr>
          <w:ilvl w:val="0"/>
          <w:numId w:val="28"/>
        </w:numPr>
        <w:tabs>
          <w:tab w:val="clear" w:pos="-2115"/>
          <w:tab w:val="clear" w:pos="-1575"/>
          <w:tab w:val="left" w:pos="-1624" w:leader="none"/>
        </w:tabs>
        <w:spacing w:before="120" w:after="120"/>
        <w:jc w:val="left"/>
        <w:rPr>
          <w:b/>
          <w:bCs/>
        </w:rPr>
      </w:pPr>
      <w:bookmarkStart w:id="16" w:name="_Toc179983649"/>
      <w:bookmarkStart w:id="17" w:name="_Toc135142139"/>
      <w:bookmarkStart w:id="18" w:name="_Toc200032278"/>
      <w:bookmarkStart w:id="19" w:name="_Toc4739534"/>
      <w:r>
        <w:rPr>
          <w:b/>
          <w:bCs/>
        </w:rPr>
        <w:t xml:space="preserve">Наименование закупаемой </w:t>
      </w:r>
      <w:bookmarkEnd w:id="19"/>
      <w:r>
        <w:rPr>
          <w:b/>
          <w:bCs/>
        </w:rPr>
        <w:t>продукции</w:t>
      </w:r>
      <w:bookmarkEnd w:id="16"/>
      <w:bookmarkEnd w:id="17"/>
      <w:bookmarkEnd w:id="18"/>
    </w:p>
    <w:p>
      <w:pPr>
        <w:pStyle w:val="14"/>
        <w:tabs>
          <w:tab w:val="clear" w:pos="360"/>
          <w:tab w:val="clear" w:pos="900"/>
          <w:tab w:val="left" w:pos="0" w:leader="none"/>
        </w:tabs>
        <w:ind w:firstLine="709"/>
        <w:rPr/>
      </w:pPr>
      <w:r>
        <w:rPr>
          <w:b w:val="false"/>
          <w:bCs/>
        </w:rPr>
        <w:t>Поставка серверного оборудования системы автоматической пожарной сигнализации и системы оповещения и управления эвакуацией Чебоксарской ГЭС</w:t>
      </w:r>
      <w:r>
        <w:rPr>
          <w:rFonts w:eastAsia="Times New Roman"/>
          <w:b w:val="false"/>
          <w:bCs/>
          <w:color w:val="000000"/>
          <w:sz w:val="24"/>
          <w:szCs w:val="24"/>
        </w:rPr>
        <w:t xml:space="preserve"> </w:t>
      </w:r>
      <w:r>
        <w:rPr>
          <w:b w:val="false"/>
          <w:bCs/>
        </w:rPr>
        <w:t>(очередь 1).</w:t>
      </w:r>
    </w:p>
    <w:p>
      <w:pPr>
        <w:pStyle w:val="26"/>
        <w:numPr>
          <w:ilvl w:val="0"/>
          <w:numId w:val="29"/>
        </w:numPr>
        <w:tabs>
          <w:tab w:val="clear" w:pos="-2115"/>
          <w:tab w:val="clear" w:pos="-1575"/>
          <w:tab w:val="left" w:pos="-1624" w:leader="none"/>
        </w:tabs>
        <w:spacing w:before="120" w:after="120"/>
        <w:jc w:val="left"/>
        <w:rPr>
          <w:b/>
          <w:bCs/>
        </w:rPr>
      </w:pPr>
      <w:bookmarkStart w:id="20" w:name="_Toc179983650"/>
      <w:bookmarkStart w:id="21" w:name="_Toc135142140"/>
      <w:bookmarkStart w:id="22" w:name="_Toc200032279"/>
      <w:bookmarkStart w:id="23" w:name="_Toc4739536"/>
      <w:r>
        <w:rPr>
          <w:b/>
          <w:bCs/>
        </w:rPr>
        <w:t xml:space="preserve">Цели </w:t>
      </w:r>
      <w:bookmarkEnd w:id="23"/>
      <w:r>
        <w:rPr>
          <w:b/>
          <w:bCs/>
        </w:rPr>
        <w:t>использования закупаемой продукции</w:t>
      </w:r>
      <w:bookmarkEnd w:id="20"/>
      <w:bookmarkEnd w:id="21"/>
      <w:bookmarkEnd w:id="22"/>
    </w:p>
    <w:p>
      <w:pPr>
        <w:pStyle w:val="14"/>
        <w:tabs>
          <w:tab w:val="clear" w:pos="360"/>
          <w:tab w:val="clear" w:pos="900"/>
          <w:tab w:val="left" w:pos="0" w:leader="none"/>
        </w:tabs>
        <w:ind w:firstLine="709"/>
        <w:rPr/>
      </w:pPr>
      <w:r>
        <w:rPr>
          <w:b w:val="false"/>
          <w:bCs/>
        </w:rPr>
        <w:t>Поставка серверного оборудования системы автоматической пожарной сигнализации и системы оповещения и управления эвакуацией Чебоксарской ГЭС</w:t>
      </w:r>
      <w:r>
        <w:rPr>
          <w:rFonts w:eastAsia="Times New Roman"/>
          <w:b w:val="false"/>
          <w:bCs/>
          <w:color w:val="000000"/>
          <w:sz w:val="24"/>
          <w:szCs w:val="24"/>
        </w:rPr>
        <w:t xml:space="preserve"> </w:t>
      </w:r>
      <w:r>
        <w:rPr>
          <w:b w:val="false"/>
          <w:bCs/>
        </w:rPr>
        <w:t>проводится с целью хранения информации от устройств автоматической противопожарной защиты.</w:t>
      </w:r>
    </w:p>
    <w:p>
      <w:pPr>
        <w:pStyle w:val="14"/>
        <w:tabs>
          <w:tab w:val="clear" w:pos="360"/>
          <w:tab w:val="clear" w:pos="900"/>
          <w:tab w:val="left" w:pos="0" w:leader="none"/>
        </w:tabs>
        <w:ind w:firstLine="567"/>
        <w:rPr>
          <w:b w:val="false"/>
          <w:bCs/>
        </w:rPr>
      </w:pPr>
      <w:r>
        <w:rPr>
          <w:b w:val="false"/>
          <w:bCs/>
        </w:rPr>
      </w:r>
    </w:p>
    <w:p>
      <w:pPr>
        <w:pStyle w:val="26"/>
        <w:numPr>
          <w:ilvl w:val="0"/>
          <w:numId w:val="30"/>
        </w:numPr>
        <w:tabs>
          <w:tab w:val="clear" w:pos="-2115"/>
          <w:tab w:val="clear" w:pos="-1575"/>
          <w:tab w:val="left" w:pos="-1624" w:leader="none"/>
        </w:tabs>
        <w:spacing w:before="120" w:after="120"/>
        <w:jc w:val="left"/>
        <w:rPr>
          <w:b/>
          <w:bCs/>
        </w:rPr>
      </w:pPr>
      <w:bookmarkStart w:id="24" w:name="_Toc46743509"/>
      <w:bookmarkStart w:id="25" w:name="_Toc125039223"/>
      <w:bookmarkStart w:id="26" w:name="_Toc200032280"/>
      <w:bookmarkStart w:id="27" w:name="_Hlk49857604"/>
      <w:bookmarkStart w:id="28" w:name="_Toc135039778"/>
      <w:bookmarkStart w:id="29" w:name="_Toc4739538"/>
      <w:bookmarkStart w:id="30" w:name="_Toc179983651"/>
      <w:bookmarkStart w:id="31" w:name="_Toc135142141"/>
      <w:bookmarkEnd w:id="28"/>
      <w:bookmarkEnd w:id="29"/>
      <w:bookmarkEnd w:id="30"/>
      <w:bookmarkEnd w:id="31"/>
      <w:r>
        <w:rPr>
          <w:b/>
          <w:bCs/>
        </w:rPr>
        <w:t xml:space="preserve">Информация в отношении исполнения договора, </w:t>
      </w:r>
      <w:bookmarkStart w:id="32" w:name="_Hlk46492347"/>
      <w:r>
        <w:rPr>
          <w:b/>
          <w:bCs/>
        </w:rPr>
        <w:t xml:space="preserve">которая должна быть учтена при подготовке заявки </w:t>
      </w:r>
      <w:bookmarkEnd w:id="32"/>
      <w:r>
        <w:rPr>
          <w:b/>
          <w:bCs/>
        </w:rPr>
        <w:t>(в том числе перечень ресурсов, услуг и документов, предоставляемых покупателем на этапе исполнения договора)</w:t>
      </w:r>
      <w:bookmarkEnd w:id="24"/>
      <w:bookmarkEnd w:id="25"/>
      <w:bookmarkEnd w:id="26"/>
      <w:bookmarkEnd w:id="27"/>
    </w:p>
    <w:p>
      <w:pPr>
        <w:pStyle w:val="Normal"/>
        <w:ind w:firstLine="709"/>
        <w:rPr/>
      </w:pPr>
      <w:r>
        <w:rPr>
          <w:rFonts w:eastAsia="Times New Roman" w:ascii="Times New Roman" w:hAnsi="Times New Roman"/>
          <w:bCs/>
          <w:sz w:val="24"/>
          <w:szCs w:val="24"/>
        </w:rPr>
        <w:t>Территория Филиала является режимным объектом. Пропуск на территорию Филиала осуществляется только после предварительного согласования с ответственным сотрудником Филиала</w:t>
      </w:r>
      <w:r>
        <w:br w:type="page"/>
      </w:r>
    </w:p>
    <w:p>
      <w:pPr>
        <w:pStyle w:val="14"/>
        <w:numPr>
          <w:ilvl w:val="0"/>
          <w:numId w:val="31"/>
        </w:numPr>
        <w:tabs>
          <w:tab w:val="clear" w:pos="360"/>
          <w:tab w:val="clear" w:pos="900"/>
          <w:tab w:val="left" w:pos="-5224" w:leader="none"/>
        </w:tabs>
        <w:spacing w:before="240" w:after="0"/>
        <w:jc w:val="center"/>
        <w:outlineLvl w:val="0"/>
        <w:rPr>
          <w:sz w:val="28"/>
          <w:lang w:val="en-US"/>
        </w:rPr>
      </w:pPr>
      <w:bookmarkStart w:id="33" w:name="_Toc200032281"/>
      <w:bookmarkStart w:id="34" w:name="_Toc51339693"/>
      <w:bookmarkStart w:id="35" w:name="_Toc235105308"/>
      <w:bookmarkStart w:id="36" w:name="_Toc125039224"/>
      <w:bookmarkStart w:id="37" w:name="_Toc135039778_Копия_1"/>
      <w:bookmarkStart w:id="38" w:name="_Toc4739538_Копия_1"/>
      <w:bookmarkStart w:id="39" w:name="_Toc179983651_Копия_1"/>
      <w:bookmarkStart w:id="40" w:name="_Toc135142141_Копия_1"/>
      <w:bookmarkEnd w:id="37"/>
      <w:bookmarkEnd w:id="38"/>
      <w:bookmarkEnd w:id="39"/>
      <w:bookmarkEnd w:id="40"/>
      <w:r>
        <w:rPr>
          <w:sz w:val="28"/>
          <w:lang w:val="en-US"/>
        </w:rPr>
        <w:t>Требования к продукции</w:t>
      </w:r>
      <w:bookmarkEnd w:id="33"/>
      <w:bookmarkEnd w:id="34"/>
      <w:bookmarkEnd w:id="35"/>
      <w:bookmarkEnd w:id="36"/>
    </w:p>
    <w:p>
      <w:pPr>
        <w:pStyle w:val="Heading2"/>
        <w:numPr>
          <w:ilvl w:val="1"/>
          <w:numId w:val="1"/>
        </w:numPr>
        <w:tabs>
          <w:tab w:val="clear" w:pos="708"/>
          <w:tab w:val="left" w:pos="0" w:leader="none"/>
        </w:tabs>
        <w:rPr>
          <w:rFonts w:ascii="Times New Roman" w:hAnsi="Times New Roman" w:cs="Times New Roman"/>
          <w:color w:val="auto"/>
        </w:rPr>
      </w:pPr>
      <w:bookmarkStart w:id="41" w:name="_Toc125039225"/>
      <w:bookmarkStart w:id="42" w:name="_Toc200032282"/>
      <w:r>
        <w:rPr>
          <w:rFonts w:cs="Times New Roman" w:ascii="Times New Roman" w:hAnsi="Times New Roman"/>
          <w:color w:val="auto"/>
        </w:rPr>
        <w:t>2.1. Требования к объемам и срокам поставки</w:t>
      </w:r>
      <w:bookmarkEnd w:id="41"/>
      <w:bookmarkEnd w:id="42"/>
    </w:p>
    <w:p>
      <w:pPr>
        <w:pStyle w:val="Heading3"/>
        <w:numPr>
          <w:ilvl w:val="2"/>
          <w:numId w:val="1"/>
        </w:numPr>
        <w:tabs>
          <w:tab w:val="clear" w:pos="708"/>
          <w:tab w:val="left" w:pos="0" w:leader="none"/>
        </w:tabs>
        <w:rPr/>
      </w:pPr>
      <w:bookmarkStart w:id="43" w:name="_Toc125036751"/>
      <w:bookmarkStart w:id="44" w:name="_Toc125039226"/>
      <w:bookmarkStart w:id="45" w:name="_Toc200032283"/>
      <w:r>
        <w:rPr>
          <w:rFonts w:ascii="Times New Roman" w:hAnsi="Times New Roman"/>
          <w:color w:val="auto"/>
          <w:sz w:val="24"/>
          <w:szCs w:val="24"/>
        </w:rPr>
        <w:t>2.1.1. Перечень и объем закупаемой продукции</w:t>
      </w:r>
      <w:bookmarkEnd w:id="43"/>
      <w:bookmarkEnd w:id="44"/>
      <w:bookmarkEnd w:id="45"/>
    </w:p>
    <w:p>
      <w:pPr>
        <w:pStyle w:val="Normal"/>
        <w:rPr>
          <w:rFonts w:ascii="Times New Roman" w:hAnsi="Times New Roman"/>
          <w:sz w:val="24"/>
          <w:szCs w:val="24"/>
        </w:rPr>
      </w:pPr>
      <w:bookmarkStart w:id="46" w:name="_Toc125039227"/>
      <w:bookmarkStart w:id="47" w:name="_Toc125036752"/>
      <w:bookmarkStart w:id="48" w:name="_Toc200032284"/>
      <w:bookmarkStart w:id="49" w:name="_Toc51339695"/>
      <w:r>
        <w:rPr>
          <w:rFonts w:ascii="Times New Roman" w:hAnsi="Times New Roman"/>
          <w:sz w:val="24"/>
          <w:szCs w:val="24"/>
        </w:rPr>
        <w:t xml:space="preserve">Таблица 1 Перечень </w:t>
      </w:r>
      <w:bookmarkEnd w:id="49"/>
      <w:r>
        <w:rPr>
          <w:rFonts w:ascii="Times New Roman" w:hAnsi="Times New Roman"/>
          <w:sz w:val="24"/>
          <w:szCs w:val="24"/>
        </w:rPr>
        <w:t>и объем закупаемой продукции</w:t>
      </w:r>
      <w:bookmarkEnd w:id="46"/>
      <w:bookmarkEnd w:id="47"/>
      <w:bookmarkEnd w:id="48"/>
    </w:p>
    <w:tbl>
      <w:tblPr>
        <w:tblW w:w="495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59"/>
        <w:gridCol w:w="5988"/>
        <w:gridCol w:w="1427"/>
        <w:gridCol w:w="1566"/>
      </w:tblGrid>
      <w:tr>
        <w:trPr>
          <w:tblHeader w:val="true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Наименование продукции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Единица измерения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b/>
              </w:rPr>
              <w:t>Количество</w:t>
            </w:r>
          </w:p>
        </w:tc>
      </w:tr>
      <w:tr>
        <w:trPr>
          <w:tblHeader w:val="true"/>
          <w:trHeight w:val="70" w:hRule="atLeast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>
        <w:trPr>
          <w:tblHeader w:val="true"/>
          <w:trHeight w:val="70" w:hRule="atLeast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08" w:leader="none"/>
              </w:tabs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Сервер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1"/>
        </w:numPr>
        <w:tabs>
          <w:tab w:val="clear" w:pos="708"/>
          <w:tab w:val="left" w:pos="0" w:leader="none"/>
        </w:tabs>
        <w:rPr/>
      </w:pPr>
      <w:bookmarkStart w:id="50" w:name="_Toc125036754"/>
      <w:bookmarkStart w:id="51" w:name="_Toc125039229"/>
      <w:bookmarkStart w:id="52" w:name="_Toc200032286"/>
      <w:bookmarkStart w:id="53" w:name="_Toc51339696"/>
      <w:r>
        <w:rPr>
          <w:rFonts w:ascii="Times New Roman" w:hAnsi="Times New Roman"/>
          <w:color w:val="auto"/>
          <w:sz w:val="26"/>
          <w:szCs w:val="28"/>
        </w:rPr>
        <w:t xml:space="preserve">2.1.2. Требования </w:t>
      </w:r>
      <w:bookmarkEnd w:id="53"/>
      <w:r>
        <w:rPr>
          <w:rFonts w:ascii="Times New Roman" w:hAnsi="Times New Roman"/>
          <w:color w:val="auto"/>
          <w:sz w:val="26"/>
          <w:szCs w:val="28"/>
        </w:rPr>
        <w:t>к срокам поставки продукции и оказания сопутствующих услуг</w:t>
      </w:r>
      <w:bookmarkEnd w:id="50"/>
      <w:bookmarkEnd w:id="51"/>
      <w:bookmarkEnd w:id="52"/>
    </w:p>
    <w:p>
      <w:pPr>
        <w:pStyle w:val="Normal"/>
        <w:rPr>
          <w:rFonts w:ascii="Times New Roman" w:hAnsi="Times New Roman"/>
          <w:sz w:val="24"/>
          <w:szCs w:val="24"/>
        </w:rPr>
      </w:pPr>
      <w:bookmarkStart w:id="54" w:name="_Toc125036755"/>
      <w:bookmarkStart w:id="55" w:name="_Toc125039230"/>
      <w:bookmarkStart w:id="56" w:name="_Toc200032287"/>
      <w:bookmarkStart w:id="57" w:name="_Toc50125127"/>
      <w:bookmarkStart w:id="58" w:name="_Toc51339697"/>
      <w:r>
        <w:rPr>
          <w:rFonts w:ascii="Times New Roman" w:hAnsi="Times New Roman"/>
          <w:sz w:val="24"/>
          <w:szCs w:val="24"/>
        </w:rPr>
        <w:t xml:space="preserve">Таблица 2 </w:t>
      </w:r>
      <w:bookmarkStart w:id="59" w:name="_Hlk50465284"/>
      <w:r>
        <w:rPr>
          <w:rFonts w:ascii="Times New Roman" w:hAnsi="Times New Roman"/>
          <w:sz w:val="24"/>
          <w:szCs w:val="24"/>
        </w:rPr>
        <w:t xml:space="preserve">Требования по срокам </w:t>
      </w:r>
      <w:bookmarkEnd w:id="57"/>
      <w:bookmarkEnd w:id="58"/>
      <w:bookmarkEnd w:id="59"/>
      <w:r>
        <w:rPr>
          <w:rFonts w:ascii="Times New Roman" w:hAnsi="Times New Roman"/>
          <w:sz w:val="24"/>
          <w:szCs w:val="24"/>
        </w:rPr>
        <w:t>поставки продукции</w:t>
      </w:r>
      <w:bookmarkEnd w:id="54"/>
      <w:bookmarkEnd w:id="55"/>
      <w:bookmarkEnd w:id="56"/>
    </w:p>
    <w:tbl>
      <w:tblPr>
        <w:tblW w:w="96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82"/>
        <w:gridCol w:w="2121"/>
        <w:gridCol w:w="3400"/>
        <w:gridCol w:w="3402"/>
      </w:tblGrid>
      <w:tr>
        <w:trPr>
          <w:tblHeader w:val="true"/>
          <w:trHeight w:val="20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Наименование продукции / (партии продукции)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Требования к началу срока поставки продукции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b/>
              </w:rPr>
              <w:t>Требования к окончанию срока поставки продукции</w:t>
            </w:r>
          </w:p>
        </w:tc>
      </w:tr>
      <w:tr>
        <w:trPr>
          <w:tblHeader w:val="true"/>
          <w:trHeight w:val="20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>
        <w:trPr>
          <w:tblHeader w:val="true"/>
          <w:trHeight w:val="20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Сервер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6"/>
              <w:widowControl w:val="false"/>
              <w:numPr>
                <w:ilvl w:val="0"/>
                <w:numId w:val="0"/>
              </w:numPr>
              <w:tabs>
                <w:tab w:val="clear" w:pos="-2115"/>
                <w:tab w:val="clear" w:pos="-1575"/>
                <w:tab w:val="left" w:pos="-134" w:leader="none"/>
              </w:tabs>
              <w:ind w:left="227" w:hanging="0"/>
              <w:jc w:val="left"/>
              <w:rPr/>
            </w:pPr>
            <w:r>
              <w:rPr/>
              <w:t>с даты, следующей за датой заключения Договора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08" w:hanging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три месяца с даты, следующей за датой заключения Договора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1134" w:gutter="0" w:header="709" w:top="851" w:footer="386" w:bottom="1701"/>
          <w:pgNumType w:fmt="decimal"/>
          <w:formProt w:val="false"/>
          <w:textDirection w:val="lrTb"/>
          <w:docGrid w:type="default" w:linePitch="600" w:charSpace="61440"/>
        </w:sectPr>
      </w:pPr>
      <w:r>
        <w:br w:type="page"/>
      </w:r>
    </w:p>
    <w:p>
      <w:pPr>
        <w:pStyle w:val="14"/>
        <w:tabs>
          <w:tab w:val="clear" w:pos="360"/>
          <w:tab w:val="left" w:pos="567" w:leader="none"/>
          <w:tab w:val="left" w:pos="709" w:leader="none"/>
          <w:tab w:val="left" w:pos="900" w:leader="none"/>
          <w:tab w:val="left" w:pos="1134" w:leader="none"/>
        </w:tabs>
        <w:jc w:val="left"/>
        <w:rPr/>
      </w:pPr>
      <w:r>
        <w:rPr/>
      </w:r>
    </w:p>
    <w:p>
      <w:pPr>
        <w:pStyle w:val="14"/>
        <w:numPr>
          <w:ilvl w:val="1"/>
          <w:numId w:val="17"/>
        </w:numPr>
        <w:jc w:val="left"/>
        <w:rPr/>
      </w:pPr>
      <w:bookmarkStart w:id="60" w:name="_Toc179983661"/>
      <w:bookmarkStart w:id="61" w:name="_Toc135142150"/>
      <w:r>
        <w:rPr/>
        <w:t xml:space="preserve"> </w:t>
      </w:r>
      <w:bookmarkStart w:id="62" w:name="_Toc200032289"/>
      <w:r>
        <w:rPr/>
        <w:t>Требования к качеству продукции</w:t>
      </w:r>
      <w:bookmarkEnd w:id="60"/>
      <w:bookmarkEnd w:id="61"/>
      <w:bookmarkEnd w:id="62"/>
    </w:p>
    <w:p>
      <w:pPr>
        <w:pStyle w:val="14"/>
        <w:ind w:left="1260" w:hanging="0"/>
        <w:jc w:val="left"/>
        <w:rPr/>
      </w:pPr>
      <w:r>
        <w:rPr/>
      </w:r>
    </w:p>
    <w:p>
      <w:pPr>
        <w:pStyle w:val="Normal"/>
        <w:rPr>
          <w:rFonts w:ascii="Times New Roman" w:hAnsi="Times New Roman"/>
          <w:sz w:val="24"/>
          <w:szCs w:val="24"/>
        </w:rPr>
      </w:pPr>
      <w:bookmarkStart w:id="63" w:name="__RefHeading___Toc31145_2708575354"/>
      <w:bookmarkStart w:id="64" w:name="_Toc135142151"/>
      <w:bookmarkStart w:id="65" w:name="_Toc179983662"/>
      <w:bookmarkStart w:id="66" w:name="_Toc200032290"/>
      <w:bookmarkEnd w:id="63"/>
      <w:r>
        <w:rPr>
          <w:rFonts w:ascii="Times New Roman" w:hAnsi="Times New Roman"/>
          <w:sz w:val="24"/>
          <w:szCs w:val="24"/>
        </w:rPr>
        <w:t>Таблица 3. Требования к качеству продукции</w:t>
      </w:r>
      <w:bookmarkEnd w:id="64"/>
      <w:bookmarkEnd w:id="65"/>
      <w:bookmarkEnd w:id="66"/>
    </w:p>
    <w:tbl>
      <w:tblPr>
        <w:tblW w:w="14620" w:type="dxa"/>
        <w:jc w:val="left"/>
        <w:tblInd w:w="-5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noVBand="1" w:val="04a0" w:noHBand="0" w:lastColumn="0" w:firstColumn="1" w:lastRow="0" w:firstRow="1"/>
      </w:tblPr>
      <w:tblGrid>
        <w:gridCol w:w="1213"/>
        <w:gridCol w:w="1763"/>
        <w:gridCol w:w="7088"/>
        <w:gridCol w:w="1560"/>
        <w:gridCol w:w="1703"/>
        <w:gridCol w:w="1292"/>
      </w:tblGrid>
      <w:tr>
        <w:trPr>
          <w:tblHeader w:val="true"/>
        </w:trPr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</w:rPr>
              <w:t xml:space="preserve">№ </w:t>
            </w:r>
            <w:r>
              <w:rPr>
                <w:rFonts w:eastAsia="Times New Roman" w:ascii="Times New Roman" w:hAnsi="Times New Roman"/>
                <w:b/>
                <w:bCs/>
              </w:rPr>
              <w:t>п/п</w:t>
            </w: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</w:rPr>
              <w:t>Наименование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</w:rPr>
              <w:t>параметра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</w:rPr>
              <w:t>Требование Покупателя</w:t>
            </w:r>
          </w:p>
        </w:tc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</w:rPr>
              <w:t>Способ подтверждения Участником соответствия требованиям</w:t>
            </w:r>
          </w:p>
        </w:tc>
        <w:tc>
          <w:tcPr>
            <w:tcW w:w="1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</w:rPr>
              <w:t>Предложение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</w:rPr>
              <w:t xml:space="preserve"> </w:t>
            </w:r>
            <w:r>
              <w:rPr>
                <w:rFonts w:eastAsia="Times New Roman" w:ascii="Times New Roman" w:hAnsi="Times New Roman"/>
                <w:b/>
                <w:bCs/>
              </w:rPr>
              <w:t>Участника по характеристикам и параметрам</w:t>
            </w:r>
          </w:p>
        </w:tc>
      </w:tr>
      <w:tr>
        <w:trPr>
          <w:tblHeader w:val="true"/>
        </w:trPr>
        <w:tc>
          <w:tcPr>
            <w:tcW w:w="12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17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7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</w:rPr>
              <w:t>Согласие с требованием/ указание характеристик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2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/>
            </w:pPr>
            <w:r>
              <w:rPr/>
            </w:r>
          </w:p>
        </w:tc>
      </w:tr>
      <w:tr>
        <w:trPr>
          <w:tblHeader w:val="true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</w:rPr>
              <w:t>1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</w:rPr>
              <w:t>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</w:rPr>
              <w:t>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</w:rPr>
              <w:t>6</w:t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1.</w:t>
            </w:r>
          </w:p>
        </w:tc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/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/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539" w:leader="none"/>
              </w:tabs>
              <w:ind w:left="227" w:hanging="227"/>
              <w:jc w:val="both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/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1.1.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Оперативная память</w:t>
            </w:r>
          </w:p>
        </w:tc>
        <w:tc>
          <w:tcPr>
            <w:tcW w:w="7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539" w:leader="none"/>
              </w:tabs>
              <w:ind w:left="0" w:hanging="0"/>
              <w:jc w:val="both"/>
              <w:rPr/>
            </w:pPr>
            <w:r>
              <w:rPr>
                <w:bCs/>
                <w:sz w:val="24"/>
                <w:szCs w:val="24"/>
              </w:rPr>
              <w:t>Не менее 2х32 GB DDR4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</w:rPr>
              <w:t>1.2.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>
                <w:rFonts w:eastAsia="Times New Roman" w:ascii="Times New Roman" w:hAnsi="Times New Roman"/>
                <w:sz w:val="24"/>
              </w:rPr>
              <w:t>Накопители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tabs>
                <w:tab w:val="clear" w:pos="708"/>
                <w:tab w:val="left" w:pos="539" w:leader="none"/>
              </w:tabs>
              <w:ind w:left="0" w:hanging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8 x SAS HDD 3.5’’ 600 GB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eastAsia="Times New Roman" w:ascii="Times New Roman" w:hAnsi="Times New Roman"/>
                <w:sz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eastAsia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</w:rPr>
              <w:t>1.3.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>
                <w:rFonts w:eastAsia="Times New Roman" w:ascii="Times New Roman" w:hAnsi="Times New Roman"/>
                <w:sz w:val="24"/>
              </w:rPr>
              <w:t>Форм фактор</w:t>
            </w:r>
          </w:p>
        </w:tc>
        <w:tc>
          <w:tcPr>
            <w:tcW w:w="708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tabs>
                <w:tab w:val="clear" w:pos="708"/>
                <w:tab w:val="left" w:pos="539" w:leader="none"/>
              </w:tabs>
              <w:ind w:left="0" w:hanging="0"/>
              <w:jc w:val="both"/>
              <w:rPr/>
            </w:pPr>
            <w:r>
              <w:rPr>
                <w:sz w:val="24"/>
              </w:rPr>
              <w:t>В стойку 19’’ 2U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eastAsia="Times New Roman" w:ascii="Times New Roman" w:hAnsi="Times New Roman"/>
                <w:sz w:val="24"/>
              </w:rPr>
            </w:r>
          </w:p>
        </w:tc>
        <w:tc>
          <w:tcPr>
            <w:tcW w:w="1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eastAsia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</w:rPr>
              <w:t>1.4.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>
                <w:rFonts w:eastAsia="Times New Roman" w:ascii="Times New Roman" w:hAnsi="Times New Roman"/>
                <w:sz w:val="24"/>
              </w:rPr>
              <w:t xml:space="preserve">Сетевые интерфейсы </w:t>
            </w:r>
          </w:p>
        </w:tc>
        <w:tc>
          <w:tcPr>
            <w:tcW w:w="708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tabs>
                <w:tab w:val="clear" w:pos="708"/>
                <w:tab w:val="left" w:pos="539" w:leader="none"/>
              </w:tabs>
              <w:ind w:left="0" w:hanging="0"/>
              <w:jc w:val="both"/>
              <w:rPr/>
            </w:pPr>
            <w:r>
              <w:rPr>
                <w:sz w:val="24"/>
              </w:rPr>
              <w:t>Не менее 4х1 Гбит/с RJ-45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eastAsia="Times New Roman" w:ascii="Times New Roman" w:hAnsi="Times New Roman"/>
                <w:sz w:val="24"/>
              </w:rPr>
            </w:r>
          </w:p>
        </w:tc>
        <w:tc>
          <w:tcPr>
            <w:tcW w:w="1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eastAsia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</w:rPr>
              <w:t>1.5.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>
                <w:rFonts w:eastAsia="Times New Roman" w:ascii="Times New Roman" w:hAnsi="Times New Roman"/>
                <w:sz w:val="24"/>
              </w:rPr>
              <w:t>Блоки питания</w:t>
            </w:r>
          </w:p>
        </w:tc>
        <w:tc>
          <w:tcPr>
            <w:tcW w:w="708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tabs>
                <w:tab w:val="clear" w:pos="708"/>
                <w:tab w:val="left" w:pos="539" w:leader="none"/>
              </w:tabs>
              <w:ind w:left="0" w:hanging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Д</w:t>
            </w:r>
            <w:r>
              <w:rPr>
                <w:sz w:val="24"/>
              </w:rPr>
              <w:t>ва блока питания не более 1300 Вт (для каждого)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eastAsia="Times New Roman" w:ascii="Times New Roman" w:hAnsi="Times New Roman"/>
                <w:sz w:val="24"/>
              </w:rPr>
            </w:r>
          </w:p>
        </w:tc>
        <w:tc>
          <w:tcPr>
            <w:tcW w:w="1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eastAsia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</w:rPr>
              <w:t>1.6.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>
                <w:rFonts w:eastAsia="Times New Roman" w:ascii="Times New Roman" w:hAnsi="Times New Roman"/>
                <w:sz w:val="24"/>
              </w:rPr>
              <w:t>Функции</w:t>
            </w:r>
          </w:p>
        </w:tc>
        <w:tc>
          <w:tcPr>
            <w:tcW w:w="708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tabs>
                <w:tab w:val="clear" w:pos="708"/>
                <w:tab w:val="left" w:pos="539" w:leader="none"/>
              </w:tabs>
              <w:ind w:left="0" w:hanging="0"/>
              <w:jc w:val="both"/>
              <w:rPr/>
            </w:pPr>
            <w:r>
              <w:rPr>
                <w:sz w:val="24"/>
              </w:rPr>
              <w:t>Поддержкой RAID 0,1,5,10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eastAsia="Times New Roman" w:ascii="Times New Roman" w:hAnsi="Times New Roman"/>
                <w:sz w:val="24"/>
              </w:rPr>
            </w:r>
          </w:p>
        </w:tc>
        <w:tc>
          <w:tcPr>
            <w:tcW w:w="1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eastAsia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</w:rPr>
              <w:t>2.</w:t>
            </w:r>
          </w:p>
        </w:tc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25" w:hanging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2.1.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22" w:leader="none"/>
              </w:tabs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Закупаемая продукция должна обеспечивать безопасность эксплуатации по классу защиты от поражения электрическим током, уровню пожарной безопасности - для использования в серверных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</w:rPr>
              <w:t>3.</w:t>
            </w:r>
          </w:p>
        </w:tc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</w:rPr>
              <w:t>3.1.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Размеры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22" w:leader="none"/>
              </w:tabs>
              <w:jc w:val="both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Должна подходить в стойку 19’’ 2U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4.</w:t>
            </w:r>
          </w:p>
        </w:tc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4.1.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Общие требования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721" w:leader="none"/>
              </w:tabs>
              <w:ind w:left="313" w:hanging="283"/>
              <w:jc w:val="both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по уровню температуре окружающего воздуха от +5 до +55</w:t>
            </w:r>
            <w:r>
              <w:rPr>
                <w:rFonts w:eastAsia="Symbol" w:ascii="Times New Roman" w:hAnsi="Times New Roman"/>
                <w:sz w:val="24"/>
                <w:szCs w:val="24"/>
              </w:rPr>
              <w:t></w:t>
            </w:r>
            <w:r>
              <w:rPr>
                <w:rFonts w:eastAsia="Times New Roman" w:ascii="Times New Roman" w:hAnsi="Times New Roman"/>
                <w:sz w:val="24"/>
                <w:szCs w:val="24"/>
              </w:rPr>
              <w:t>С;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721" w:leader="none"/>
              </w:tabs>
              <w:ind w:left="313" w:hanging="283"/>
              <w:jc w:val="both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по механическим воздействиям по ГОСТ 17516.1-90 по группе М6 – синусоидальная вибрация с частотой 0,5-100 Гц и перегрузкой 1g;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721" w:leader="none"/>
              </w:tabs>
              <w:ind w:left="313" w:hanging="283"/>
              <w:jc w:val="both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по сейсмостойкости не ниже 7 баллов по шкале MSK-64 в соответствии с ГОСТ 17516.1-90;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721" w:leader="none"/>
              </w:tabs>
              <w:ind w:left="313" w:hanging="283"/>
              <w:jc w:val="both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электромагнитной совместимости по ГОСТ Р50893-2000 по степени жестокости 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5.</w:t>
            </w:r>
          </w:p>
        </w:tc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5.1.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08" w:hanging="0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Место поставки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г. Новочебоксарск, ул. Набережная, влд. 34, склад ОМТО.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5</w:t>
            </w:r>
            <w:r>
              <w:rPr>
                <w:sz w:val="24"/>
              </w:rPr>
              <w:t>.2.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08" w:hanging="0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Условия транспортирования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Транспортировка осуществляется силами и средствами Поставщика (включая погрузку и перемещение до места складирования)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5.3.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Условия поставки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tabs>
                <w:tab w:val="clear" w:pos="708"/>
                <w:tab w:val="left" w:pos="485" w:leader="none"/>
              </w:tabs>
              <w:ind w:left="313" w:hanging="313"/>
              <w:jc w:val="both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Ответственность за сохранность оборудования до подписания товарной накладной ТОРГ-12/УПД несет Поставщик.</w:t>
            </w:r>
          </w:p>
          <w:p>
            <w:pPr>
              <w:pStyle w:val="Normal"/>
              <w:widowControl w:val="false"/>
              <w:numPr>
                <w:ilvl w:val="1"/>
                <w:numId w:val="14"/>
              </w:numPr>
              <w:tabs>
                <w:tab w:val="clear" w:pos="708"/>
                <w:tab w:val="left" w:pos="485" w:leader="none"/>
              </w:tabs>
              <w:ind w:left="313" w:hanging="313"/>
              <w:jc w:val="both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Поставщик обязан обеспечить присутствие во время приемки оборудования и входного контроля и в месте поставки своего представителя, уполномоченного надлежащим образом оформленной доверенностью на передачу Товара</w:t>
            </w:r>
            <w:r>
              <w:rPr>
                <w:rFonts w:eastAsia="Times New Roman" w:ascii="Times New Roman" w:hAnsi="Times New Roman"/>
                <w:b/>
                <w:bCs/>
              </w:rPr>
              <w:t xml:space="preserve"> </w:t>
            </w:r>
            <w:r>
              <w:rPr>
                <w:rFonts w:eastAsia="Times New Roman" w:ascii="Times New Roman" w:hAnsi="Times New Roman"/>
                <w:sz w:val="24"/>
                <w:szCs w:val="24"/>
              </w:rPr>
              <w:t>Покупателю, подписание Акта рекламации.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5.</w:t>
            </w:r>
            <w:r>
              <w:rPr>
                <w:sz w:val="24"/>
              </w:rPr>
              <w:t>4</w:t>
            </w:r>
            <w:r>
              <w:rPr>
                <w:sz w:val="24"/>
                <w:lang w:val="en-US"/>
              </w:rPr>
              <w:t>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Маркировка, упаковка и консервация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14"/>
              </w:numPr>
              <w:tabs>
                <w:tab w:val="clear" w:pos="708"/>
                <w:tab w:val="left" w:pos="721" w:leader="none"/>
              </w:tabs>
              <w:ind w:left="313" w:hanging="313"/>
              <w:jc w:val="both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Упаковка должна исключать возможность механических повреждений и климатических факторов внешней среды на оборудование.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6.</w:t>
            </w:r>
          </w:p>
        </w:tc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jc w:val="center"/>
              <w:rPr/>
            </w:pPr>
            <w:r>
              <w:rPr>
                <w:sz w:val="24"/>
                <w:lang w:val="en-US"/>
              </w:rPr>
              <w:t>6.1.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Требования к эксплуатации, ее режимам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Оборудование должно быть рассчитано на непрерывную работу со сроком эксплуатации не менее 10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7.</w:t>
            </w:r>
          </w:p>
        </w:tc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7.1.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Срок гарантии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Гарантийный срок на оборудование должен составлять не менее 36 месяцев с даты подписания Сторонами накладной ТОРГ-12/УПД.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7.2.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Гарантийное и послегарантийное обслуживание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6"/>
              </w:numPr>
              <w:suppressAutoHyphens w:val="true"/>
              <w:ind w:left="29" w:firstLine="63"/>
              <w:jc w:val="both"/>
              <w:rPr/>
            </w:pPr>
            <w:r>
              <w:rPr>
                <w:sz w:val="24"/>
                <w:szCs w:val="24"/>
              </w:rPr>
              <w:t>В течение Гарантийного срока Поставщик гарантирует возможность эксплуатации оборудования в соответствии с его целевым назначением, а также несет безусловную ответственность за обнаруженные Покупателем недостатки, несоответствия и / или дефекты оборудования, если не докажет, что они явились следствием несоблюдения Покупателем требований по эксплуатации Оборудования, прямо предусмотренных в инструкциях и иных документах, переданных Покупателю.</w:t>
            </w:r>
          </w:p>
          <w:p>
            <w:pPr>
              <w:pStyle w:val="ListParagraph"/>
              <w:widowControl w:val="false"/>
              <w:numPr>
                <w:ilvl w:val="2"/>
                <w:numId w:val="16"/>
              </w:numPr>
              <w:suppressAutoHyphens w:val="true"/>
              <w:ind w:left="0" w:hanging="0"/>
              <w:jc w:val="both"/>
              <w:rPr/>
            </w:pPr>
            <w:r>
              <w:rPr>
                <w:sz w:val="24"/>
                <w:szCs w:val="24"/>
              </w:rPr>
              <w:t>В случае обнаружения в период Гарантийного срока недостатков, несоответствий и / или дефектов оборудования, Покупатель направляет Поставщику письменное уведомление с указанием выявленных недостатков. Поставщик обязан незамедлительно обеспечить прибытие своего представителя, уполномоченного надлежащим образом оформленной доверенностью, для составления Акта о недостатках и согласования порядка и сроков их устранения.</w:t>
            </w:r>
          </w:p>
          <w:p>
            <w:pPr>
              <w:pStyle w:val="ListParagraph"/>
              <w:widowControl w:val="false"/>
              <w:numPr>
                <w:ilvl w:val="2"/>
                <w:numId w:val="16"/>
              </w:numPr>
              <w:suppressAutoHyphens w:val="true"/>
              <w:ind w:left="0" w:hanging="0"/>
              <w:jc w:val="both"/>
              <w:rPr/>
            </w:pPr>
            <w:r>
              <w:rPr>
                <w:sz w:val="24"/>
                <w:szCs w:val="24"/>
              </w:rPr>
              <w:t>Наличие и полный перечень недостатков, несоответствий и / или дефектов оборудования, а также разумные сроки их устранения, оформляются Актом о недостатках, составляемым Сторонами, а при отказе или уклонении Поставщика от составления данного акта – Покупателем в одностороннем порядке.</w:t>
            </w:r>
          </w:p>
          <w:p>
            <w:pPr>
              <w:pStyle w:val="ListParagraph"/>
              <w:widowControl w:val="false"/>
              <w:numPr>
                <w:ilvl w:val="2"/>
                <w:numId w:val="16"/>
              </w:numPr>
              <w:suppressAutoHyphens w:val="true"/>
              <w:ind w:left="0" w:hanging="0"/>
              <w:jc w:val="both"/>
              <w:rPr/>
            </w:pPr>
            <w:r>
              <w:rPr>
                <w:sz w:val="24"/>
                <w:szCs w:val="24"/>
              </w:rPr>
              <w:t>Поставщик обязан своими силами и за свой счет устранить недостатки, несоответствия и / или дефекты, обнаруженные Покупателем в течение Гарантийного срока, в срок, указанный в Акте о недостатках.</w:t>
            </w:r>
          </w:p>
          <w:p>
            <w:pPr>
              <w:pStyle w:val="ListParagraph"/>
              <w:widowControl w:val="false"/>
              <w:numPr>
                <w:ilvl w:val="2"/>
                <w:numId w:val="16"/>
              </w:numPr>
              <w:suppressAutoHyphens w:val="true"/>
              <w:ind w:left="0" w:hanging="0"/>
              <w:jc w:val="both"/>
              <w:rPr/>
            </w:pPr>
            <w:r>
              <w:rPr>
                <w:sz w:val="24"/>
                <w:szCs w:val="24"/>
              </w:rPr>
              <w:t>Если Поставщик не устранит недостатки в установленный срок, Покупатель вправе собственными силами и / или силами третьих лиц выполнить необходимые работы по устранению недостатков оборудования, с отнесением на Поставщика соответствующих расходов. Поставщик обязан возместить стоимость расходов Покупателя на устранение недостатков, несоответствий и / или дефектов оборудования в течение 10 (десяти) рабочих дней с даты получения соответствующего письменного требования Покупателя.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399" w:leader="none"/>
              </w:tabs>
              <w:ind w:left="0" w:hanging="0"/>
              <w:jc w:val="both"/>
              <w:rPr/>
            </w:pPr>
            <w:r>
              <w:rPr>
                <w:sz w:val="24"/>
                <w:szCs w:val="24"/>
              </w:rPr>
              <w:t>6. Гарантийный срок на оборудование увеличивается на тот период времени, в течение которого Покупатель не мог эксплуатировать оборудование в целом или его часть вследствие указанных в настоящем разделе недостатков. Гарантийный срок на замененную или отремонтированную составную часть оборудования начинает исчисляться заново с даты приемки Покупателем работ по устранению недостатков.</w:t>
              <w:br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8.</w:t>
            </w:r>
          </w:p>
        </w:tc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Требования к комплектации и документам, поставляемым вместе с МТР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8.1.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Объем комплектации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15"/>
              </w:numPr>
              <w:ind w:left="313" w:hanging="313"/>
              <w:jc w:val="both"/>
              <w:rPr/>
            </w:pPr>
            <w:r>
              <w:rPr>
                <w:sz w:val="24"/>
                <w:szCs w:val="24"/>
              </w:rPr>
              <w:t>Сервер — 2 шт.</w:t>
            </w:r>
          </w:p>
          <w:p>
            <w:pPr>
              <w:pStyle w:val="ListParagraph"/>
              <w:widowControl w:val="false"/>
              <w:numPr>
                <w:ilvl w:val="1"/>
                <w:numId w:val="15"/>
              </w:numPr>
              <w:ind w:left="313" w:hanging="313"/>
              <w:jc w:val="both"/>
              <w:rPr/>
            </w:pPr>
            <w:r>
              <w:rPr>
                <w:sz w:val="24"/>
                <w:szCs w:val="24"/>
              </w:rPr>
              <w:t>Если заводом-изготовителем предусмотрена техническая документация в комплекте поставки к Товару, то она должна быть предоставлена Покупателю в бумажном виде в 1 экземпляре на каждый такой Товар или на электронных носителях (в форматах *.xls/xlsx, *.doc/docx, *.vsd и/или *.pdf) в 1 экземпляре на каждый такой Товар на русском языке.</w:t>
            </w:r>
          </w:p>
          <w:p>
            <w:pPr>
              <w:pStyle w:val="ListParagraph"/>
              <w:widowControl w:val="false"/>
              <w:numPr>
                <w:ilvl w:val="1"/>
                <w:numId w:val="15"/>
              </w:numPr>
              <w:ind w:left="313" w:hanging="313"/>
              <w:jc w:val="both"/>
              <w:rPr/>
            </w:pPr>
            <w:r>
              <w:rPr>
                <w:sz w:val="24"/>
                <w:szCs w:val="24"/>
              </w:rPr>
              <w:t>Вместе с Товаром Поставщик передает Покупателю накладные, товарно-транспортные накладные и другие обязательные сопроводительные документы. При некомплектности, недопоставке, отсутствии необходимых принадлежностей или документов, относящихся к Товару, Покупатель вправе с одновременным направлением письменного уведомления Поставщику прекратить приемку Товара до устранения нарушений. Поставщик обязан в течение 3 (трех) календарных дней с указанной даты представить необходимые комплектующие, документы или принадлежности, что не освобождает Поставщика от ответственности за убытки, причиненные нарушением срока поставки.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9.</w:t>
            </w:r>
          </w:p>
        </w:tc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bookmarkStart w:id="67" w:name="_Hlk47446269"/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Требования к экономическим параметрам</w:t>
            </w:r>
            <w:bookmarkEnd w:id="67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9.1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Среднее время наработки на отказ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360" w:leader="none"/>
                <w:tab w:val="left" w:pos="900" w:leader="none"/>
              </w:tabs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не менее 100000 часов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9.2.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Периодичность выполнения и объем ремонтов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Оборудование должно применяться, не требующее выполнения ремонтов на протяжении всего срока службы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9.3.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Периодичность выполнения и объем ТО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Объемы и периодичность ТО в соответствии с руководством по эксплуатации оборудования и действующими НТД.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9.4.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Коэффициент готовности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Коэффициент готовности – не ниже 0,98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10.</w:t>
            </w:r>
          </w:p>
        </w:tc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Требования к обязательствам контрагента, влияющим на исполнение договора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90" w:hanging="0"/>
              <w:rPr/>
            </w:pPr>
            <w:r>
              <w:rPr>
                <w:sz w:val="24"/>
                <w:lang w:val="en-US"/>
              </w:rPr>
              <w:t>10.</w:t>
            </w:r>
            <w:r>
              <w:rPr>
                <w:sz w:val="24"/>
              </w:rPr>
              <w:t>1</w:t>
            </w:r>
            <w:r>
              <w:rPr>
                <w:sz w:val="24"/>
                <w:lang w:val="en-US"/>
              </w:rPr>
              <w:t>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Требования к наличию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ascii="Times New Roman" w:hAnsi="Times New Roman"/>
                <w:sz w:val="24"/>
                <w:szCs w:val="24"/>
              </w:rPr>
              <w:t xml:space="preserve">сервисного центра на территории РФ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1"/>
                <w:numId w:val="1"/>
              </w:numPr>
              <w:tabs>
                <w:tab w:val="clear" w:pos="708"/>
                <w:tab w:val="left" w:pos="0" w:leader="none"/>
              </w:tabs>
              <w:spacing w:before="200" w:after="0"/>
              <w:rPr/>
            </w:pPr>
            <w:r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  <w:t>Обязательно наличие сервисного центра на территории РФ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numPr>
                <w:ilvl w:val="2"/>
                <w:numId w:val="1"/>
              </w:numPr>
              <w:tabs>
                <w:tab w:val="clear" w:pos="708"/>
                <w:tab w:val="left" w:pos="0" w:leader="none"/>
              </w:tabs>
              <w:suppressAutoHyphens w:val="true"/>
              <w:outlineLvl w:val="2"/>
              <w:rPr>
                <w:rFonts w:ascii="Calibri" w:hAnsi="Calibri" w:eastAsia="Calibri"/>
              </w:rPr>
            </w:pPr>
            <w:r>
              <w:rPr>
                <w:rFonts w:eastAsia="Calibri" w:ascii="Calibri" w:hAnsi="Calibri"/>
              </w:rPr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numPr>
                <w:ilvl w:val="2"/>
                <w:numId w:val="1"/>
              </w:numPr>
              <w:tabs>
                <w:tab w:val="clear" w:pos="708"/>
                <w:tab w:val="left" w:pos="0" w:leader="none"/>
              </w:tabs>
              <w:suppressAutoHyphens w:val="true"/>
              <w:outlineLvl w:val="2"/>
              <w:rPr>
                <w:rFonts w:ascii="Calibri" w:hAnsi="Calibri" w:eastAsia="Calibri"/>
              </w:rPr>
            </w:pPr>
            <w:r>
              <w:rPr>
                <w:rFonts w:eastAsia="Calibri" w:ascii="Calibri" w:hAnsi="Calibri"/>
              </w:rPr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/>
            </w:pPr>
            <w:r>
              <w:rPr>
                <w:sz w:val="24"/>
                <w:lang w:val="en-US"/>
              </w:rPr>
              <w:t>11.</w:t>
            </w:r>
          </w:p>
        </w:tc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90" w:hanging="0"/>
              <w:rPr/>
            </w:pPr>
            <w:r>
              <w:rPr>
                <w:sz w:val="24"/>
                <w:lang w:val="en-US"/>
              </w:rPr>
              <w:t>11.1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происхождению поставляемой продукции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Поставляемая продукция должна быть российского происхождения – должна быть включена в реестры, предусмотренные пунктом 2 постановления Правительства Российской Федерации «О минимальной доле закупок товаров российского происхождения» от 03 декабря 2020 г. № 2013, а именно: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</w:rPr>
              <w:t xml:space="preserve"> </w:t>
            </w:r>
            <w:r>
              <w:rPr>
                <w:rFonts w:eastAsia="Times New Roman" w:ascii="Times New Roman" w:hAnsi="Times New Roman"/>
                <w:sz w:val="24"/>
                <w:szCs w:val="24"/>
              </w:rPr>
              <w:t>1) реестр промышленной продукции, произведенной на территории Российской Федерации;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ascii="Times New Roman" w:hAnsi="Times New Roman"/>
                <w:sz w:val="24"/>
                <w:szCs w:val="24"/>
              </w:rPr>
              <w:t>2)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Федерации;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ascii="Times New Roman" w:hAnsi="Times New Roman"/>
                <w:sz w:val="24"/>
                <w:szCs w:val="24"/>
              </w:rPr>
              <w:t>3) единый реестр российской радиоэлектронной продукции.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uppressAutoHyphens w:val="true"/>
              <w:jc w:val="center"/>
              <w:rPr/>
            </w:pPr>
            <w:bookmarkStart w:id="68" w:name="__RefHeading___Toc31149_2708575354"/>
            <w:bookmarkStart w:id="69" w:name="_Toc200032291"/>
            <w:bookmarkEnd w:id="68"/>
            <w:r>
              <w:rPr/>
              <w:t>Согласие с требованием</w:t>
            </w:r>
            <w:bookmarkEnd w:id="69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uppressAutoHyphens w:val="true"/>
              <w:rPr>
                <w:rFonts w:eastAsia="Calibri"/>
              </w:rPr>
            </w:pPr>
            <w:bookmarkStart w:id="70" w:name="_Toc200032292"/>
            <w:r>
              <w:rPr>
                <w:rFonts w:eastAsia="Calibri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  <w:bookmarkEnd w:id="70"/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uppressAutoHyphens w:val="true"/>
              <w:rPr>
                <w:rFonts w:ascii="Calibri" w:hAnsi="Calibri" w:eastAsia="Calibri"/>
              </w:rPr>
            </w:pPr>
            <w:r>
              <w:rPr>
                <w:rFonts w:eastAsia="Calibri" w:ascii="Calibri" w:hAnsi="Calibri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footerReference w:type="default" r:id="rId6"/>
          <w:footerReference w:type="first" r:id="rId7"/>
          <w:type w:val="nextPage"/>
          <w:pgSz w:orient="landscape" w:w="16838" w:h="11906"/>
          <w:pgMar w:left="1701" w:right="851" w:gutter="0" w:header="709" w:top="1134" w:footer="386" w:bottom="1134"/>
          <w:pgNumType w:fmt="decimal"/>
          <w:formProt w:val="false"/>
          <w:textDirection w:val="lrTb"/>
          <w:docGrid w:type="default" w:linePitch="600" w:charSpace="61440"/>
        </w:sectPr>
      </w:pPr>
    </w:p>
    <w:p>
      <w:pPr>
        <w:pStyle w:val="14"/>
        <w:numPr>
          <w:ilvl w:val="0"/>
          <w:numId w:val="32"/>
        </w:numPr>
        <w:tabs>
          <w:tab w:val="clear" w:pos="360"/>
          <w:tab w:val="clear" w:pos="900"/>
          <w:tab w:val="left" w:pos="-5508" w:leader="none"/>
        </w:tabs>
        <w:spacing w:before="240" w:after="0"/>
        <w:jc w:val="center"/>
        <w:outlineLvl w:val="0"/>
        <w:rPr/>
      </w:pPr>
      <w:bookmarkStart w:id="71" w:name="_Toc135142152"/>
      <w:bookmarkStart w:id="72" w:name="_Toc179983665"/>
      <w:bookmarkStart w:id="73" w:name="_Toc200032293"/>
      <w:bookmarkStart w:id="74" w:name="_Toc235105309"/>
      <w:r>
        <w:rPr/>
        <w:t>Требования к документации по ценообразованию на этапе закупки</w:t>
      </w:r>
      <w:bookmarkEnd w:id="71"/>
      <w:bookmarkEnd w:id="72"/>
      <w:bookmarkEnd w:id="73"/>
      <w:bookmarkEnd w:id="74"/>
    </w:p>
    <w:p>
      <w:pPr>
        <w:pStyle w:val="14"/>
        <w:tabs>
          <w:tab w:val="clear" w:pos="360"/>
          <w:tab w:val="clear" w:pos="900"/>
          <w:tab w:val="left" w:pos="1134" w:leader="none"/>
        </w:tabs>
        <w:spacing w:before="240" w:after="0"/>
        <w:ind w:left="567" w:firstLine="567"/>
        <w:rPr/>
      </w:pPr>
      <w:r>
        <w:rPr>
          <w:b w:val="false"/>
        </w:rPr>
        <w:t>3.1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14"/>
        <w:tabs>
          <w:tab w:val="clear" w:pos="360"/>
          <w:tab w:val="clear" w:pos="900"/>
          <w:tab w:val="left" w:pos="1134" w:leader="none"/>
        </w:tabs>
        <w:spacing w:before="240" w:after="0"/>
        <w:ind w:left="567" w:firstLine="567"/>
        <w:rPr>
          <w:b w:val="false"/>
        </w:rPr>
      </w:pPr>
      <w:r>
        <w:rPr>
          <w:b w:val="false"/>
        </w:rPr>
        <w:t>3.2.</w:t>
      </w:r>
      <w:r>
        <w:rPr>
          <w:rFonts w:eastAsia="Times New Roman"/>
          <w:b w:val="false"/>
          <w:color w:val="000000"/>
          <w:sz w:val="24"/>
          <w:szCs w:val="24"/>
        </w:rPr>
        <w:t xml:space="preserve"> </w:t>
      </w:r>
      <w:r>
        <w:rPr>
          <w:b w:val="false"/>
        </w:rPr>
        <w:t>Дополнительные документы по ценообразованию в состав заявки не включаются.</w:t>
      </w:r>
    </w:p>
    <w:p>
      <w:pPr>
        <w:pStyle w:val="14"/>
        <w:tabs>
          <w:tab w:val="clear" w:pos="360"/>
          <w:tab w:val="clear" w:pos="900"/>
          <w:tab w:val="left" w:pos="1134" w:leader="none"/>
        </w:tabs>
        <w:spacing w:before="240" w:after="0"/>
        <w:ind w:left="567" w:firstLine="567"/>
        <w:rPr>
          <w:b w:val="false"/>
        </w:rPr>
      </w:pPr>
      <w:r>
        <w:rPr>
          <w:b w:val="false"/>
        </w:rPr>
        <w:t>3.3 Стоимость за единицу продукции (товара) должна включать в себя транспортировку товара до места поставки, погрузку, подлежащие уплате налоги, сборы и пошлины, и прочие затраты, и расходы поставщика, связанные с поставкой товара, предусмотренные Проектом договора.</w:t>
      </w:r>
    </w:p>
    <w:p>
      <w:pPr>
        <w:pStyle w:val="14"/>
        <w:tabs>
          <w:tab w:val="clear" w:pos="360"/>
          <w:tab w:val="clear" w:pos="900"/>
          <w:tab w:val="left" w:pos="1134" w:leader="none"/>
        </w:tabs>
        <w:spacing w:before="240" w:after="0"/>
        <w:ind w:left="567" w:firstLine="567"/>
        <w:rPr>
          <w:b w:val="false"/>
        </w:rPr>
      </w:pPr>
      <w:r>
        <w:rPr>
          <w:b w:val="false"/>
        </w:rPr>
      </w:r>
    </w:p>
    <w:p>
      <w:pPr>
        <w:pStyle w:val="14"/>
        <w:tabs>
          <w:tab w:val="clear" w:pos="360"/>
          <w:tab w:val="clear" w:pos="900"/>
          <w:tab w:val="left" w:pos="1134" w:leader="none"/>
        </w:tabs>
        <w:spacing w:before="240" w:after="0"/>
        <w:ind w:left="567" w:firstLine="567"/>
        <w:rPr>
          <w:b w:val="false"/>
        </w:rPr>
      </w:pPr>
      <w:r>
        <w:rPr>
          <w:b w:val="false"/>
        </w:rPr>
      </w:r>
    </w:p>
    <w:p>
      <w:pPr>
        <w:pStyle w:val="Normal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26"/>
        <w:numPr>
          <w:ilvl w:val="0"/>
          <w:numId w:val="0"/>
        </w:numPr>
        <w:tabs>
          <w:tab w:val="clear" w:pos="-2115"/>
          <w:tab w:val="clear" w:pos="-1575"/>
          <w:tab w:val="left" w:pos="360" w:leader="none"/>
          <w:tab w:val="left" w:pos="900" w:leader="none"/>
        </w:tabs>
        <w:ind w:left="-121" w:hanging="495"/>
        <w:rPr/>
      </w:pPr>
      <w:r>
        <w:rPr/>
      </w:r>
    </w:p>
    <w:sectPr>
      <w:headerReference w:type="default" r:id="rId8"/>
      <w:headerReference w:type="first" r:id="rId9"/>
      <w:footerReference w:type="default" r:id="rId10"/>
      <w:footerReference w:type="first" r:id="rId11"/>
      <w:type w:val="nextPage"/>
      <w:pgSz w:w="11906" w:h="16838"/>
      <w:pgMar w:left="1134" w:right="849" w:gutter="0" w:header="709" w:top="851" w:footer="386" w:bottom="1701"/>
      <w:pgNumType w:fmt="decimal"/>
      <w:formProt w:val="false"/>
      <w:textDirection w:val="lrTb"/>
      <w:docGrid w:type="default" w:linePitch="600" w:charSpace="614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Sylfaen">
    <w:charset w:val="01"/>
    <w:family w:val="roman"/>
    <w:pitch w:val="variable"/>
  </w:font>
  <w:font w:name="Tahoma">
    <w:charset w:val="01"/>
    <w:family w:val="roman"/>
    <w:pitch w:val="variable"/>
  </w:font>
  <w:font w:name="Arial Narrow">
    <w:charset w:val="01"/>
    <w:family w:val="roman"/>
    <w:pitch w:val="variable"/>
  </w:font>
  <w:font w:name="Courier New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Symbol">
    <w:charset w:val="01"/>
    <w:family w:val="roman"/>
    <w:pitch w:val="variable"/>
  </w:font>
  <w:font w:name="Wingdings">
    <w:charset w:val="01"/>
    <w:family w:val="roman"/>
    <w:pitch w:val="variable"/>
  </w:font>
  <w:font w:name="PT Sans">
    <w:charset w:val="01"/>
    <w:family w:val="roman"/>
    <w:pitch w:val="variable"/>
  </w:font>
  <w:font w:name="Garamond">
    <w:charset w:val="01"/>
    <w:family w:val="roman"/>
    <w:pitch w:val="variable"/>
  </w:font>
  <w:font w:name="ISOCPEUR">
    <w:charset w:val="01"/>
    <w:family w:val="roman"/>
    <w:pitch w:val="variable"/>
  </w:font>
  <w:font w:name="Verdana">
    <w:charset w:val="01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double" w:sz="12" w:space="1" w:color="622423"/>
      </w:pBdr>
      <w:tabs>
        <w:tab w:val="center" w:pos="4536" w:leader="none"/>
        <w:tab w:val="right" w:pos="9072" w:leader="none"/>
        <w:tab w:val="right" w:pos="9354" w:leader="none"/>
      </w:tabs>
      <w:rPr/>
    </w:pPr>
    <w:r>
      <w:rPr>
        <w:rFonts w:ascii="Cambria" w:hAnsi="Cambria"/>
        <w:i/>
      </w:rPr>
      <w:t>Технические требования. Поставка серверного оборудования системы автоматической пожарной сигнализации и системы оповещения и управления эвакуацией Чебоксарской ГЭС</w:t>
    </w:r>
    <w:r>
      <w:rPr>
        <w:rFonts w:eastAsia="Times New Roman" w:ascii="Cambria" w:hAnsi="Cambria"/>
        <w:i/>
        <w:color w:val="000000"/>
      </w:rPr>
      <w:t xml:space="preserve"> </w:t>
    </w:r>
    <w:r>
      <w:rPr>
        <w:rFonts w:ascii="Cambria" w:hAnsi="Cambria"/>
        <w:i/>
      </w:rPr>
      <w:t>(очередь 1)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double" w:sz="12" w:space="1" w:color="622423"/>
      </w:pBdr>
      <w:tabs>
        <w:tab w:val="center" w:pos="4536" w:leader="none"/>
        <w:tab w:val="right" w:pos="9072" w:leader="none"/>
        <w:tab w:val="right" w:pos="9354" w:leader="none"/>
      </w:tabs>
      <w:rPr/>
    </w:pPr>
    <w:r>
      <w:rPr>
        <w:rFonts w:ascii="Cambria" w:hAnsi="Cambria"/>
        <w:i/>
      </w:rPr>
      <w:t>Технические требования. Поставка серверного оборудования системы автоматической пожарной сигнализации и системы оповещения и управления эвакуацией Чебоксарской ГЭС</w:t>
    </w:r>
    <w:r>
      <w:rPr>
        <w:rFonts w:eastAsia="Times New Roman" w:ascii="Cambria" w:hAnsi="Cambria"/>
        <w:i/>
        <w:color w:val="000000"/>
      </w:rPr>
      <w:t xml:space="preserve"> </w:t>
    </w:r>
    <w:r>
      <w:rPr>
        <w:rFonts w:ascii="Cambria" w:hAnsi="Cambria"/>
        <w:i/>
      </w:rPr>
      <w:t>(очередь 1)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double" w:sz="12" w:space="1" w:color="622423"/>
      </w:pBdr>
      <w:tabs>
        <w:tab w:val="clear" w:pos="4536"/>
        <w:tab w:val="clear" w:pos="9072"/>
        <w:tab w:val="right" w:pos="9354" w:leader="none"/>
      </w:tabs>
      <w:rPr>
        <w:rFonts w:ascii="Cambria" w:hAnsi="Cambria"/>
        <w:i/>
        <w:i/>
        <w:iCs/>
      </w:rPr>
    </w:pPr>
    <w:r>
      <w:rPr>
        <w:rFonts w:ascii="Cambria" w:hAnsi="Cambria"/>
        <w:i/>
        <w:iCs/>
      </w:rPr>
      <w:t>Технические требования. Поставка оборудования системы автоматической пожарной сигнализации и системы оповещения и управления эвакуацией Чебоксарской ГЭС» (очередь 1)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3">
    <w:lvl w:ilvl="0">
      <w:start w:val="1"/>
      <w:numFmt w:val="bullet"/>
      <w:lvlText w:val="→"/>
      <w:lvlJc w:val="left"/>
      <w:pPr>
        <w:tabs>
          <w:tab w:val="num" w:pos="0"/>
        </w:tabs>
        <w:ind w:left="880" w:hanging="34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0"/>
        </w:tabs>
        <w:ind w:left="183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56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16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76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96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1.%1."/>
      <w:lvlJc w:val="left"/>
      <w:pPr>
        <w:tabs>
          <w:tab w:val="num" w:pos="0"/>
        </w:tabs>
        <w:ind w:left="495" w:hanging="495"/>
      </w:pPr>
      <w:rPr>
        <w:sz w:val="24"/>
        <w:i w:val="false"/>
        <w:b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57" w:hanging="547"/>
      </w:pPr>
      <w:rPr>
        <w:sz w:val="24"/>
        <w:b w:val="false"/>
        <w:szCs w:val="24"/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937" w:hanging="227"/>
      </w:pPr>
      <w:rPr>
        <w:sz w:val="24"/>
        <w:i w:val="false"/>
        <w:b w:val="false"/>
        <w:szCs w:val="24"/>
        <w:rFonts w:ascii="Times New Roman" w:hAnsi="Times New Roman" w:eastAsia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/>
      </w:rPr>
    </w:lvl>
  </w:abstractNum>
  <w:abstractNum w:abstractNumId="6">
    <w:lvl w:ilvl="0">
      <w:start w:val="1"/>
      <w:numFmt w:val="bullet"/>
      <w:lvlText w:val="–"/>
      <w:lvlJc w:val="left"/>
      <w:pPr>
        <w:tabs>
          <w:tab w:val="num" w:pos="0"/>
        </w:tabs>
        <w:ind w:left="1003" w:hanging="283"/>
      </w:pPr>
      <w:rPr>
        <w:rFonts w:ascii="Times New Roman" w:hAnsi="Times New Roman" w:cs="Times New Roman" w:hint="default"/>
        <w:sz w:val="28"/>
        <w:i w:val="false"/>
        <w:b w:val="fals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sz w:val="28"/>
        <w:i w:val="false"/>
        <w:b w:val="false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513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673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833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553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/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12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  <w:rPr>
        <w:i w:val="false"/>
        <w:rFonts w:ascii="Times New Roman" w:hAnsi="Times New Roman" w:eastAsia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720" w:hanging="720"/>
      </w:pPr>
      <w:rPr>
        <w:rFonts w:ascii="Times New Roman" w:hAnsi="Times New Roman" w:eastAsia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/>
    </w:lvl>
  </w:abstractNum>
  <w:abstractNum w:abstractNumId="15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  <w:rPr>
        <w:i w:val="false"/>
        <w:rFonts w:ascii="Times New Roman" w:hAnsi="Times New Roman" w:eastAsia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720" w:hanging="720"/>
      </w:pPr>
      <w:rPr>
        <w:b w:val="false"/>
        <w:rFonts w:ascii="Times New Roman" w:hAnsi="Times New Roman" w:eastAsia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/>
    </w:lvl>
  </w:abstractNum>
  <w:abstractNum w:abstractNumId="16">
    <w:lvl w:ilvl="0">
      <w:start w:val="1"/>
      <w:numFmt w:val="decimal"/>
      <w:suff w:val="space"/>
      <w:lvlText w:val="%1"/>
      <w:lvlJc w:val="left"/>
      <w:pPr>
        <w:tabs>
          <w:tab w:val="num" w:pos="0"/>
        </w:tabs>
        <w:ind w:left="360" w:hanging="360"/>
      </w:pPr>
      <w:rPr>
        <w:sz w:val="24"/>
        <w:b w:val="false"/>
        <w:szCs w:val="24"/>
        <w:bCs w:val="false"/>
      </w:r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suff w:val="space"/>
      <w:lvlText w:val="%3."/>
      <w:lvlJc w:val="left"/>
      <w:pPr>
        <w:tabs>
          <w:tab w:val="num" w:pos="0"/>
        </w:tabs>
        <w:ind w:left="645" w:hanging="504"/>
      </w:pPr>
      <w:rPr>
        <w:sz w:val="24"/>
        <w:szCs w:val="24"/>
        <w:rFonts w:ascii="Times New Roman" w:hAnsi="Times New Roman" w:eastAsia="Calibri" w:cs="Times New Roman"/>
      </w:rPr>
    </w:lvl>
    <w:lvl w:ilvl="3">
      <w:start w:val="1"/>
      <w:numFmt w:val="decimal"/>
      <w:suff w:val="space"/>
      <w:lvlText w:val="%1.%2.%3.%4"/>
      <w:lvlJc w:val="left"/>
      <w:pPr>
        <w:tabs>
          <w:tab w:val="num" w:pos="0"/>
        </w:tabs>
        <w:ind w:left="1640" w:hanging="648"/>
      </w:pPr>
      <w:rPr/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2"/>
      <w:numFmt w:val="decimal"/>
      <w:lvlText w:val="%1.%2."/>
      <w:lvlJc w:val="left"/>
      <w:pPr>
        <w:tabs>
          <w:tab w:val="num" w:pos="0"/>
        </w:tabs>
        <w:ind w:left="12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4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6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5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8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000" w:hanging="180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1215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65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1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15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6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65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61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015" w:hanging="1800"/>
      </w:pPr>
      <w:rPr/>
    </w:lvl>
  </w:abstractNum>
  <w:abstractNum w:abstractNumId="19">
    <w:lvl w:ilvl="0">
      <w:start w:val="1"/>
      <w:numFmt w:val="decimal"/>
      <w:lvlText w:val="1.%1."/>
      <w:lvlJc w:val="left"/>
      <w:pPr>
        <w:tabs>
          <w:tab w:val="num" w:pos="0"/>
        </w:tabs>
        <w:ind w:left="495" w:hanging="495"/>
      </w:pPr>
      <w:rPr>
        <w:sz w:val="24"/>
        <w:i w:val="false"/>
        <w:b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57" w:hanging="547"/>
      </w:pPr>
      <w:rPr>
        <w:sz w:val="24"/>
        <w:b w:val="false"/>
        <w:szCs w:val="24"/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937" w:hanging="227"/>
      </w:pPr>
      <w:rPr>
        <w:sz w:val="24"/>
        <w:i w:val="false"/>
        <w:b w:val="false"/>
        <w:szCs w:val="24"/>
        <w:rFonts w:ascii="Times New Roman" w:hAnsi="Times New Roman" w:eastAsia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/>
      </w:rPr>
    </w:lvl>
  </w:abstractNum>
  <w:abstractNum w:abstractNumId="20">
    <w:lvl w:ilvl="0">
      <w:start w:val="1"/>
      <w:numFmt w:val="decimal"/>
      <w:lvlText w:val="1.%1."/>
      <w:lvlJc w:val="left"/>
      <w:pPr>
        <w:tabs>
          <w:tab w:val="num" w:pos="0"/>
        </w:tabs>
        <w:ind w:left="495" w:hanging="495"/>
      </w:pPr>
      <w:rPr>
        <w:sz w:val="24"/>
        <w:i w:val="false"/>
        <w:b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57" w:hanging="547"/>
      </w:pPr>
      <w:rPr>
        <w:sz w:val="24"/>
        <w:b w:val="false"/>
        <w:szCs w:val="24"/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937" w:hanging="227"/>
      </w:pPr>
      <w:rPr>
        <w:sz w:val="24"/>
        <w:i w:val="false"/>
        <w:b w:val="false"/>
        <w:szCs w:val="24"/>
        <w:rFonts w:ascii="Times New Roman" w:hAnsi="Times New Roman" w:eastAsia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/>
      </w:rPr>
    </w:lvl>
  </w:abstractNum>
  <w:abstractNum w:abstractNumId="21">
    <w:lvl w:ilvl="0">
      <w:start w:val="1"/>
      <w:numFmt w:val="decimal"/>
      <w:lvlText w:val="1.%1."/>
      <w:lvlJc w:val="left"/>
      <w:pPr>
        <w:tabs>
          <w:tab w:val="num" w:pos="0"/>
        </w:tabs>
        <w:ind w:left="495" w:hanging="495"/>
      </w:pPr>
      <w:rPr>
        <w:sz w:val="24"/>
        <w:i w:val="false"/>
        <w:b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57" w:hanging="547"/>
      </w:pPr>
      <w:rPr>
        <w:sz w:val="24"/>
        <w:b w:val="false"/>
        <w:szCs w:val="24"/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937" w:hanging="227"/>
      </w:pPr>
      <w:rPr>
        <w:sz w:val="24"/>
        <w:i w:val="false"/>
        <w:b w:val="false"/>
        <w:szCs w:val="24"/>
        <w:rFonts w:ascii="Times New Roman" w:hAnsi="Times New Roman" w:eastAsia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/>
      </w:rPr>
    </w:lvl>
  </w:abstractNum>
  <w:abstractNum w:abstractNumId="22">
    <w:lvl w:ilvl="0">
      <w:start w:val="1"/>
      <w:numFmt w:val="decimal"/>
      <w:lvlText w:val="1.%1."/>
      <w:lvlJc w:val="left"/>
      <w:pPr>
        <w:tabs>
          <w:tab w:val="num" w:pos="0"/>
        </w:tabs>
        <w:ind w:left="495" w:hanging="495"/>
      </w:pPr>
      <w:rPr>
        <w:sz w:val="24"/>
        <w:i w:val="false"/>
        <w:b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57" w:hanging="547"/>
      </w:pPr>
      <w:rPr>
        <w:sz w:val="24"/>
        <w:b w:val="false"/>
        <w:szCs w:val="24"/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937" w:hanging="227"/>
      </w:pPr>
      <w:rPr>
        <w:sz w:val="24"/>
        <w:i w:val="false"/>
        <w:b w:val="false"/>
        <w:szCs w:val="24"/>
        <w:rFonts w:ascii="Times New Roman" w:hAnsi="Times New Roman" w:eastAsia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/>
      </w:rPr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1215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65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1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15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6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65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61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015" w:hanging="180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1215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65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1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15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6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65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61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015" w:hanging="1800"/>
      </w:pPr>
      <w:rPr/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18"/>
    <w:lvlOverride w:ilvl="0">
      <w:startOverride w:val="1"/>
    </w:lvlOverride>
  </w:num>
  <w:num w:numId="27">
    <w:abstractNumId w:val="19"/>
    <w:lvlOverride w:ilvl="0">
      <w:startOverride w:val="1"/>
    </w:lvlOverride>
  </w:num>
  <w:num w:numId="28">
    <w:abstractNumId w:val="19"/>
  </w:num>
  <w:num w:numId="29">
    <w:abstractNumId w:val="19"/>
  </w:num>
  <w:num w:numId="30">
    <w:abstractNumId w:val="19"/>
  </w:num>
  <w:num w:numId="31">
    <w:abstractNumId w:val="18"/>
  </w:num>
  <w:num w:numId="32">
    <w:abstractNumId w:val="18"/>
  </w:num>
</w:numbering>
</file>

<file path=word/settings.xml><?xml version="1.0" encoding="utf-8"?>
<w:settings xmlns:w="http://schemas.openxmlformats.org/wordprocessingml/2006/main">
  <w:zoom w:percent="120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  <w:documentProtection w:edit="trackedChanges" w:enforcement="1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imes New Roman"/>
      <w:color w:val="000000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BodyText"/>
    <w:autoRedefine/>
    <w:qFormat/>
    <w:pPr>
      <w:keepNext w:val="true"/>
      <w:keepLines/>
      <w:numPr>
        <w:ilvl w:val="0"/>
        <w:numId w:val="1"/>
      </w:numPr>
      <w:suppressAutoHyphens w:val="false"/>
      <w:spacing w:before="240" w:after="0"/>
      <w:ind w:left="142" w:hanging="0"/>
      <w:jc w:val="right"/>
      <w:outlineLvl w:val="0"/>
    </w:pPr>
    <w:rPr>
      <w:rFonts w:ascii="Times New Roman" w:hAnsi="Times New Roman" w:eastAsia="Times New Roman"/>
      <w:bCs/>
      <w:sz w:val="24"/>
      <w:szCs w:val="24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uppressAutoHyphens w:val="false"/>
      <w:spacing w:before="200" w:after="0"/>
      <w:outlineLvl w:val="1"/>
    </w:pPr>
    <w:rPr>
      <w:rFonts w:ascii="Cambria" w:hAnsi="Cambria" w:eastAsia="Times New Roman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uppressAutoHyphens w:val="false"/>
      <w:spacing w:before="200" w:after="0"/>
      <w:outlineLvl w:val="2"/>
    </w:pPr>
    <w:rPr>
      <w:rFonts w:ascii="Cambria" w:hAnsi="Cambria" w:eastAsia="Times New Roman" w:cs="Cambria"/>
      <w:b/>
      <w:bCs/>
      <w:color w:val="4F81BD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tabs>
        <w:tab w:val="clear" w:pos="708"/>
        <w:tab w:val="left" w:pos="3888" w:leader="none"/>
      </w:tabs>
      <w:suppressAutoHyphens w:val="false"/>
      <w:spacing w:before="120" w:after="60"/>
      <w:ind w:left="1728" w:hanging="648"/>
      <w:outlineLvl w:val="3"/>
    </w:pPr>
    <w:rPr>
      <w:rFonts w:ascii="Times New Roman" w:hAnsi="Times New Roman" w:eastAsia="Times New Roman"/>
      <w:b/>
      <w:bCs/>
      <w:sz w:val="26"/>
      <w:szCs w:val="28"/>
    </w:rPr>
  </w:style>
  <w:style w:type="paragraph" w:styleId="Heading5">
    <w:name w:val="Heading 5"/>
    <w:next w:val="Normal"/>
    <w:qFormat/>
    <w:pPr>
      <w:keepNext w:val="true"/>
      <w:widowControl w:val="false"/>
      <w:numPr>
        <w:ilvl w:val="4"/>
        <w:numId w:val="1"/>
      </w:numPr>
      <w:tabs>
        <w:tab w:val="clear" w:pos="708"/>
        <w:tab w:val="left" w:pos="5208" w:leader="none"/>
      </w:tabs>
      <w:suppressAutoHyphens w:val="true"/>
      <w:bidi w:val="0"/>
      <w:spacing w:lineRule="auto" w:line="360" w:before="280" w:after="0"/>
      <w:ind w:left="2460" w:hanging="792"/>
      <w:jc w:val="left"/>
      <w:textAlignment w:val="baseline"/>
      <w:outlineLvl w:val="4"/>
    </w:pPr>
    <w:rPr>
      <w:rFonts w:ascii="Times New Roman" w:hAnsi="Times New Roman" w:eastAsia="Times New Roman" w:cs="Times New Roman"/>
      <w:b/>
      <w:bCs/>
      <w:color w:val="000000"/>
      <w:spacing w:val="-16"/>
      <w:kern w:val="0"/>
      <w:sz w:val="24"/>
      <w:szCs w:val="34"/>
      <w:lang w:val="ru-RU" w:eastAsia="ru-RU" w:bidi="ar-SA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uppressAutoHyphens w:val="false"/>
      <w:spacing w:before="200" w:after="0"/>
      <w:outlineLvl w:val="5"/>
    </w:pPr>
    <w:rPr>
      <w:rFonts w:ascii="Cambria" w:hAnsi="Cambria" w:eastAsia="Times New Roman" w:cs="Cambria"/>
      <w:i/>
      <w:iCs/>
      <w:color w:val="243F60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uppressAutoHyphens w:val="false"/>
      <w:spacing w:before="200" w:after="0"/>
      <w:outlineLvl w:val="6"/>
    </w:pPr>
    <w:rPr>
      <w:rFonts w:ascii="Cambria" w:hAnsi="Cambria" w:eastAsia="Times New Roman" w:cs="Cambria"/>
      <w:i/>
      <w:iCs/>
      <w:color w:val="404040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uppressAutoHyphens w:val="false"/>
      <w:spacing w:before="200" w:after="0"/>
      <w:outlineLvl w:val="7"/>
    </w:pPr>
    <w:rPr>
      <w:rFonts w:ascii="Cambria" w:hAnsi="Cambria" w:eastAsia="Times New Roman" w:cs="Cambria"/>
      <w:color w:val="4F81BD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uppressAutoHyphens w:val="false"/>
      <w:spacing w:before="240" w:after="60"/>
      <w:outlineLvl w:val="8"/>
    </w:pPr>
    <w:rPr>
      <w:rFonts w:ascii="Arial" w:hAnsi="Arial" w:eastAsia="Times New Roman" w:cs="Ari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qFormat/>
    <w:rPr>
      <w:rFonts w:ascii="Times New Roman" w:hAnsi="Times New Roman" w:eastAsia="Times New Roman" w:cs="Times New Roman"/>
      <w:bCs/>
      <w:sz w:val="24"/>
      <w:szCs w:val="24"/>
    </w:rPr>
  </w:style>
  <w:style w:type="character" w:styleId="2" w:customStyle="1">
    <w:name w:val="Заголовок 2 Знак"/>
    <w:qFormat/>
    <w:rPr>
      <w:rFonts w:ascii="Cambria" w:hAnsi="Cambria" w:eastAsia="Times New Roman" w:cs="Cambria"/>
      <w:b/>
      <w:bCs/>
      <w:color w:val="4F81BD"/>
      <w:sz w:val="26"/>
      <w:szCs w:val="26"/>
    </w:rPr>
  </w:style>
  <w:style w:type="character" w:styleId="3" w:customStyle="1">
    <w:name w:val="Заголовок 3 Знак"/>
    <w:qFormat/>
    <w:rPr>
      <w:rFonts w:ascii="Cambria" w:hAnsi="Cambria" w:eastAsia="Times New Roman" w:cs="Cambria"/>
      <w:b/>
      <w:bCs/>
      <w:color w:val="4F81BD"/>
    </w:rPr>
  </w:style>
  <w:style w:type="character" w:styleId="Style" w:customStyle="1">
    <w:name w:val="Основной текст Знак"/>
    <w:qFormat/>
    <w:rPr>
      <w:rFonts w:ascii="Times New Roman" w:hAnsi="Times New Roman" w:eastAsia="Times New Roman" w:cs="Times New Roman"/>
    </w:rPr>
  </w:style>
  <w:style w:type="character" w:styleId="31" w:customStyle="1">
    <w:name w:val="Основной текст с отступом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Style1" w:customStyle="1">
    <w:name w:val="Список маркированный Знак Знак"/>
    <w:qFormat/>
    <w:rPr>
      <w:rFonts w:ascii="Sylfaen" w:hAnsi="Sylfaen" w:eastAsia="Times New Roman" w:cs="Sylfaen"/>
      <w:sz w:val="28"/>
      <w:szCs w:val="24"/>
    </w:rPr>
  </w:style>
  <w:style w:type="character" w:styleId="Style2" w:customStyle="1">
    <w:name w:val="Текст сноски Знак"/>
    <w:qFormat/>
    <w:rPr>
      <w:rFonts w:ascii="Times New Roman" w:hAnsi="Times New Roman" w:eastAsia="Times New Roman" w:cs="Times New Roman"/>
    </w:rPr>
  </w:style>
  <w:style w:type="character" w:styleId="Style3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4" w:customStyle="1">
    <w:name w:val="Нижний колонтитул Знак"/>
    <w:qFormat/>
    <w:rPr>
      <w:rFonts w:ascii="Times New Roman" w:hAnsi="Times New Roman" w:eastAsia="Times New Roman" w:cs="Times New Roman"/>
    </w:rPr>
  </w:style>
  <w:style w:type="character" w:styleId="Pagenumber">
    <w:name w:val="page number"/>
    <w:qFormat/>
    <w:rPr/>
  </w:style>
  <w:style w:type="character" w:styleId="Hyperlink">
    <w:name w:val="Hyperlink"/>
    <w:basedOn w:val="DefaultParagraphFont"/>
    <w:uiPriority w:val="99"/>
    <w:qFormat/>
    <w:rPr>
      <w:color w:val="0563C1"/>
      <w:u w:val="single"/>
    </w:rPr>
  </w:style>
  <w:style w:type="character" w:styleId="Style5" w:customStyle="1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qFormat/>
    <w:rPr>
      <w:sz w:val="16"/>
      <w:szCs w:val="16"/>
    </w:rPr>
  </w:style>
  <w:style w:type="character" w:styleId="Style6" w:customStyle="1">
    <w:name w:val="Текст примечания Знак"/>
    <w:uiPriority w:val="99"/>
    <w:qFormat/>
    <w:rPr>
      <w:rFonts w:ascii="Times New Roman" w:hAnsi="Times New Roman" w:eastAsia="Times New Roman" w:cs="Times New Roman"/>
    </w:rPr>
  </w:style>
  <w:style w:type="character" w:styleId="Style7" w:customStyle="1">
    <w:name w:val="Тема примечания Знак"/>
    <w:qFormat/>
    <w:rPr>
      <w:rFonts w:ascii="Times New Roman" w:hAnsi="Times New Roman" w:eastAsia="Times New Roman" w:cs="Times New Roman"/>
      <w:b/>
      <w:bCs/>
    </w:rPr>
  </w:style>
  <w:style w:type="character" w:styleId="Style8" w:customStyle="1">
    <w:name w:val="Гипертекстовая ссылка"/>
    <w:qFormat/>
    <w:rPr>
      <w:b w:val="false"/>
      <w:bCs w:val="false"/>
      <w:color w:val="008000"/>
      <w:sz w:val="28"/>
      <w:szCs w:val="28"/>
    </w:rPr>
  </w:style>
  <w:style w:type="character" w:styleId="Style9" w:customStyle="1">
    <w:name w:val="Подзаголовок Знак"/>
    <w:qFormat/>
    <w:rPr>
      <w:rFonts w:ascii="Arial" w:hAnsi="Arial" w:eastAsia="Arial" w:cs="Arial"/>
      <w:sz w:val="24"/>
      <w:szCs w:val="24"/>
    </w:rPr>
  </w:style>
  <w:style w:type="character" w:styleId="8" w:customStyle="1">
    <w:name w:val="Знак Знак8"/>
    <w:qFormat/>
    <w:rPr>
      <w:rFonts w:ascii="Cambria" w:hAnsi="Cambria" w:eastAsia="Cambria" w:cs="Cambria"/>
      <w:b/>
      <w:bCs/>
      <w:color w:val="4F81BD"/>
      <w:lang w:val="ru-RU" w:eastAsia="ru-RU" w:bidi="ar-SA"/>
    </w:rPr>
  </w:style>
  <w:style w:type="character" w:styleId="5" w:customStyle="1">
    <w:name w:val="Знак Знак5"/>
    <w:qFormat/>
    <w:rPr>
      <w:rFonts w:ascii="Calibri" w:hAnsi="Calibri" w:eastAsia="Calibri" w:cs="Calibri"/>
      <w:lang w:val="ru-RU" w:eastAsia="ru-RU" w:bidi="ar-SA"/>
    </w:rPr>
  </w:style>
  <w:style w:type="character" w:styleId="21" w:customStyle="1">
    <w:name w:val="Знак Знак2"/>
    <w:qFormat/>
    <w:rPr>
      <w:lang w:val="ru-RU" w:eastAsia="ru-RU" w:bidi="ar-SA"/>
    </w:rPr>
  </w:style>
  <w:style w:type="character" w:styleId="7" w:customStyle="1">
    <w:name w:val="Знак Знак7"/>
    <w:qFormat/>
    <w:rPr>
      <w:lang w:val="ru-RU" w:eastAsia="ru-RU" w:bidi="ar-SA"/>
    </w:rPr>
  </w:style>
  <w:style w:type="character" w:styleId="6" w:customStyle="1">
    <w:name w:val="Знак Знак6"/>
    <w:qFormat/>
    <w:rPr>
      <w:sz w:val="16"/>
      <w:szCs w:val="16"/>
      <w:lang w:val="ru-RU" w:eastAsia="ru-RU" w:bidi="ar-SA"/>
    </w:rPr>
  </w:style>
  <w:style w:type="character" w:styleId="11" w:customStyle="1">
    <w:name w:val="Просмотренная гиперссылка1"/>
    <w:qFormat/>
    <w:rPr>
      <w:color w:val="800080"/>
      <w:u w:val="single"/>
    </w:rPr>
  </w:style>
  <w:style w:type="character" w:styleId="Style10" w:customStyle="1">
    <w:name w:val="Основной текст с отступом Знак"/>
    <w:qFormat/>
    <w:rPr>
      <w:sz w:val="22"/>
      <w:szCs w:val="22"/>
      <w:lang w:eastAsia="en-US"/>
    </w:rPr>
  </w:style>
  <w:style w:type="character" w:styleId="22" w:customStyle="1">
    <w:name w:val="Основной текст с отступом 2 Знак"/>
    <w:qFormat/>
    <w:rPr>
      <w:sz w:val="22"/>
      <w:szCs w:val="22"/>
      <w:lang w:eastAsia="en-US"/>
    </w:rPr>
  </w:style>
  <w:style w:type="character" w:styleId="4" w:customStyle="1">
    <w:name w:val="Заголовок 4 Знак"/>
    <w:qFormat/>
    <w:rPr>
      <w:rFonts w:ascii="Times New Roman" w:hAnsi="Times New Roman" w:eastAsia="Times New Roman" w:cs="Times New Roman"/>
      <w:b/>
      <w:bCs/>
      <w:sz w:val="26"/>
      <w:szCs w:val="28"/>
    </w:rPr>
  </w:style>
  <w:style w:type="character" w:styleId="51" w:customStyle="1">
    <w:name w:val="Заголовок 5 Знак"/>
    <w:qFormat/>
    <w:rPr>
      <w:rFonts w:ascii="Times New Roman" w:hAnsi="Times New Roman" w:eastAsia="Times New Roman" w:cs="Times New Roman"/>
      <w:b/>
      <w:bCs/>
      <w:color w:val="000000"/>
      <w:spacing w:val="-16"/>
      <w:sz w:val="24"/>
      <w:szCs w:val="34"/>
      <w:shd w:fill="FFFFFF" w:val="clear"/>
    </w:rPr>
  </w:style>
  <w:style w:type="character" w:styleId="111" w:customStyle="1">
    <w:name w:val="Заголовок 1 Знак1"/>
    <w:qFormat/>
    <w:rPr>
      <w:rFonts w:ascii="Cambria" w:hAnsi="Cambria" w:eastAsia="Times New Roman" w:cs="Times New Roman"/>
      <w:b/>
      <w:bCs/>
      <w:color w:val="365F91"/>
      <w:sz w:val="28"/>
      <w:szCs w:val="28"/>
      <w:lang w:eastAsia="en-US"/>
    </w:rPr>
  </w:style>
  <w:style w:type="character" w:styleId="211" w:customStyle="1">
    <w:name w:val="Заголовок 2 Знак1"/>
    <w:qFormat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character" w:styleId="Style11" w:customStyle="1">
    <w:name w:val="Верхний колонтитул Знак"/>
    <w:qFormat/>
    <w:rPr>
      <w:sz w:val="22"/>
      <w:szCs w:val="22"/>
      <w:lang w:eastAsia="en-US"/>
    </w:rPr>
  </w:style>
  <w:style w:type="character" w:styleId="12" w:customStyle="1">
    <w:name w:val="Стиль1 Знак"/>
    <w:qFormat/>
    <w:rPr>
      <w:rFonts w:ascii="Times New Roman" w:hAnsi="Times New Roman" w:eastAsia="Times New Roman" w:cs="Times New Roman"/>
      <w:b/>
      <w:sz w:val="24"/>
      <w:szCs w:val="24"/>
    </w:rPr>
  </w:style>
  <w:style w:type="character" w:styleId="Style12" w:customStyle="1">
    <w:name w:val="Основной текст_"/>
    <w:qFormat/>
    <w:rPr>
      <w:rFonts w:ascii="Arial Narrow" w:hAnsi="Arial Narrow" w:eastAsia="Arial Narrow" w:cs="Arial Narrow"/>
      <w:spacing w:val="10"/>
      <w:shd w:fill="FFFFFF" w:val="clear"/>
    </w:rPr>
  </w:style>
  <w:style w:type="character" w:styleId="0pt" w:customStyle="1">
    <w:name w:val="Основной текст + Интервал 0 pt"/>
    <w:qFormat/>
    <w:rPr>
      <w:rFonts w:ascii="Arial Narrow" w:hAnsi="Arial Narrow" w:eastAsia="Arial Narrow" w:cs="Arial Narrow"/>
      <w:b w:val="false"/>
      <w:bCs w:val="false"/>
      <w:i w:val="false"/>
      <w:iCs w:val="false"/>
      <w:caps w:val="false"/>
      <w:smallCaps w:val="false"/>
      <w:strike w:val="false"/>
      <w:dstrike w:val="false"/>
      <w:spacing w:val="0"/>
      <w:w w:val="100"/>
      <w:sz w:val="22"/>
      <w:szCs w:val="22"/>
      <w:u w:val="none"/>
      <w:shd w:fill="FFFFFF" w:val="clear"/>
    </w:rPr>
  </w:style>
  <w:style w:type="character" w:styleId="10" w:customStyle="1">
    <w:name w:val="Основной текст + 10"/>
    <w:qFormat/>
    <w:rPr>
      <w:rFonts w:ascii="Arial Narrow" w:hAnsi="Arial Narrow" w:eastAsia="Arial Narrow" w:cs="Arial Narrow"/>
      <w:b w:val="false"/>
      <w:bCs w:val="false"/>
      <w:i w:val="false"/>
      <w:iCs w:val="false"/>
      <w:smallCaps/>
      <w:strike w:val="false"/>
      <w:dstrike w:val="false"/>
      <w:spacing w:val="0"/>
      <w:w w:val="100"/>
      <w:sz w:val="21"/>
      <w:szCs w:val="21"/>
      <w:u w:val="none"/>
      <w:shd w:fill="FFFFFF" w:val="clear"/>
    </w:rPr>
  </w:style>
  <w:style w:type="character" w:styleId="Style13" w:customStyle="1">
    <w:name w:val="Текст Знак"/>
    <w:qFormat/>
    <w:rPr>
      <w:sz w:val="22"/>
      <w:szCs w:val="21"/>
      <w:lang w:eastAsia="en-US"/>
    </w:rPr>
  </w:style>
  <w:style w:type="character" w:styleId="Style14" w:customStyle="1">
    <w:name w:val="Заголовок Знак"/>
    <w:qFormat/>
    <w:rPr>
      <w:rFonts w:ascii="Arial" w:hAnsi="Arial" w:eastAsia="Times New Roman" w:cs="Arial"/>
      <w:b/>
      <w:bCs/>
      <w:kern w:val="2"/>
      <w:sz w:val="32"/>
      <w:szCs w:val="32"/>
    </w:rPr>
  </w:style>
  <w:style w:type="character" w:styleId="61" w:customStyle="1">
    <w:name w:val="Заголовок 6 Знак"/>
    <w:qFormat/>
    <w:rPr>
      <w:rFonts w:ascii="Cambria" w:hAnsi="Cambria" w:eastAsia="Times New Roman" w:cs="Cambria"/>
      <w:i/>
      <w:iCs/>
      <w:color w:val="243F60"/>
    </w:rPr>
  </w:style>
  <w:style w:type="character" w:styleId="71" w:customStyle="1">
    <w:name w:val="Заголовок 7 Знак"/>
    <w:qFormat/>
    <w:rPr>
      <w:rFonts w:ascii="Cambria" w:hAnsi="Cambria" w:eastAsia="Times New Roman" w:cs="Cambria"/>
      <w:i/>
      <w:iCs/>
      <w:color w:val="404040"/>
    </w:rPr>
  </w:style>
  <w:style w:type="character" w:styleId="81" w:customStyle="1">
    <w:name w:val="Заголовок 8 Знак"/>
    <w:qFormat/>
    <w:rPr>
      <w:rFonts w:ascii="Cambria" w:hAnsi="Cambria" w:eastAsia="Times New Roman" w:cs="Cambria"/>
      <w:color w:val="4F81BD"/>
    </w:rPr>
  </w:style>
  <w:style w:type="character" w:styleId="9" w:customStyle="1">
    <w:name w:val="Заголовок 9 Знак"/>
    <w:qFormat/>
    <w:rPr>
      <w:rFonts w:ascii="Arial" w:hAnsi="Arial" w:eastAsia="Times New Roman" w:cs="Arial"/>
      <w:sz w:val="22"/>
      <w:szCs w:val="22"/>
    </w:rPr>
  </w:style>
  <w:style w:type="character" w:styleId="32" w:customStyle="1">
    <w:name w:val="Основной текст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23" w:customStyle="1">
    <w:name w:val="Основной текст 2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24" w:customStyle="1">
    <w:name w:val="Цитата 2 Знак"/>
    <w:qFormat/>
    <w:rPr>
      <w:i/>
      <w:iCs/>
      <w:color w:val="000000"/>
    </w:rPr>
  </w:style>
  <w:style w:type="character" w:styleId="Style15" w:customStyle="1">
    <w:name w:val="Выделенная цитата Знак"/>
    <w:qFormat/>
    <w:rPr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6" w:customStyle="1">
    <w:name w:val="Электронная подпись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13" w:customStyle="1">
    <w:name w:val="Подпункт Знак1"/>
    <w:qFormat/>
    <w:rPr>
      <w:rFonts w:ascii="Times New Roman" w:hAnsi="Times New Roman" w:eastAsia="Times New Roman" w:cs="Times New Roman"/>
      <w:sz w:val="28"/>
    </w:rPr>
  </w:style>
  <w:style w:type="character" w:styleId="Style17" w:customStyle="1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Style18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CharChar" w:customStyle="1">
    <w:name w:val="Обычный Char Char"/>
    <w:qFormat/>
    <w:rPr>
      <w:sz w:val="24"/>
      <w:szCs w:val="24"/>
    </w:rPr>
  </w:style>
  <w:style w:type="character" w:styleId="25" w:customStyle="1">
    <w:name w:val="Стиль2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9" w:customStyle="1">
    <w:name w:val="Абзац списка Знак"/>
    <w:qFormat/>
    <w:rPr>
      <w:rFonts w:ascii="Times New Roman" w:hAnsi="Times New Roman" w:eastAsia="Times New Roman" w:cs="Times New Roman"/>
    </w:rPr>
  </w:style>
  <w:style w:type="character" w:styleId="WW8Num4z6" w:customStyle="1">
    <w:name w:val="WW8Num4z6"/>
    <w:qFormat/>
    <w:rPr/>
  </w:style>
  <w:style w:type="character" w:styleId="HTML" w:customStyle="1">
    <w:name w:val="Стандартный HTML Знак"/>
    <w:qFormat/>
    <w:rPr>
      <w:rFonts w:ascii="Courier New" w:hAnsi="Courier New" w:eastAsia="Times New Roman" w:cs="Courier New"/>
    </w:rPr>
  </w:style>
  <w:style w:type="character" w:styleId="Style20" w:customStyle="1">
    <w:name w:val="комментарий"/>
    <w:qFormat/>
    <w:rPr>
      <w:b/>
      <w:i/>
      <w:shd w:fill="FFFF99" w:val="clear"/>
    </w:rPr>
  </w:style>
  <w:style w:type="character" w:styleId="Style21" w:customStyle="1">
    <w:name w:val="Ссылка указателя"/>
    <w:qFormat/>
    <w:rPr/>
  </w:style>
  <w:style w:type="character" w:styleId="Linenumber1">
    <w:name w:val="line number1"/>
    <w:qFormat/>
    <w:rPr/>
  </w:style>
  <w:style w:type="character" w:styleId="Style22" w:customStyle="1">
    <w:name w:val="Маркеры"/>
    <w:qFormat/>
    <w:rPr>
      <w:rFonts w:ascii="OpenSymbol" w:hAnsi="OpenSymbol" w:eastAsia="OpenSymbol" w:cs="OpenSymbol"/>
    </w:rPr>
  </w:style>
  <w:style w:type="character" w:styleId="WWCharLFO3LVL1" w:customStyle="1">
    <w:name w:val="WW_CharLFO3LVL1"/>
    <w:qFormat/>
    <w:rPr>
      <w:rFonts w:ascii="Symbol" w:hAnsi="Symbol" w:cs="Symbol"/>
    </w:rPr>
  </w:style>
  <w:style w:type="character" w:styleId="WWCharLFO4LVL1" w:customStyle="1">
    <w:name w:val="WW_CharLFO4LVL1"/>
    <w:qFormat/>
    <w:rPr>
      <w:rFonts w:ascii="Times New Roman" w:hAnsi="Times New Roman" w:cs="Times New Roman"/>
      <w:color w:val="auto"/>
    </w:rPr>
  </w:style>
  <w:style w:type="character" w:styleId="WWCharLFO4LVL2" w:customStyle="1">
    <w:name w:val="WW_CharLFO4LVL2"/>
    <w:qFormat/>
    <w:rPr>
      <w:rFonts w:ascii="Times New Roman" w:hAnsi="Times New Roman" w:cs="Courier New"/>
    </w:rPr>
  </w:style>
  <w:style w:type="character" w:styleId="WWCharLFO4LVL3" w:customStyle="1">
    <w:name w:val="WW_CharLFO4LVL3"/>
    <w:qFormat/>
    <w:rPr>
      <w:rFonts w:ascii="Wingdings" w:hAnsi="Wingdings" w:cs="Wingdings"/>
    </w:rPr>
  </w:style>
  <w:style w:type="character" w:styleId="WWCharLFO4LVL4" w:customStyle="1">
    <w:name w:val="WW_CharLFO4LVL4"/>
    <w:qFormat/>
    <w:rPr>
      <w:rFonts w:ascii="Symbol" w:hAnsi="Symbol" w:cs="Symbol"/>
    </w:rPr>
  </w:style>
  <w:style w:type="character" w:styleId="WWCharLFO4LVL5" w:customStyle="1">
    <w:name w:val="WW_CharLFO4LVL5"/>
    <w:qFormat/>
    <w:rPr>
      <w:rFonts w:ascii="Times New Roman" w:hAnsi="Times New Roman" w:cs="Courier New"/>
    </w:rPr>
  </w:style>
  <w:style w:type="character" w:styleId="WWCharLFO4LVL6" w:customStyle="1">
    <w:name w:val="WW_CharLFO4LVL6"/>
    <w:qFormat/>
    <w:rPr>
      <w:rFonts w:ascii="Wingdings" w:hAnsi="Wingdings" w:cs="Wingdings"/>
    </w:rPr>
  </w:style>
  <w:style w:type="character" w:styleId="WWCharLFO4LVL7" w:customStyle="1">
    <w:name w:val="WW_CharLFO4LVL7"/>
    <w:qFormat/>
    <w:rPr>
      <w:rFonts w:ascii="Symbol" w:hAnsi="Symbol" w:cs="Symbol"/>
    </w:rPr>
  </w:style>
  <w:style w:type="character" w:styleId="WWCharLFO4LVL8" w:customStyle="1">
    <w:name w:val="WW_CharLFO4LVL8"/>
    <w:qFormat/>
    <w:rPr>
      <w:rFonts w:ascii="Times New Roman" w:hAnsi="Times New Roman" w:cs="Courier New"/>
    </w:rPr>
  </w:style>
  <w:style w:type="character" w:styleId="WWCharLFO4LVL9" w:customStyle="1">
    <w:name w:val="WW_CharLFO4LVL9"/>
    <w:qFormat/>
    <w:rPr>
      <w:rFonts w:ascii="Wingdings" w:hAnsi="Wingdings" w:cs="Wingdings"/>
    </w:rPr>
  </w:style>
  <w:style w:type="character" w:styleId="WWCharLFO5LVL1" w:customStyle="1">
    <w:name w:val="WW_CharLFO5LVL1"/>
    <w:qFormat/>
    <w:rPr>
      <w:rFonts w:ascii="Times New Roman" w:hAnsi="Times New Roman" w:cs="Courier New"/>
    </w:rPr>
  </w:style>
  <w:style w:type="character" w:styleId="WWCharLFO5LVL2" w:customStyle="1">
    <w:name w:val="WW_CharLFO5LVL2"/>
    <w:qFormat/>
    <w:rPr>
      <w:rFonts w:ascii="Times New Roman" w:hAnsi="Times New Roman" w:cs="Courier New"/>
    </w:rPr>
  </w:style>
  <w:style w:type="character" w:styleId="WWCharLFO5LVL3" w:customStyle="1">
    <w:name w:val="WW_CharLFO5LVL3"/>
    <w:qFormat/>
    <w:rPr>
      <w:rFonts w:ascii="Wingdings" w:hAnsi="Wingdings" w:cs="Wingdings"/>
    </w:rPr>
  </w:style>
  <w:style w:type="character" w:styleId="WWCharLFO5LVL4" w:customStyle="1">
    <w:name w:val="WW_CharLFO5LVL4"/>
    <w:qFormat/>
    <w:rPr>
      <w:rFonts w:ascii="Symbol" w:hAnsi="Symbol" w:cs="Symbol"/>
    </w:rPr>
  </w:style>
  <w:style w:type="character" w:styleId="WWCharLFO5LVL5" w:customStyle="1">
    <w:name w:val="WW_CharLFO5LVL5"/>
    <w:qFormat/>
    <w:rPr>
      <w:rFonts w:ascii="Times New Roman" w:hAnsi="Times New Roman" w:cs="Courier New"/>
    </w:rPr>
  </w:style>
  <w:style w:type="character" w:styleId="WWCharLFO5LVL6" w:customStyle="1">
    <w:name w:val="WW_CharLFO5LVL6"/>
    <w:qFormat/>
    <w:rPr>
      <w:rFonts w:ascii="Wingdings" w:hAnsi="Wingdings" w:cs="Wingdings"/>
    </w:rPr>
  </w:style>
  <w:style w:type="character" w:styleId="WWCharLFO5LVL7" w:customStyle="1">
    <w:name w:val="WW_CharLFO5LVL7"/>
    <w:qFormat/>
    <w:rPr>
      <w:rFonts w:ascii="Symbol" w:hAnsi="Symbol" w:cs="Symbol"/>
    </w:rPr>
  </w:style>
  <w:style w:type="character" w:styleId="WWCharLFO5LVL8" w:customStyle="1">
    <w:name w:val="WW_CharLFO5LVL8"/>
    <w:qFormat/>
    <w:rPr>
      <w:rFonts w:ascii="Times New Roman" w:hAnsi="Times New Roman" w:cs="Courier New"/>
    </w:rPr>
  </w:style>
  <w:style w:type="character" w:styleId="WWCharLFO5LVL9" w:customStyle="1">
    <w:name w:val="WW_CharLFO5LVL9"/>
    <w:qFormat/>
    <w:rPr>
      <w:rFonts w:ascii="Wingdings" w:hAnsi="Wingdings" w:cs="Wingdings"/>
    </w:rPr>
  </w:style>
  <w:style w:type="character" w:styleId="WWCharLFO6LVL1" w:customStyle="1">
    <w:name w:val="WW_CharLFO6LVL1"/>
    <w:qFormat/>
    <w:rPr>
      <w:b/>
      <w:i w:val="false"/>
      <w:sz w:val="24"/>
      <w:szCs w:val="24"/>
    </w:rPr>
  </w:style>
  <w:style w:type="character" w:styleId="WWCharLFO6LVL2" w:customStyle="1">
    <w:name w:val="WW_CharLFO6LVL2"/>
    <w:qFormat/>
    <w:rPr>
      <w:rFonts w:cs="Times New Roman"/>
      <w:b w:val="false"/>
      <w:sz w:val="24"/>
      <w:szCs w:val="24"/>
    </w:rPr>
  </w:style>
  <w:style w:type="character" w:styleId="WWCharLFO6LVL3" w:customStyle="1">
    <w:name w:val="WW_CharLFO6LVL3"/>
    <w:qFormat/>
    <w:rPr>
      <w:rFonts w:ascii="Times New Roman" w:hAnsi="Times New Roman" w:eastAsia="Times New Roman" w:cs="Times New Roman"/>
      <w:b w:val="false"/>
      <w:i w:val="false"/>
      <w:sz w:val="24"/>
      <w:szCs w:val="24"/>
    </w:rPr>
  </w:style>
  <w:style w:type="character" w:styleId="WWCharLFO6LVL4" w:customStyle="1">
    <w:name w:val="WW_CharLFO6LVL4"/>
    <w:qFormat/>
    <w:rPr>
      <w:rFonts w:cs="Times New Roman"/>
    </w:rPr>
  </w:style>
  <w:style w:type="character" w:styleId="WWCharLFO6LVL5" w:customStyle="1">
    <w:name w:val="WW_CharLFO6LVL5"/>
    <w:qFormat/>
    <w:rPr>
      <w:rFonts w:cs="Times New Roman"/>
    </w:rPr>
  </w:style>
  <w:style w:type="character" w:styleId="WWCharLFO6LVL6" w:customStyle="1">
    <w:name w:val="WW_CharLFO6LVL6"/>
    <w:qFormat/>
    <w:rPr>
      <w:rFonts w:cs="Times New Roman"/>
    </w:rPr>
  </w:style>
  <w:style w:type="character" w:styleId="WWCharLFO6LVL7" w:customStyle="1">
    <w:name w:val="WW_CharLFO6LVL7"/>
    <w:qFormat/>
    <w:rPr>
      <w:rFonts w:cs="Times New Roman"/>
    </w:rPr>
  </w:style>
  <w:style w:type="character" w:styleId="WWCharLFO6LVL8" w:customStyle="1">
    <w:name w:val="WW_CharLFO6LVL8"/>
    <w:qFormat/>
    <w:rPr>
      <w:rFonts w:cs="Times New Roman"/>
    </w:rPr>
  </w:style>
  <w:style w:type="character" w:styleId="WWCharLFO6LVL9" w:customStyle="1">
    <w:name w:val="WW_CharLFO6LVL9"/>
    <w:qFormat/>
    <w:rPr>
      <w:rFonts w:cs="Times New Roman"/>
    </w:rPr>
  </w:style>
  <w:style w:type="character" w:styleId="WWCharLFO7LVL1" w:customStyle="1">
    <w:name w:val="WW_CharLFO7LVL1"/>
    <w:qFormat/>
    <w:rPr>
      <w:rFonts w:ascii="Times New Roman" w:hAnsi="Times New Roman" w:cs="Times New Roman"/>
      <w:b w:val="false"/>
      <w:i w:val="false"/>
      <w:sz w:val="28"/>
    </w:rPr>
  </w:style>
  <w:style w:type="character" w:styleId="WWCharLFO8LVL1" w:customStyle="1">
    <w:name w:val="WW_CharLFO8LVL1"/>
    <w:qFormat/>
    <w:rPr>
      <w:rFonts w:ascii="Times New Roman" w:hAnsi="Times New Roman"/>
      <w:b w:val="false"/>
      <w:i w:val="false"/>
      <w:sz w:val="28"/>
    </w:rPr>
  </w:style>
  <w:style w:type="character" w:styleId="WWCharLFO10LVL1" w:customStyle="1">
    <w:name w:val="WW_CharLFO10LVL1"/>
    <w:qFormat/>
    <w:rPr>
      <w:rFonts w:ascii="Times New Roman" w:hAnsi="Times New Roman" w:cs="Times New Roman"/>
    </w:rPr>
  </w:style>
  <w:style w:type="character" w:styleId="WWCharLFO10LVL2" w:customStyle="1">
    <w:name w:val="WW_CharLFO10LVL2"/>
    <w:qFormat/>
    <w:rPr>
      <w:rFonts w:ascii="Times New Roman" w:hAnsi="Times New Roman" w:cs="Courier New"/>
    </w:rPr>
  </w:style>
  <w:style w:type="character" w:styleId="WWCharLFO10LVL3" w:customStyle="1">
    <w:name w:val="WW_CharLFO10LVL3"/>
    <w:qFormat/>
    <w:rPr>
      <w:rFonts w:ascii="Wingdings" w:hAnsi="Wingdings" w:cs="Wingdings"/>
    </w:rPr>
  </w:style>
  <w:style w:type="character" w:styleId="WWCharLFO10LVL4" w:customStyle="1">
    <w:name w:val="WW_CharLFO10LVL4"/>
    <w:qFormat/>
    <w:rPr>
      <w:rFonts w:ascii="Symbol" w:hAnsi="Symbol" w:cs="Symbol"/>
    </w:rPr>
  </w:style>
  <w:style w:type="character" w:styleId="WWCharLFO10LVL5" w:customStyle="1">
    <w:name w:val="WW_CharLFO10LVL5"/>
    <w:qFormat/>
    <w:rPr>
      <w:rFonts w:ascii="Times New Roman" w:hAnsi="Times New Roman" w:cs="Courier New"/>
    </w:rPr>
  </w:style>
  <w:style w:type="character" w:styleId="WWCharLFO10LVL6" w:customStyle="1">
    <w:name w:val="WW_CharLFO10LVL6"/>
    <w:qFormat/>
    <w:rPr>
      <w:rFonts w:ascii="Wingdings" w:hAnsi="Wingdings" w:cs="Wingdings"/>
    </w:rPr>
  </w:style>
  <w:style w:type="character" w:styleId="WWCharLFO10LVL7" w:customStyle="1">
    <w:name w:val="WW_CharLFO10LVL7"/>
    <w:qFormat/>
    <w:rPr>
      <w:rFonts w:ascii="Symbol" w:hAnsi="Symbol" w:cs="Symbol"/>
    </w:rPr>
  </w:style>
  <w:style w:type="character" w:styleId="WWCharLFO10LVL8" w:customStyle="1">
    <w:name w:val="WW_CharLFO10LVL8"/>
    <w:qFormat/>
    <w:rPr>
      <w:rFonts w:ascii="Times New Roman" w:hAnsi="Times New Roman" w:cs="Courier New"/>
    </w:rPr>
  </w:style>
  <w:style w:type="character" w:styleId="WWCharLFO10LVL9" w:customStyle="1">
    <w:name w:val="WW_CharLFO10LVL9"/>
    <w:qFormat/>
    <w:rPr>
      <w:rFonts w:ascii="Wingdings" w:hAnsi="Wingdings" w:cs="Wingdings"/>
    </w:rPr>
  </w:style>
  <w:style w:type="character" w:styleId="WWCharLFO11LVL1" w:customStyle="1">
    <w:name w:val="WW_CharLFO11LVL1"/>
    <w:qFormat/>
    <w:rPr>
      <w:b/>
    </w:rPr>
  </w:style>
  <w:style w:type="character" w:styleId="WWCharLFO12LVL1" w:customStyle="1">
    <w:name w:val="WW_CharLFO12LVL1"/>
    <w:qFormat/>
    <w:rPr>
      <w:rFonts w:ascii="Symbol" w:hAnsi="Symbol" w:cs="Symbol"/>
    </w:rPr>
  </w:style>
  <w:style w:type="character" w:styleId="WWCharLFO13LVL2" w:customStyle="1">
    <w:name w:val="WW_CharLFO13LVL2"/>
    <w:qFormat/>
    <w:rPr>
      <w:rFonts w:ascii="Times New Roman" w:hAnsi="Times New Roman" w:eastAsia="Times New Roman" w:cs="Times New Roman"/>
      <w:i w:val="false"/>
    </w:rPr>
  </w:style>
  <w:style w:type="character" w:styleId="WWCharLFO13LVL3" w:customStyle="1">
    <w:name w:val="WW_CharLFO13LVL3"/>
    <w:qFormat/>
    <w:rPr>
      <w:rFonts w:ascii="Times New Roman" w:hAnsi="Times New Roman" w:eastAsia="Times New Roman" w:cs="Times New Roman"/>
      <w:lang w:val="en-US"/>
    </w:rPr>
  </w:style>
  <w:style w:type="character" w:styleId="WWCharLFO14LVL2" w:customStyle="1">
    <w:name w:val="WW_CharLFO14LVL2"/>
    <w:qFormat/>
    <w:rPr>
      <w:rFonts w:ascii="Times New Roman" w:hAnsi="Times New Roman" w:eastAsia="Times New Roman" w:cs="Times New Roman"/>
      <w:i w:val="false"/>
    </w:rPr>
  </w:style>
  <w:style w:type="character" w:styleId="WWCharLFO15LVL1" w:customStyle="1">
    <w:name w:val="WW_CharLFO15LVL1"/>
    <w:qFormat/>
    <w:rPr>
      <w:rFonts w:ascii="Symbol" w:hAnsi="Symbol" w:cs="Symbol"/>
    </w:rPr>
  </w:style>
  <w:style w:type="character" w:styleId="WWCharLFO15LVL2" w:customStyle="1">
    <w:name w:val="WW_CharLFO15LVL2"/>
    <w:qFormat/>
    <w:rPr>
      <w:rFonts w:ascii="Times New Roman" w:hAnsi="Times New Roman" w:cs="Courier New"/>
    </w:rPr>
  </w:style>
  <w:style w:type="character" w:styleId="WWCharLFO15LVL3" w:customStyle="1">
    <w:name w:val="WW_CharLFO15LVL3"/>
    <w:qFormat/>
    <w:rPr>
      <w:rFonts w:ascii="Wingdings" w:hAnsi="Wingdings" w:cs="Wingdings"/>
    </w:rPr>
  </w:style>
  <w:style w:type="character" w:styleId="WWCharLFO15LVL4" w:customStyle="1">
    <w:name w:val="WW_CharLFO15LVL4"/>
    <w:qFormat/>
    <w:rPr>
      <w:rFonts w:ascii="Symbol" w:hAnsi="Symbol" w:cs="Symbol"/>
    </w:rPr>
  </w:style>
  <w:style w:type="character" w:styleId="WWCharLFO15LVL5" w:customStyle="1">
    <w:name w:val="WW_CharLFO15LVL5"/>
    <w:qFormat/>
    <w:rPr>
      <w:rFonts w:ascii="Times New Roman" w:hAnsi="Times New Roman" w:cs="Courier New"/>
    </w:rPr>
  </w:style>
  <w:style w:type="character" w:styleId="WWCharLFO15LVL6" w:customStyle="1">
    <w:name w:val="WW_CharLFO15LVL6"/>
    <w:qFormat/>
    <w:rPr>
      <w:rFonts w:ascii="Wingdings" w:hAnsi="Wingdings" w:cs="Wingdings"/>
    </w:rPr>
  </w:style>
  <w:style w:type="character" w:styleId="WWCharLFO15LVL7" w:customStyle="1">
    <w:name w:val="WW_CharLFO15LVL7"/>
    <w:qFormat/>
    <w:rPr>
      <w:rFonts w:ascii="Symbol" w:hAnsi="Symbol" w:cs="Symbol"/>
    </w:rPr>
  </w:style>
  <w:style w:type="character" w:styleId="WWCharLFO15LVL8" w:customStyle="1">
    <w:name w:val="WW_CharLFO15LVL8"/>
    <w:qFormat/>
    <w:rPr>
      <w:rFonts w:ascii="Times New Roman" w:hAnsi="Times New Roman" w:cs="Courier New"/>
    </w:rPr>
  </w:style>
  <w:style w:type="character" w:styleId="WWCharLFO15LVL9" w:customStyle="1">
    <w:name w:val="WW_CharLFO15LVL9"/>
    <w:qFormat/>
    <w:rPr>
      <w:rFonts w:ascii="Wingdings" w:hAnsi="Wingdings" w:cs="Wingdings"/>
    </w:rPr>
  </w:style>
  <w:style w:type="character" w:styleId="WWCharLFO17LVL1" w:customStyle="1">
    <w:name w:val="WW_CharLFO17LVL1"/>
    <w:qFormat/>
    <w:rPr>
      <w:b/>
      <w:bCs w:val="false"/>
      <w:sz w:val="24"/>
      <w:szCs w:val="24"/>
    </w:rPr>
  </w:style>
  <w:style w:type="character" w:styleId="WWCharLFO17LVL2" w:customStyle="1">
    <w:name w:val="WW_CharLFO17LVL2"/>
    <w:qFormat/>
    <w:rPr>
      <w:b w:val="false"/>
      <w:bCs/>
      <w:sz w:val="24"/>
      <w:szCs w:val="24"/>
    </w:rPr>
  </w:style>
  <w:style w:type="character" w:styleId="WWCharLFO17LVL3" w:customStyle="1">
    <w:name w:val="WW_CharLFO17LVL3"/>
    <w:qFormat/>
    <w:rPr>
      <w:sz w:val="24"/>
      <w:szCs w:val="24"/>
    </w:rPr>
  </w:style>
  <w:style w:type="character" w:styleId="WWCharLFO20LVL2" w:customStyle="1">
    <w:name w:val="WW_CharLFO20LVL2"/>
    <w:qFormat/>
    <w:rPr>
      <w:rFonts w:ascii="Times New Roman" w:hAnsi="Times New Roman" w:eastAsia="Times New Roman" w:cs="Times New Roman"/>
      <w:i w:val="false"/>
    </w:rPr>
  </w:style>
  <w:style w:type="character" w:styleId="WWCharLFO21LVL2" w:customStyle="1">
    <w:name w:val="WW_CharLFO21LVL2"/>
    <w:qFormat/>
    <w:rPr>
      <w:rFonts w:ascii="Times New Roman" w:hAnsi="Times New Roman" w:eastAsia="Times New Roman" w:cs="Times New Roman"/>
      <w:i w:val="false"/>
    </w:rPr>
  </w:style>
  <w:style w:type="character" w:styleId="WWCharLFO24LVL2" w:customStyle="1">
    <w:name w:val="WW_CharLFO24LVL2"/>
    <w:qFormat/>
    <w:rPr>
      <w:i w:val="false"/>
    </w:rPr>
  </w:style>
  <w:style w:type="character" w:styleId="WWCharLFO24LVL3" w:customStyle="1">
    <w:name w:val="WW_CharLFO24LVL3"/>
    <w:qFormat/>
    <w:rPr>
      <w:rFonts w:ascii="Times New Roman" w:hAnsi="Times New Roman" w:eastAsia="Times New Roman" w:cs="Times New Roman"/>
    </w:rPr>
  </w:style>
  <w:style w:type="character" w:styleId="WWCharLFO25LVL2" w:customStyle="1">
    <w:name w:val="WW_CharLFO25LVL2"/>
    <w:qFormat/>
    <w:rPr>
      <w:rFonts w:ascii="Times New Roman" w:hAnsi="Times New Roman" w:eastAsia="Times New Roman" w:cs="Times New Roman"/>
      <w:i w:val="false"/>
    </w:rPr>
  </w:style>
  <w:style w:type="character" w:styleId="WWCharLFO25LVL3" w:customStyle="1">
    <w:name w:val="WW_CharLFO25LVL3"/>
    <w:qFormat/>
    <w:rPr>
      <w:rFonts w:ascii="Times New Roman" w:hAnsi="Times New Roman" w:eastAsia="Times New Roman" w:cs="Times New Roman"/>
    </w:rPr>
  </w:style>
  <w:style w:type="character" w:styleId="WWCharLFO26LVL2" w:customStyle="1">
    <w:name w:val="WW_CharLFO26LVL2"/>
    <w:qFormat/>
    <w:rPr>
      <w:rFonts w:ascii="Times New Roman" w:hAnsi="Times New Roman" w:eastAsia="Times New Roman" w:cs="Times New Roman"/>
      <w:i w:val="false"/>
    </w:rPr>
  </w:style>
  <w:style w:type="character" w:styleId="WWCharLFO26LVL3" w:customStyle="1">
    <w:name w:val="WW_CharLFO26LVL3"/>
    <w:qFormat/>
    <w:rPr>
      <w:rFonts w:ascii="Times New Roman" w:hAnsi="Times New Roman" w:eastAsia="Times New Roman" w:cs="Times New Roman"/>
      <w:b w:val="false"/>
    </w:rPr>
  </w:style>
  <w:style w:type="character" w:styleId="WWCharLFO27LVL1" w:customStyle="1">
    <w:name w:val="WW_CharLFO27LVL1"/>
    <w:qFormat/>
    <w:rPr>
      <w:sz w:val="24"/>
    </w:rPr>
  </w:style>
  <w:style w:type="character" w:styleId="WWCharLFO27LVL2" w:customStyle="1">
    <w:name w:val="WW_CharLFO27LVL2"/>
    <w:qFormat/>
    <w:rPr>
      <w:sz w:val="24"/>
    </w:rPr>
  </w:style>
  <w:style w:type="character" w:styleId="WWCharLFO28LVL2" w:customStyle="1">
    <w:name w:val="WW_CharLFO28LVL2"/>
    <w:qFormat/>
    <w:rPr>
      <w:rFonts w:ascii="Times New Roman" w:hAnsi="Times New Roman" w:eastAsia="Times New Roman" w:cs="Times New Roman"/>
      <w:i w:val="false"/>
    </w:rPr>
  </w:style>
  <w:style w:type="character" w:styleId="WWCharLFO29LVL2" w:customStyle="1">
    <w:name w:val="WW_CharLFO29LVL2"/>
    <w:qFormat/>
    <w:rPr>
      <w:rFonts w:ascii="Times New Roman" w:hAnsi="Times New Roman" w:eastAsia="Times New Roman" w:cs="Times New Roman"/>
      <w:i w:val="false"/>
    </w:rPr>
  </w:style>
  <w:style w:type="character" w:styleId="WWCharLFO29LVL3" w:customStyle="1">
    <w:name w:val="WW_CharLFO29LVL3"/>
    <w:qFormat/>
    <w:rPr>
      <w:rFonts w:ascii="Times New Roman" w:hAnsi="Times New Roman" w:eastAsia="Times New Roman" w:cs="Times New Roman"/>
      <w:b w:val="false"/>
    </w:rPr>
  </w:style>
  <w:style w:type="character" w:styleId="WWCharLFO31LVL1" w:customStyle="1">
    <w:name w:val="WW_CharLFO31LVL1"/>
    <w:qFormat/>
    <w:rPr>
      <w:rFonts w:ascii="Times New Roman" w:hAnsi="Times New Roman" w:cs="Courier New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character" w:styleId="WWCharLFO31LVL3" w:customStyle="1">
    <w:name w:val="WW_CharLFO31LVL3"/>
    <w:qFormat/>
    <w:rPr>
      <w:color w:val="auto"/>
    </w:rPr>
  </w:style>
  <w:style w:type="character" w:styleId="WWCharLFO33LVL1" w:customStyle="1">
    <w:name w:val="WW_CharLFO33LVL1"/>
    <w:qFormat/>
    <w:rPr>
      <w:b w:val="false"/>
      <w:bCs w:val="false"/>
      <w:sz w:val="24"/>
      <w:szCs w:val="24"/>
    </w:rPr>
  </w:style>
  <w:style w:type="character" w:styleId="WWCharLFO33LVL2" w:customStyle="1">
    <w:name w:val="WW_CharLFO33LVL2"/>
    <w:qFormat/>
    <w:rPr>
      <w:b w:val="false"/>
      <w:bCs/>
      <w:sz w:val="24"/>
      <w:szCs w:val="24"/>
    </w:rPr>
  </w:style>
  <w:style w:type="character" w:styleId="WWCharLFO33LVL3" w:customStyle="1">
    <w:name w:val="WW_CharLFO33LVL3"/>
    <w:qFormat/>
    <w:rPr>
      <w:rFonts w:ascii="Times New Roman" w:hAnsi="Times New Roman" w:eastAsia="Calibri" w:cs="Times New Roman"/>
      <w:sz w:val="24"/>
      <w:szCs w:val="24"/>
    </w:rPr>
  </w:style>
  <w:style w:type="character" w:styleId="WWCharLFO35LVL1" w:customStyle="1">
    <w:name w:val="WW_CharLFO35LVL1"/>
    <w:qFormat/>
    <w:rPr>
      <w:b/>
      <w:bCs w:val="false"/>
      <w:sz w:val="24"/>
      <w:szCs w:val="24"/>
    </w:rPr>
  </w:style>
  <w:style w:type="character" w:styleId="WWCharLFO35LVL2" w:customStyle="1">
    <w:name w:val="WW_CharLFO35LVL2"/>
    <w:qFormat/>
    <w:rPr>
      <w:b w:val="false"/>
      <w:bCs/>
      <w:sz w:val="24"/>
      <w:szCs w:val="24"/>
    </w:rPr>
  </w:style>
  <w:style w:type="character" w:styleId="WWCharLFO35LVL3" w:customStyle="1">
    <w:name w:val="WW_CharLFO35LVL3"/>
    <w:qFormat/>
    <w:rPr>
      <w:sz w:val="24"/>
      <w:szCs w:val="24"/>
    </w:rPr>
  </w:style>
  <w:style w:type="character" w:styleId="WWCharLFO36LVL1" w:customStyle="1">
    <w:name w:val="WW_CharLFO36LVL1"/>
    <w:qFormat/>
    <w:rPr>
      <w:rFonts w:ascii="Symbol" w:hAnsi="Symbol" w:cs="Symbol"/>
    </w:rPr>
  </w:style>
  <w:style w:type="character" w:styleId="WWCharLFO36LVL2" w:customStyle="1">
    <w:name w:val="WW_CharLFO36LVL2"/>
    <w:qFormat/>
    <w:rPr>
      <w:rFonts w:ascii="Times New Roman" w:hAnsi="Times New Roman" w:cs="OpenSymbol"/>
    </w:rPr>
  </w:style>
  <w:style w:type="character" w:styleId="WWCharLFO36LVL3" w:customStyle="1">
    <w:name w:val="WW_CharLFO36LVL3"/>
    <w:qFormat/>
    <w:rPr>
      <w:rFonts w:ascii="Wingdings" w:hAnsi="Wingdings" w:cs="Wingdings"/>
    </w:rPr>
  </w:style>
  <w:style w:type="character" w:styleId="WWCharLFO36LVL4" w:customStyle="1">
    <w:name w:val="WW_CharLFO36LVL4"/>
    <w:qFormat/>
    <w:rPr>
      <w:rFonts w:ascii="Symbol" w:hAnsi="Symbol" w:cs="Symbol"/>
    </w:rPr>
  </w:style>
  <w:style w:type="character" w:styleId="WWCharLFO36LVL5" w:customStyle="1">
    <w:name w:val="WW_CharLFO36LVL5"/>
    <w:qFormat/>
    <w:rPr>
      <w:rFonts w:ascii="Times New Roman" w:hAnsi="Times New Roman" w:cs="OpenSymbol"/>
    </w:rPr>
  </w:style>
  <w:style w:type="character" w:styleId="WWCharLFO36LVL6" w:customStyle="1">
    <w:name w:val="WW_CharLFO36LVL6"/>
    <w:qFormat/>
    <w:rPr>
      <w:rFonts w:ascii="Times New Roman" w:hAnsi="Times New Roman" w:cs="OpenSymbol"/>
    </w:rPr>
  </w:style>
  <w:style w:type="character" w:styleId="WWCharLFO36LVL7" w:customStyle="1">
    <w:name w:val="WW_CharLFO36LVL7"/>
    <w:qFormat/>
    <w:rPr>
      <w:rFonts w:ascii="Symbol" w:hAnsi="Symbol" w:cs="Symbol"/>
    </w:rPr>
  </w:style>
  <w:style w:type="character" w:styleId="WWCharLFO36LVL8" w:customStyle="1">
    <w:name w:val="WW_CharLFO36LVL8"/>
    <w:qFormat/>
    <w:rPr>
      <w:rFonts w:ascii="Times New Roman" w:hAnsi="Times New Roman" w:cs="OpenSymbol"/>
    </w:rPr>
  </w:style>
  <w:style w:type="character" w:styleId="WWCharLFO36LVL9" w:customStyle="1">
    <w:name w:val="WW_CharLFO36LVL9"/>
    <w:qFormat/>
    <w:rPr>
      <w:rFonts w:ascii="Times New Roman" w:hAnsi="Times New Roman" w:cs="OpenSymbol"/>
    </w:rPr>
  </w:style>
  <w:style w:type="character" w:styleId="WWCharLFO37LVL1" w:customStyle="1">
    <w:name w:val="WW_CharLFO37LVL1"/>
    <w:qFormat/>
    <w:rPr>
      <w:rFonts w:ascii="Symbol" w:hAnsi="Symbol" w:cs="Symbol"/>
    </w:rPr>
  </w:style>
  <w:style w:type="character" w:styleId="WWCharLFO37LVL2" w:customStyle="1">
    <w:name w:val="WW_CharLFO37LVL2"/>
    <w:qFormat/>
    <w:rPr>
      <w:rFonts w:ascii="Times New Roman" w:hAnsi="Times New Roman" w:cs="Courier New"/>
    </w:rPr>
  </w:style>
  <w:style w:type="character" w:styleId="WWCharLFO37LVL3" w:customStyle="1">
    <w:name w:val="WW_CharLFO37LVL3"/>
    <w:qFormat/>
    <w:rPr>
      <w:rFonts w:ascii="Wingdings" w:hAnsi="Wingdings" w:cs="Wingdings"/>
    </w:rPr>
  </w:style>
  <w:style w:type="character" w:styleId="WWCharLFO37LVL4" w:customStyle="1">
    <w:name w:val="WW_CharLFO37LVL4"/>
    <w:qFormat/>
    <w:rPr>
      <w:rFonts w:ascii="Symbol" w:hAnsi="Symbol" w:cs="Symbol"/>
    </w:rPr>
  </w:style>
  <w:style w:type="character" w:styleId="WWCharLFO37LVL5" w:customStyle="1">
    <w:name w:val="WW_CharLFO37LVL5"/>
    <w:qFormat/>
    <w:rPr>
      <w:rFonts w:ascii="Times New Roman" w:hAnsi="Times New Roman" w:cs="Courier New"/>
    </w:rPr>
  </w:style>
  <w:style w:type="character" w:styleId="WWCharLFO37LVL6" w:customStyle="1">
    <w:name w:val="WW_CharLFO37LVL6"/>
    <w:qFormat/>
    <w:rPr>
      <w:rFonts w:ascii="Wingdings" w:hAnsi="Wingdings" w:cs="Wingdings"/>
    </w:rPr>
  </w:style>
  <w:style w:type="character" w:styleId="WWCharLFO37LVL7" w:customStyle="1">
    <w:name w:val="WW_CharLFO37LVL7"/>
    <w:qFormat/>
    <w:rPr>
      <w:rFonts w:ascii="Symbol" w:hAnsi="Symbol" w:cs="Symbol"/>
    </w:rPr>
  </w:style>
  <w:style w:type="character" w:styleId="WWCharLFO37LVL8" w:customStyle="1">
    <w:name w:val="WW_CharLFO37LVL8"/>
    <w:qFormat/>
    <w:rPr>
      <w:rFonts w:ascii="Times New Roman" w:hAnsi="Times New Roman" w:cs="Courier New"/>
    </w:rPr>
  </w:style>
  <w:style w:type="character" w:styleId="WWCharLFO37LVL9" w:customStyle="1">
    <w:name w:val="WW_CharLFO37LVL9"/>
    <w:qFormat/>
    <w:rPr>
      <w:rFonts w:ascii="Wingdings" w:hAnsi="Wingdings" w:cs="Wingdings"/>
    </w:rPr>
  </w:style>
  <w:style w:type="character" w:styleId="WWCharLFO40LVL1" w:customStyle="1">
    <w:name w:val="WW_CharLFO40LVL1"/>
    <w:qFormat/>
    <w:rPr>
      <w:rFonts w:ascii="Times New Roman" w:hAnsi="Times New Roman" w:eastAsia="Times New Roman" w:cs="Times New Roman"/>
    </w:rPr>
  </w:style>
  <w:style w:type="character" w:styleId="WWCharLFO40LVL3" w:customStyle="1">
    <w:name w:val="WW_CharLFO40LVL3"/>
    <w:qFormat/>
    <w:rPr>
      <w:rFonts w:ascii="Wingdings" w:hAnsi="Wingdings"/>
    </w:rPr>
  </w:style>
  <w:style w:type="character" w:styleId="WWCharLFO40LVL4" w:customStyle="1">
    <w:name w:val="WW_CharLFO40LVL4"/>
    <w:qFormat/>
    <w:rPr>
      <w:rFonts w:ascii="Symbol" w:hAnsi="Symbol"/>
    </w:rPr>
  </w:style>
  <w:style w:type="character" w:styleId="WWCharLFO40LVL6" w:customStyle="1">
    <w:name w:val="WW_CharLFO40LVL6"/>
    <w:qFormat/>
    <w:rPr>
      <w:rFonts w:ascii="Wingdings" w:hAnsi="Wingdings"/>
    </w:rPr>
  </w:style>
  <w:style w:type="character" w:styleId="WWCharLFO40LVL7" w:customStyle="1">
    <w:name w:val="WW_CharLFO40LVL7"/>
    <w:qFormat/>
    <w:rPr>
      <w:rFonts w:ascii="Symbol" w:hAnsi="Symbol"/>
    </w:rPr>
  </w:style>
  <w:style w:type="character" w:styleId="WWCharLFO40LVL9" w:customStyle="1">
    <w:name w:val="WW_CharLFO40LVL9"/>
    <w:qFormat/>
    <w:rPr>
      <w:rFonts w:ascii="Wingdings" w:hAnsi="Wingdings"/>
    </w:rPr>
  </w:style>
  <w:style w:type="character" w:styleId="LineNumber">
    <w:name w:val="Line Number"/>
    <w:rPr/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uppressAutoHyphens w:val="false"/>
      <w:spacing w:before="0" w:after="120"/>
    </w:pPr>
    <w:rPr>
      <w:rFonts w:ascii="Times New Roman" w:hAnsi="Times New Roman" w:eastAsia="Times New Roman"/>
    </w:rPr>
  </w:style>
  <w:style w:type="paragraph" w:styleId="List">
    <w:name w:val="List"/>
    <w:basedOn w:val="Normal"/>
    <w:next w:val="Normal"/>
    <w:pPr>
      <w:keepNext w:val="true"/>
      <w:numPr>
        <w:ilvl w:val="0"/>
        <w:numId w:val="7"/>
      </w:numPr>
      <w:tabs>
        <w:tab w:val="clear" w:pos="708"/>
        <w:tab w:val="left" w:pos="-3415" w:leader="none"/>
      </w:tabs>
      <w:suppressAutoHyphens w:val="false"/>
      <w:spacing w:lineRule="auto" w:line="360"/>
      <w:jc w:val="both"/>
    </w:pPr>
    <w:rPr>
      <w:rFonts w:ascii="Times New Roman" w:hAnsi="Times New Roman" w:eastAsia="Times New Roman"/>
      <w:sz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suppressAutoHyphens w:val="false"/>
      <w:spacing w:before="240" w:after="60"/>
      <w:jc w:val="center"/>
      <w:outlineLvl w:val="0"/>
    </w:pPr>
    <w:rPr>
      <w:rFonts w:ascii="Arial" w:hAnsi="Arial" w:eastAsia="Times New Roman" w:cs="Arial"/>
      <w:b/>
      <w:bCs/>
      <w:kern w:val="2"/>
      <w:sz w:val="32"/>
      <w:szCs w:val="32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uppressAutoHyphens w:val="false"/>
      <w:spacing w:before="120" w:after="120"/>
    </w:pPr>
    <w:rPr>
      <w:i/>
      <w:iCs/>
    </w:rPr>
  </w:style>
  <w:style w:type="paragraph" w:styleId="Indexheading111" w:customStyle="1">
    <w:name w:val="index heading111"/>
    <w:basedOn w:val="Title"/>
    <w:qFormat/>
    <w:pPr>
      <w:suppressLineNumbers/>
    </w:pPr>
    <w:rPr/>
  </w:style>
  <w:style w:type="paragraph" w:styleId="Caption1111" w:customStyle="1">
    <w:name w:val="caption1111"/>
    <w:basedOn w:val="Normal"/>
    <w:qFormat/>
    <w:pPr>
      <w:suppressLineNumbers/>
      <w:suppressAutoHyphens w:val="false"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uppressAutoHyphens w:val="false"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next w:val="Normal"/>
    <w:qFormat/>
    <w:pPr>
      <w:suppressAutoHyphens w:val="false"/>
    </w:pPr>
    <w:rPr>
      <w:rFonts w:ascii="Times New Roman" w:hAnsi="Times New Roman" w:eastAsia="Times New Roman"/>
      <w:b/>
      <w:bCs/>
      <w:color w:val="4F81BD"/>
      <w:sz w:val="18"/>
      <w:szCs w:val="18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ListBullet">
    <w:name w:val="List Bullet"/>
    <w:basedOn w:val="Normal"/>
    <w:autoRedefine/>
    <w:qFormat/>
    <w:pPr>
      <w:numPr>
        <w:ilvl w:val="0"/>
        <w:numId w:val="2"/>
      </w:numPr>
      <w:suppressAutoHyphens w:val="false"/>
    </w:pPr>
    <w:rPr>
      <w:rFonts w:ascii="Times New Roman" w:hAnsi="Times New Roman" w:eastAsia="Times New Roman"/>
    </w:rPr>
  </w:style>
  <w:style w:type="paragraph" w:styleId="BodyTextIndent3">
    <w:name w:val="Body Text Indent 3"/>
    <w:basedOn w:val="Normal"/>
    <w:qFormat/>
    <w:pPr>
      <w:suppressAutoHyphens w:val="false"/>
      <w:spacing w:before="0" w:after="120"/>
      <w:ind w:left="283" w:hanging="0"/>
    </w:pPr>
    <w:rPr>
      <w:rFonts w:ascii="Times New Roman" w:hAnsi="Times New Roman" w:eastAsia="Times New Roman"/>
      <w:sz w:val="16"/>
      <w:szCs w:val="16"/>
    </w:rPr>
  </w:style>
  <w:style w:type="paragraph" w:styleId="14" w:customStyle="1">
    <w:name w:val="Стиль1"/>
    <w:basedOn w:val="Normal"/>
    <w:qFormat/>
    <w:pPr>
      <w:tabs>
        <w:tab w:val="clear" w:pos="708"/>
        <w:tab w:val="left" w:pos="360" w:leader="none"/>
        <w:tab w:val="left" w:pos="900" w:leader="none"/>
      </w:tabs>
      <w:suppressAutoHyphens w:val="false"/>
      <w:jc w:val="both"/>
    </w:pPr>
    <w:rPr>
      <w:rFonts w:ascii="Times New Roman" w:hAnsi="Times New Roman" w:eastAsia="Times New Roman"/>
      <w:b/>
      <w:sz w:val="24"/>
      <w:szCs w:val="24"/>
    </w:rPr>
  </w:style>
  <w:style w:type="paragraph" w:styleId="26" w:customStyle="1">
    <w:name w:val="Стиль2"/>
    <w:basedOn w:val="Normal"/>
    <w:qFormat/>
    <w:pPr>
      <w:numPr>
        <w:ilvl w:val="0"/>
        <w:numId w:val="5"/>
      </w:numPr>
      <w:tabs>
        <w:tab w:val="clear" w:pos="708"/>
        <w:tab w:val="left" w:pos="-2115" w:leader="none"/>
        <w:tab w:val="left" w:pos="-1575" w:leader="none"/>
      </w:tabs>
      <w:suppressAutoHyphens w:val="false"/>
      <w:jc w:val="both"/>
    </w:pPr>
    <w:rPr>
      <w:rFonts w:ascii="Times New Roman" w:hAnsi="Times New Roman" w:eastAsia="Times New Roman"/>
      <w:sz w:val="24"/>
      <w:szCs w:val="24"/>
    </w:rPr>
  </w:style>
  <w:style w:type="paragraph" w:styleId="Style25" w:customStyle="1">
    <w:name w:val="Список маркированный"/>
    <w:basedOn w:val="Normal"/>
    <w:next w:val="Normal"/>
    <w:autoRedefine/>
    <w:qFormat/>
    <w:pPr>
      <w:numPr>
        <w:ilvl w:val="0"/>
        <w:numId w:val="3"/>
      </w:numPr>
      <w:suppressAutoHyphens w:val="false"/>
      <w:jc w:val="both"/>
    </w:pPr>
    <w:rPr>
      <w:rFonts w:ascii="Sylfaen" w:hAnsi="Sylfaen" w:eastAsia="Times New Roman" w:cs="Sylfaen"/>
      <w:sz w:val="28"/>
      <w:szCs w:val="24"/>
    </w:rPr>
  </w:style>
  <w:style w:type="paragraph" w:styleId="ListBullet4">
    <w:name w:val="List Bullet 4"/>
    <w:basedOn w:val="Normal"/>
    <w:qFormat/>
    <w:pPr>
      <w:tabs>
        <w:tab w:val="clear" w:pos="708"/>
        <w:tab w:val="left" w:pos="-414" w:leader="none"/>
      </w:tabs>
      <w:suppressAutoHyphens w:val="false"/>
      <w:spacing w:before="120" w:after="0"/>
      <w:ind w:left="-207" w:hanging="360"/>
      <w:jc w:val="both"/>
    </w:pPr>
    <w:rPr>
      <w:rFonts w:ascii="Garamond" w:hAnsi="Garamond" w:eastAsia="Times New Roman" w:cs="Garamond"/>
      <w:sz w:val="24"/>
    </w:rPr>
  </w:style>
  <w:style w:type="paragraph" w:styleId="FootnoteText">
    <w:name w:val="Footnote Text"/>
    <w:basedOn w:val="Normal"/>
    <w:pPr>
      <w:suppressAutoHyphens w:val="false"/>
    </w:pPr>
    <w:rPr>
      <w:rFonts w:ascii="Times New Roman" w:hAnsi="Times New Roman" w:eastAsia="Times New Roman"/>
    </w:rPr>
  </w:style>
  <w:style w:type="paragraph" w:styleId="Style26" w:customStyle="1">
    <w:name w:val="Колонтитул"/>
    <w:basedOn w:val="Normal"/>
    <w:qFormat/>
    <w:pPr>
      <w:suppressAutoHyphens w:val="false"/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uppressAutoHyphens w:val="false"/>
    </w:pPr>
    <w:rPr>
      <w:rFonts w:ascii="Times New Roman" w:hAnsi="Times New Roman" w:eastAsia="Times New Roman"/>
    </w:rPr>
  </w:style>
  <w:style w:type="paragraph" w:styleId="TOC1">
    <w:name w:val="TOC 1"/>
    <w:basedOn w:val="Normal"/>
    <w:next w:val="Normal"/>
    <w:autoRedefine/>
    <w:uiPriority w:val="39"/>
    <w:pPr>
      <w:spacing w:before="0" w:after="100"/>
    </w:pPr>
    <w:rPr/>
  </w:style>
  <w:style w:type="paragraph" w:styleId="BalloonText">
    <w:name w:val="Balloon Text"/>
    <w:basedOn w:val="Normal"/>
    <w:qFormat/>
    <w:pPr>
      <w:suppressAutoHyphens w:val="false"/>
    </w:pPr>
    <w:rPr>
      <w:rFonts w:ascii="Tahoma" w:hAnsi="Tahoma" w:eastAsia="Times New Roman" w:cs="Tahoma"/>
      <w:sz w:val="16"/>
      <w:szCs w:val="16"/>
    </w:rPr>
  </w:style>
  <w:style w:type="paragraph" w:styleId="Annotationtext">
    <w:name w:val="annotation text"/>
    <w:basedOn w:val="Normal"/>
    <w:uiPriority w:val="99"/>
    <w:qFormat/>
    <w:pPr>
      <w:suppressAutoHyphens w:val="false"/>
    </w:pPr>
    <w:rPr>
      <w:rFonts w:ascii="Times New Roman" w:hAnsi="Times New Roman" w:eastAsia="Times New Roman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  <w:textAlignment w:val="baseline"/>
    </w:pPr>
    <w:rPr>
      <w:rFonts w:ascii="Arial" w:hAnsi="Arial" w:eastAsia="Times New Roman" w:cs="Arial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qFormat/>
    <w:pPr>
      <w:suppressAutoHyphens w:val="false"/>
      <w:spacing w:before="0" w:after="60"/>
      <w:jc w:val="center"/>
    </w:pPr>
    <w:rPr>
      <w:rFonts w:ascii="Arial" w:hAnsi="Arial" w:eastAsia="Arial" w:cs="Arial"/>
      <w:sz w:val="24"/>
      <w:szCs w:val="24"/>
    </w:rPr>
  </w:style>
  <w:style w:type="paragraph" w:styleId="33" w:customStyle="1">
    <w:name w:val="Стиль3"/>
    <w:basedOn w:val="Normal"/>
    <w:qFormat/>
    <w:pPr>
      <w:numPr>
        <w:ilvl w:val="0"/>
        <w:numId w:val="4"/>
      </w:numPr>
      <w:suppressAutoHyphens w:val="false"/>
      <w:spacing w:lineRule="auto" w:line="360"/>
      <w:jc w:val="both"/>
    </w:pPr>
    <w:rPr>
      <w:rFonts w:ascii="Arial" w:hAnsi="Arial" w:eastAsia="MS Mincho" w:cs="Arial"/>
      <w:sz w:val="24"/>
      <w:szCs w:val="24"/>
    </w:rPr>
  </w:style>
  <w:style w:type="paragraph" w:styleId="ListParagraph">
    <w:name w:val="List Paragraph"/>
    <w:basedOn w:val="Normal"/>
    <w:qFormat/>
    <w:pPr>
      <w:suppressAutoHyphens w:val="false"/>
      <w:ind w:left="720" w:hanging="0"/>
    </w:pPr>
    <w:rPr>
      <w:rFonts w:ascii="Times New Roman" w:hAnsi="Times New Roman" w:eastAsia="Times New Roman"/>
    </w:rPr>
  </w:style>
  <w:style w:type="paragraph" w:styleId="Font5" w:customStyle="1">
    <w:name w:val="font5"/>
    <w:basedOn w:val="Normal"/>
    <w:qFormat/>
    <w:pPr>
      <w:suppressAutoHyphens w:val="false"/>
      <w:spacing w:before="280" w:after="280"/>
    </w:pPr>
    <w:rPr>
      <w:rFonts w:ascii="Arial" w:hAnsi="Arial" w:eastAsia="Times New Roman" w:cs="Arial"/>
      <w:i/>
      <w:iCs/>
      <w:sz w:val="14"/>
      <w:szCs w:val="14"/>
    </w:rPr>
  </w:style>
  <w:style w:type="paragraph" w:styleId="Font6" w:customStyle="1">
    <w:name w:val="font6"/>
    <w:basedOn w:val="Normal"/>
    <w:qFormat/>
    <w:pPr>
      <w:suppressAutoHyphens w:val="false"/>
      <w:spacing w:before="280" w:after="280"/>
    </w:pPr>
    <w:rPr>
      <w:rFonts w:ascii="ISOCPEUR" w:hAnsi="ISOCPEUR" w:eastAsia="Times New Roman" w:cs="ISOCPEUR"/>
      <w:i/>
      <w:iCs/>
      <w:sz w:val="14"/>
      <w:szCs w:val="14"/>
    </w:rPr>
  </w:style>
  <w:style w:type="paragraph" w:styleId="Xl67" w:customStyle="1">
    <w:name w:val="xl67"/>
    <w:basedOn w:val="Normal"/>
    <w:qFormat/>
    <w:pPr>
      <w:suppressAutoHyphens w:val="false"/>
      <w:spacing w:before="280" w:after="280"/>
    </w:pPr>
    <w:rPr>
      <w:rFonts w:ascii="Arial" w:hAnsi="Arial" w:eastAsia="Times New Roman" w:cs="Arial"/>
    </w:rPr>
  </w:style>
  <w:style w:type="paragraph" w:styleId="Xl68" w:customStyle="1">
    <w:name w:val="xl68"/>
    <w:basedOn w:val="Normal"/>
    <w:qFormat/>
    <w:pPr>
      <w:suppressAutoHyphens w:val="false"/>
      <w:spacing w:before="280" w:after="280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69" w:customStyle="1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center"/>
    </w:pPr>
    <w:rPr>
      <w:rFonts w:ascii="ISOCPEUR" w:hAnsi="ISOCPEUR" w:eastAsia="Times New Roman" w:cs="ISOCPEUR"/>
      <w:sz w:val="18"/>
      <w:szCs w:val="18"/>
    </w:rPr>
  </w:style>
  <w:style w:type="paragraph" w:styleId="Xl70" w:customStyle="1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71" w:customStyle="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72" w:customStyle="1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73" w:customStyle="1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6"/>
      <w:szCs w:val="16"/>
    </w:rPr>
  </w:style>
  <w:style w:type="paragraph" w:styleId="Xl74" w:customStyle="1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6"/>
      <w:szCs w:val="16"/>
    </w:rPr>
  </w:style>
  <w:style w:type="paragraph" w:styleId="Xl75" w:customStyle="1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76" w:customStyle="1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77" w:customStyle="1">
    <w:name w:val="xl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78" w:customStyle="1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6"/>
      <w:szCs w:val="16"/>
    </w:rPr>
  </w:style>
  <w:style w:type="paragraph" w:styleId="Xl80" w:customStyle="1">
    <w:name w:val="xl80"/>
    <w:basedOn w:val="Normal"/>
    <w:qFormat/>
    <w:pPr>
      <w:suppressAutoHyphens w:val="false"/>
      <w:spacing w:before="280" w:after="280"/>
    </w:pPr>
    <w:rPr>
      <w:rFonts w:ascii="Arial" w:hAnsi="Arial" w:eastAsia="Times New Roman" w:cs="Arial"/>
    </w:rPr>
  </w:style>
  <w:style w:type="paragraph" w:styleId="Xl81" w:customStyle="1">
    <w:name w:val="xl81"/>
    <w:basedOn w:val="Normal"/>
    <w:qFormat/>
    <w:pPr>
      <w:suppressAutoHyphens w:val="false"/>
      <w:spacing w:before="280" w:after="280"/>
      <w:jc w:val="center"/>
    </w:pPr>
    <w:rPr>
      <w:rFonts w:ascii="Times New Roman" w:hAnsi="Times New Roman" w:eastAsia="Times New Roman"/>
      <w:sz w:val="24"/>
      <w:szCs w:val="24"/>
    </w:rPr>
  </w:style>
  <w:style w:type="paragraph" w:styleId="Xl82" w:customStyle="1">
    <w:name w:val="xl82"/>
    <w:basedOn w:val="Normal"/>
    <w:qFormat/>
    <w:pPr>
      <w:suppressAutoHyphens w:val="false"/>
      <w:spacing w:before="280" w:after="280"/>
      <w:textAlignment w:val="center"/>
    </w:pPr>
    <w:rPr>
      <w:rFonts w:ascii="ISOCPEUR" w:hAnsi="ISOCPEUR" w:eastAsia="Times New Roman" w:cs="ISOCPEUR"/>
      <w:sz w:val="18"/>
      <w:szCs w:val="18"/>
    </w:rPr>
  </w:style>
  <w:style w:type="paragraph" w:styleId="Xl83" w:customStyle="1">
    <w:name w:val="xl83"/>
    <w:basedOn w:val="Normal"/>
    <w:qFormat/>
    <w:pPr>
      <w:suppressAutoHyphens w:val="false"/>
      <w:spacing w:before="280" w:after="280"/>
      <w:textAlignment w:val="center"/>
    </w:pPr>
    <w:rPr>
      <w:rFonts w:ascii="Times New Roman" w:hAnsi="Times New Roman" w:eastAsia="Times New Roman"/>
      <w:sz w:val="24"/>
      <w:szCs w:val="24"/>
    </w:rPr>
  </w:style>
  <w:style w:type="paragraph" w:styleId="Xl84" w:customStyle="1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center"/>
    </w:pPr>
    <w:rPr>
      <w:rFonts w:ascii="ISOCPEUR" w:hAnsi="ISOCPEUR" w:eastAsia="Times New Roman" w:cs="ISOCPEUR"/>
      <w:sz w:val="18"/>
      <w:szCs w:val="18"/>
    </w:rPr>
  </w:style>
  <w:style w:type="paragraph" w:styleId="Xl85" w:customStyle="1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center"/>
    </w:pPr>
    <w:rPr>
      <w:rFonts w:ascii="ISOCPEUR" w:hAnsi="ISOCPEUR" w:eastAsia="Times New Roman" w:cs="ISOCPEUR"/>
      <w:sz w:val="18"/>
      <w:szCs w:val="18"/>
    </w:rPr>
  </w:style>
  <w:style w:type="paragraph" w:styleId="Xl86" w:customStyle="1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center"/>
    </w:pPr>
    <w:rPr>
      <w:rFonts w:ascii="ISOCPEUR" w:hAnsi="ISOCPEUR" w:eastAsia="Times New Roman" w:cs="ISOCPEUR"/>
      <w:sz w:val="18"/>
      <w:szCs w:val="18"/>
    </w:rPr>
  </w:style>
  <w:style w:type="paragraph" w:styleId="Xl87" w:customStyle="1">
    <w:name w:val="xl8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center"/>
    </w:pPr>
    <w:rPr>
      <w:rFonts w:ascii="ISOCPEUR" w:hAnsi="ISOCPEUR" w:eastAsia="Times New Roman" w:cs="ISOCPEUR"/>
      <w:sz w:val="18"/>
      <w:szCs w:val="18"/>
    </w:rPr>
  </w:style>
  <w:style w:type="paragraph" w:styleId="Xl88" w:customStyle="1">
    <w:name w:val="xl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center"/>
    </w:pPr>
    <w:rPr>
      <w:rFonts w:ascii="ISOCPEUR" w:hAnsi="ISOCPEUR" w:eastAsia="Times New Roman" w:cs="ISOCPEUR"/>
      <w:sz w:val="16"/>
      <w:szCs w:val="16"/>
    </w:rPr>
  </w:style>
  <w:style w:type="paragraph" w:styleId="Xl89" w:customStyle="1">
    <w:name w:val="xl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90" w:customStyle="1">
    <w:name w:val="xl9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91" w:customStyle="1">
    <w:name w:val="xl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6"/>
      <w:szCs w:val="16"/>
    </w:rPr>
  </w:style>
  <w:style w:type="paragraph" w:styleId="Xl92" w:customStyle="1">
    <w:name w:val="xl9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6"/>
      <w:szCs w:val="16"/>
    </w:rPr>
  </w:style>
  <w:style w:type="paragraph" w:styleId="Xl93" w:customStyle="1">
    <w:name w:val="xl9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94" w:customStyle="1">
    <w:name w:val="xl9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95" w:customStyle="1">
    <w:name w:val="xl9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96" w:customStyle="1">
    <w:name w:val="xl9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97" w:customStyle="1">
    <w:name w:val="xl9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6"/>
      <w:szCs w:val="16"/>
    </w:rPr>
  </w:style>
  <w:style w:type="paragraph" w:styleId="Xl98" w:customStyle="1">
    <w:name w:val="xl9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center"/>
    </w:pPr>
    <w:rPr>
      <w:rFonts w:ascii="ISOCPEUR" w:hAnsi="ISOCPEUR" w:eastAsia="Times New Roman" w:cs="ISOCPEUR"/>
      <w:sz w:val="18"/>
      <w:szCs w:val="18"/>
    </w:rPr>
  </w:style>
  <w:style w:type="paragraph" w:styleId="Xl99" w:customStyle="1">
    <w:name w:val="xl9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100" w:customStyle="1">
    <w:name w:val="xl10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Xl101" w:customStyle="1">
    <w:name w:val="xl101"/>
    <w:basedOn w:val="Normal"/>
    <w:qFormat/>
    <w:pPr>
      <w:suppressAutoHyphens w:val="false"/>
      <w:spacing w:before="280" w:after="280"/>
      <w:jc w:val="center"/>
    </w:pPr>
    <w:rPr>
      <w:rFonts w:ascii="Times New Roman" w:hAnsi="Times New Roman" w:eastAsia="Times New Roman"/>
      <w:sz w:val="24"/>
      <w:szCs w:val="24"/>
    </w:rPr>
  </w:style>
  <w:style w:type="paragraph" w:styleId="Xl102" w:customStyle="1">
    <w:name w:val="xl102"/>
    <w:basedOn w:val="Normal"/>
    <w:qFormat/>
    <w:pP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24"/>
      <w:szCs w:val="24"/>
    </w:rPr>
  </w:style>
  <w:style w:type="paragraph" w:styleId="Xl103" w:customStyle="1">
    <w:name w:val="xl103"/>
    <w:basedOn w:val="Normal"/>
    <w:qFormat/>
    <w:pPr>
      <w:suppressAutoHyphens w:val="false"/>
      <w:spacing w:before="280" w:after="280"/>
      <w:jc w:val="center"/>
      <w:textAlignment w:val="center"/>
    </w:pPr>
    <w:rPr>
      <w:rFonts w:ascii="Arial" w:hAnsi="Arial" w:eastAsia="Times New Roman" w:cs="Arial"/>
    </w:rPr>
  </w:style>
  <w:style w:type="paragraph" w:styleId="Xl104" w:customStyle="1">
    <w:name w:val="xl104"/>
    <w:basedOn w:val="Normal"/>
    <w:qFormat/>
    <w:pPr>
      <w:suppressAutoHyphens w:val="false"/>
      <w:spacing w:before="280" w:after="280"/>
      <w:jc w:val="center"/>
    </w:pPr>
    <w:rPr>
      <w:rFonts w:ascii="Arial" w:hAnsi="Arial" w:eastAsia="Times New Roman" w:cs="Arial"/>
    </w:rPr>
  </w:style>
  <w:style w:type="paragraph" w:styleId="Xl105" w:customStyle="1">
    <w:name w:val="xl105"/>
    <w:basedOn w:val="Normal"/>
    <w:qFormat/>
    <w:pPr>
      <w:suppressAutoHyphens w:val="false"/>
      <w:spacing w:before="280" w:after="280"/>
      <w:jc w:val="center"/>
      <w:textAlignment w:val="top"/>
    </w:pPr>
    <w:rPr>
      <w:rFonts w:ascii="Arial" w:hAnsi="Arial" w:eastAsia="Times New Roman" w:cs="Arial"/>
    </w:rPr>
  </w:style>
  <w:style w:type="paragraph" w:styleId="Xl106" w:customStyle="1">
    <w:name w:val="xl10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  <w:b/>
      <w:bCs/>
    </w:rPr>
  </w:style>
  <w:style w:type="paragraph" w:styleId="Xl107" w:customStyle="1">
    <w:name w:val="xl10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</w:rPr>
  </w:style>
  <w:style w:type="paragraph" w:styleId="Xl108" w:customStyle="1">
    <w:name w:val="xl10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  <w:b/>
      <w:bCs/>
      <w:sz w:val="18"/>
      <w:szCs w:val="18"/>
    </w:rPr>
  </w:style>
  <w:style w:type="paragraph" w:styleId="Xl109" w:customStyle="1">
    <w:name w:val="xl10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  <w:b/>
      <w:bCs/>
      <w:sz w:val="18"/>
      <w:szCs w:val="18"/>
    </w:rPr>
  </w:style>
  <w:style w:type="paragraph" w:styleId="Xl110" w:customStyle="1">
    <w:name w:val="xl11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center"/>
    </w:pPr>
    <w:rPr>
      <w:rFonts w:ascii="ISOCPEUR" w:hAnsi="ISOCPEUR" w:eastAsia="Times New Roman" w:cs="ISOCPEUR"/>
      <w:sz w:val="18"/>
      <w:szCs w:val="18"/>
    </w:rPr>
  </w:style>
  <w:style w:type="paragraph" w:styleId="Xl111" w:customStyle="1">
    <w:name w:val="xl11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center"/>
    </w:pPr>
    <w:rPr>
      <w:rFonts w:ascii="ISOCPEUR" w:hAnsi="ISOCPEUR" w:eastAsia="Times New Roman" w:cs="ISOCPEUR"/>
    </w:rPr>
  </w:style>
  <w:style w:type="paragraph" w:styleId="Xl112" w:customStyle="1">
    <w:name w:val="xl112"/>
    <w:basedOn w:val="Normal"/>
    <w:qFormat/>
    <w:pPr>
      <w:suppressAutoHyphens w:val="false"/>
      <w:spacing w:before="280" w:after="280"/>
      <w:textAlignment w:val="center"/>
    </w:pPr>
    <w:rPr>
      <w:rFonts w:ascii="ISOCPEUR" w:hAnsi="ISOCPEUR" w:eastAsia="Times New Roman" w:cs="ISOCPEUR"/>
      <w:b/>
      <w:bCs/>
      <w:sz w:val="24"/>
      <w:szCs w:val="24"/>
    </w:rPr>
  </w:style>
  <w:style w:type="paragraph" w:styleId="Xl113" w:customStyle="1">
    <w:name w:val="xl113"/>
    <w:basedOn w:val="Normal"/>
    <w:qFormat/>
    <w:pPr>
      <w:suppressAutoHyphens w:val="false"/>
      <w:spacing w:before="280" w:after="280"/>
      <w:textAlignment w:val="top"/>
    </w:pPr>
    <w:rPr>
      <w:rFonts w:ascii="ISOCPEUR" w:hAnsi="ISOCPEUR" w:eastAsia="Times New Roman" w:cs="ISOCPEUR"/>
      <w:b/>
      <w:bCs/>
      <w:sz w:val="18"/>
      <w:szCs w:val="18"/>
    </w:rPr>
  </w:style>
  <w:style w:type="paragraph" w:styleId="Xl114" w:customStyle="1">
    <w:name w:val="xl11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  <w:b/>
      <w:bCs/>
    </w:rPr>
  </w:style>
  <w:style w:type="paragraph" w:styleId="Xl115" w:customStyle="1">
    <w:name w:val="xl11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  <w:b/>
      <w:bCs/>
    </w:rPr>
  </w:style>
  <w:style w:type="paragraph" w:styleId="Xl116" w:customStyle="1">
    <w:name w:val="xl11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  <w:b/>
      <w:bCs/>
      <w:sz w:val="24"/>
      <w:szCs w:val="24"/>
    </w:rPr>
  </w:style>
  <w:style w:type="paragraph" w:styleId="Xl117" w:customStyle="1">
    <w:name w:val="xl11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  <w:b/>
      <w:bCs/>
    </w:rPr>
  </w:style>
  <w:style w:type="paragraph" w:styleId="Xl118" w:customStyle="1">
    <w:name w:val="xl11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textAlignment w:val="top"/>
    </w:pPr>
    <w:rPr>
      <w:rFonts w:ascii="ISOCPEUR" w:hAnsi="ISOCPEUR" w:eastAsia="Times New Roman" w:cs="ISOCPEUR"/>
    </w:rPr>
  </w:style>
  <w:style w:type="paragraph" w:styleId="Xl119" w:customStyle="1">
    <w:name w:val="xl119"/>
    <w:basedOn w:val="Normal"/>
    <w:qFormat/>
    <w:pPr>
      <w:suppressAutoHyphens w:val="false"/>
      <w:spacing w:before="280" w:after="280"/>
      <w:textAlignment w:val="top"/>
    </w:pPr>
    <w:rPr>
      <w:rFonts w:ascii="ISOCPEUR" w:hAnsi="ISOCPEUR" w:eastAsia="Times New Roman" w:cs="ISOCPEUR"/>
      <w:b/>
      <w:bCs/>
      <w:sz w:val="18"/>
      <w:szCs w:val="18"/>
    </w:rPr>
  </w:style>
  <w:style w:type="paragraph" w:styleId="Xl120" w:customStyle="1">
    <w:name w:val="xl12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center"/>
    </w:pPr>
    <w:rPr>
      <w:rFonts w:ascii="ISOCPEUR" w:hAnsi="ISOCPEUR" w:eastAsia="Times New Roman" w:cs="ISOCPEUR"/>
      <w:sz w:val="18"/>
      <w:szCs w:val="18"/>
    </w:rPr>
  </w:style>
  <w:style w:type="paragraph" w:styleId="Xl121" w:customStyle="1">
    <w:name w:val="xl12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="280" w:after="280"/>
      <w:jc w:val="center"/>
      <w:textAlignment w:val="center"/>
    </w:pPr>
    <w:rPr>
      <w:rFonts w:ascii="ISOCPEUR" w:hAnsi="ISOCPEUR" w:eastAsia="Times New Roman" w:cs="ISOCPEUR"/>
    </w:rPr>
  </w:style>
  <w:style w:type="paragraph" w:styleId="Xl122" w:customStyle="1">
    <w:name w:val="xl122"/>
    <w:basedOn w:val="Normal"/>
    <w:qFormat/>
    <w:pP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b/>
      <w:bCs/>
    </w:rPr>
  </w:style>
  <w:style w:type="paragraph" w:styleId="Xl123" w:customStyle="1">
    <w:name w:val="xl123"/>
    <w:basedOn w:val="Normal"/>
    <w:qFormat/>
    <w:pPr>
      <w:suppressAutoHyphens w:val="false"/>
      <w:spacing w:before="280" w:after="280"/>
      <w:jc w:val="center"/>
      <w:textAlignment w:val="top"/>
    </w:pPr>
    <w:rPr>
      <w:rFonts w:ascii="ISOCPEUR" w:hAnsi="ISOCPEUR" w:eastAsia="Times New Roman" w:cs="ISOCPEUR"/>
      <w:sz w:val="18"/>
      <w:szCs w:val="18"/>
    </w:rPr>
  </w:style>
  <w:style w:type="paragraph" w:styleId="BodyTextIndent">
    <w:name w:val="Body Text Indent"/>
    <w:basedOn w:val="Normal"/>
    <w:pPr>
      <w:suppressAutoHyphens w:val="false"/>
      <w:spacing w:before="0" w:after="120"/>
      <w:ind w:left="283" w:hanging="0"/>
    </w:pPr>
    <w:rPr/>
  </w:style>
  <w:style w:type="paragraph" w:styleId="Default" w:customStyle="1">
    <w:name w:val="Default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BodyTextIndent2">
    <w:name w:val="Body Text Indent 2"/>
    <w:basedOn w:val="Normal"/>
    <w:qFormat/>
    <w:pPr>
      <w:suppressAutoHyphens w:val="false"/>
      <w:spacing w:lineRule="auto" w:line="480" w:before="0" w:after="120"/>
      <w:ind w:left="283" w:hanging="0"/>
    </w:pPr>
    <w:rPr/>
  </w:style>
  <w:style w:type="paragraph" w:styleId="27" w:customStyle="1">
    <w:name w:val="Знак2"/>
    <w:basedOn w:val="Normal"/>
    <w:qFormat/>
    <w:pPr>
      <w:suppressAutoHyphens w:val="false"/>
      <w:spacing w:lineRule="exact" w:line="240" w:before="0" w:after="160"/>
    </w:pPr>
    <w:rPr>
      <w:rFonts w:ascii="Verdana" w:hAnsi="Verdana" w:eastAsia="Times New Roman" w:cs="Verdana"/>
      <w:lang w:val="en-US"/>
    </w:rPr>
  </w:style>
  <w:style w:type="paragraph" w:styleId="15" w:customStyle="1">
    <w:name w:val="Список1"/>
    <w:basedOn w:val="List"/>
    <w:next w:val="Normal"/>
    <w:qFormat/>
    <w:pPr>
      <w:numPr>
        <w:ilvl w:val="0"/>
        <w:numId w:val="6"/>
      </w:numPr>
      <w:tabs>
        <w:tab w:val="clear" w:pos="-3415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false"/>
    </w:pPr>
    <w:rPr/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imes New Roman"/>
      <w:color w:val="000000"/>
      <w:kern w:val="0"/>
      <w:sz w:val="22"/>
      <w:szCs w:val="22"/>
      <w:lang w:val="ru-RU" w:eastAsia="en-US" w:bidi="ar-SA"/>
    </w:rPr>
  </w:style>
  <w:style w:type="paragraph" w:styleId="212" w:customStyle="1">
    <w:name w:val="Основной текст с отступом 21"/>
    <w:basedOn w:val="Normal"/>
    <w:qFormat/>
    <w:pPr>
      <w:suppressAutoHyphens w:val="false"/>
      <w:ind w:firstLine="567"/>
    </w:pPr>
    <w:rPr>
      <w:rFonts w:ascii="Times New Roman" w:hAnsi="Times New Roman" w:eastAsia="Times New Roman"/>
      <w:sz w:val="24"/>
    </w:rPr>
  </w:style>
  <w:style w:type="paragraph" w:styleId="NormalWeb">
    <w:name w:val="Normal (Web)"/>
    <w:basedOn w:val="Normal"/>
    <w:qFormat/>
    <w:pPr>
      <w:suppressAutoHyphens w:val="false"/>
    </w:pPr>
    <w:rPr>
      <w:rFonts w:ascii="Times New Roman" w:hAnsi="Times New Roman" w:eastAsia="Times New Roman"/>
      <w:sz w:val="24"/>
      <w:szCs w:val="24"/>
    </w:rPr>
  </w:style>
  <w:style w:type="paragraph" w:styleId="41" w:customStyle="1">
    <w:name w:val="Основной текст4"/>
    <w:basedOn w:val="Normal"/>
    <w:qFormat/>
    <w:pPr>
      <w:shd w:val="clear" w:color="auto" w:fill="FFFFFF"/>
      <w:suppressAutoHyphens w:val="false"/>
      <w:spacing w:lineRule="atLeast" w:line="0"/>
      <w:ind w:hanging="660"/>
    </w:pPr>
    <w:rPr>
      <w:rFonts w:ascii="Arial Narrow" w:hAnsi="Arial Narrow" w:eastAsia="Arial Narrow" w:cs="Arial Narrow"/>
      <w:spacing w:val="10"/>
    </w:rPr>
  </w:style>
  <w:style w:type="paragraph" w:styleId="PlainText">
    <w:name w:val="Plain Text"/>
    <w:basedOn w:val="Normal"/>
    <w:qFormat/>
    <w:pPr>
      <w:suppressAutoHyphens w:val="false"/>
    </w:pPr>
    <w:rPr>
      <w:szCs w:val="21"/>
    </w:rPr>
  </w:style>
  <w:style w:type="paragraph" w:styleId="Style27" w:customStyle="1">
    <w:name w:val="Название раздела инструкции"/>
    <w:basedOn w:val="Normal"/>
    <w:autoRedefine/>
    <w:qFormat/>
    <w:pPr>
      <w:numPr>
        <w:ilvl w:val="0"/>
        <w:numId w:val="10"/>
      </w:numPr>
      <w:suppressAutoHyphens w:val="false"/>
      <w:jc w:val="center"/>
    </w:pPr>
    <w:rPr>
      <w:rFonts w:ascii="Times New Roman" w:hAnsi="Times New Roman" w:eastAsia="Times New Roman"/>
      <w:b/>
      <w:sz w:val="28"/>
      <w:szCs w:val="28"/>
    </w:rPr>
  </w:style>
  <w:style w:type="paragraph" w:styleId="Style28" w:customStyle="1">
    <w:name w:val="Раздел положения"/>
    <w:basedOn w:val="Normal"/>
    <w:autoRedefine/>
    <w:qFormat/>
    <w:pPr>
      <w:suppressAutoHyphens w:val="false"/>
      <w:spacing w:before="80" w:after="80"/>
      <w:jc w:val="center"/>
    </w:pPr>
    <w:rPr>
      <w:rFonts w:ascii="Times New Roman" w:hAnsi="Times New Roman" w:eastAsia="Times New Roman"/>
      <w:b/>
      <w:sz w:val="32"/>
      <w:szCs w:val="32"/>
    </w:rPr>
  </w:style>
  <w:style w:type="paragraph" w:styleId="Style29" w:customStyle="1">
    <w:name w:val="Подраздел раздела положения"/>
    <w:basedOn w:val="Normal"/>
    <w:autoRedefine/>
    <w:qFormat/>
    <w:pPr>
      <w:numPr>
        <w:ilvl w:val="0"/>
        <w:numId w:val="8"/>
      </w:numPr>
      <w:suppressAutoHyphens w:val="false"/>
      <w:spacing w:before="80" w:after="80"/>
      <w:jc w:val="both"/>
    </w:pPr>
    <w:rPr>
      <w:rFonts w:ascii="Times New Roman" w:hAnsi="Times New Roman" w:eastAsia="Times New Roman"/>
      <w:sz w:val="28"/>
      <w:szCs w:val="28"/>
    </w:rPr>
  </w:style>
  <w:style w:type="paragraph" w:styleId="16" w:customStyle="1">
    <w:name w:val="Шапка 1"/>
    <w:basedOn w:val="Normal"/>
    <w:qFormat/>
    <w:pPr>
      <w:pBdr>
        <w:bottom w:val="double" w:sz="12" w:space="1" w:color="000000"/>
      </w:pBdr>
      <w:suppressAutoHyphens w:val="false"/>
      <w:spacing w:before="0" w:after="240"/>
      <w:jc w:val="center"/>
    </w:pPr>
    <w:rPr>
      <w:rFonts w:ascii="Times New Roman" w:hAnsi="Times New Roman" w:eastAsia="Times New Roman"/>
    </w:rPr>
  </w:style>
  <w:style w:type="paragraph" w:styleId="28" w:customStyle="1">
    <w:name w:val="Шапка 2"/>
    <w:basedOn w:val="Normal"/>
    <w:qFormat/>
    <w:pPr>
      <w:pBdr>
        <w:bottom w:val="double" w:sz="12" w:space="1" w:color="000000"/>
      </w:pBdr>
      <w:suppressAutoHyphens w:val="false"/>
      <w:spacing w:before="0" w:after="120"/>
      <w:jc w:val="center"/>
    </w:pPr>
    <w:rPr>
      <w:rFonts w:ascii="Times New Roman" w:hAnsi="Times New Roman" w:eastAsia="Times New Roman"/>
      <w:b/>
    </w:rPr>
  </w:style>
  <w:style w:type="paragraph" w:styleId="34" w:customStyle="1">
    <w:name w:val="Шапка 3"/>
    <w:basedOn w:val="Normal"/>
    <w:qFormat/>
    <w:pPr>
      <w:pBdr>
        <w:bottom w:val="double" w:sz="12" w:space="1" w:color="000000"/>
      </w:pBdr>
      <w:suppressAutoHyphens w:val="false"/>
      <w:spacing w:before="240" w:after="360"/>
      <w:jc w:val="center"/>
    </w:pPr>
    <w:rPr>
      <w:rFonts w:ascii="Times New Roman" w:hAnsi="Times New Roman" w:eastAsia="Times New Roman"/>
      <w:b/>
      <w:sz w:val="24"/>
      <w:szCs w:val="24"/>
    </w:rPr>
  </w:style>
  <w:style w:type="paragraph" w:styleId="BodyText3">
    <w:name w:val="Body Text 3"/>
    <w:basedOn w:val="Normal"/>
    <w:qFormat/>
    <w:pPr>
      <w:suppressAutoHyphens w:val="false"/>
      <w:spacing w:before="0" w:after="120"/>
    </w:pPr>
    <w:rPr>
      <w:rFonts w:ascii="Times New Roman" w:hAnsi="Times New Roman" w:eastAsia="Times New Roman"/>
      <w:sz w:val="16"/>
      <w:szCs w:val="16"/>
    </w:rPr>
  </w:style>
  <w:style w:type="paragraph" w:styleId="BodyText2">
    <w:name w:val="Body Text 2"/>
    <w:basedOn w:val="Normal"/>
    <w:qFormat/>
    <w:pPr>
      <w:suppressAutoHyphens w:val="false"/>
      <w:spacing w:lineRule="auto" w:line="480" w:before="0" w:after="120"/>
    </w:pPr>
    <w:rPr>
      <w:rFonts w:ascii="Times New Roman" w:hAnsi="Times New Roman" w:eastAsia="Times New Roman"/>
      <w:sz w:val="28"/>
      <w:szCs w:val="28"/>
    </w:rPr>
  </w:style>
  <w:style w:type="paragraph" w:styleId="BlockText">
    <w:name w:val="Block Text"/>
    <w:basedOn w:val="Normal"/>
    <w:qFormat/>
    <w:pPr>
      <w:suppressAutoHyphens w:val="false"/>
      <w:ind w:left="-567" w:right="-766" w:hanging="0"/>
      <w:jc w:val="center"/>
    </w:pPr>
    <w:rPr>
      <w:rFonts w:ascii="Times New Roman" w:hAnsi="Times New Roman" w:eastAsia="Times New Roman"/>
      <w:b/>
      <w:bCs/>
      <w:sz w:val="24"/>
    </w:rPr>
  </w:style>
  <w:style w:type="paragraph" w:styleId="Style30" w:customStyle="1">
    <w:name w:val="Подпункт"/>
    <w:basedOn w:val="Normal"/>
    <w:qFormat/>
    <w:pPr>
      <w:tabs>
        <w:tab w:val="clear" w:pos="708"/>
        <w:tab w:val="left" w:pos="2268" w:leader="none"/>
      </w:tabs>
      <w:suppressAutoHyphens w:val="false"/>
      <w:snapToGrid w:val="false"/>
      <w:spacing w:lineRule="auto" w:line="360"/>
      <w:ind w:left="1134" w:hanging="1134"/>
      <w:jc w:val="both"/>
    </w:pPr>
    <w:rPr>
      <w:rFonts w:ascii="Times New Roman" w:hAnsi="Times New Roman" w:eastAsia="Times New Roman"/>
      <w:sz w:val="28"/>
    </w:rPr>
  </w:style>
  <w:style w:type="paragraph" w:styleId="29" w:customStyle="1">
    <w:name w:val="Пункт2"/>
    <w:basedOn w:val="Normal"/>
    <w:qFormat/>
    <w:pPr>
      <w:keepNext w:val="true"/>
      <w:tabs>
        <w:tab w:val="clear" w:pos="708"/>
        <w:tab w:val="left" w:pos="2268" w:leader="none"/>
      </w:tabs>
      <w:snapToGrid w:val="false"/>
      <w:spacing w:before="240" w:after="120"/>
      <w:ind w:left="1134" w:hanging="1134"/>
      <w:outlineLvl w:val="2"/>
    </w:pPr>
    <w:rPr>
      <w:rFonts w:ascii="Times New Roman" w:hAnsi="Times New Roman" w:eastAsia="Times New Roman"/>
      <w:b/>
      <w:sz w:val="28"/>
    </w:rPr>
  </w:style>
  <w:style w:type="paragraph" w:styleId="TOC3">
    <w:name w:val="TOC 3"/>
    <w:basedOn w:val="Normal"/>
    <w:next w:val="Normal"/>
    <w:autoRedefine/>
    <w:uiPriority w:val="39"/>
    <w:pPr>
      <w:spacing w:before="0" w:after="100"/>
      <w:ind w:left="400" w:hanging="0"/>
    </w:pPr>
    <w:rPr/>
  </w:style>
  <w:style w:type="paragraph" w:styleId="Style31" w:customStyle="1">
    <w:name w:val="Раздел регламента"/>
    <w:basedOn w:val="Normal"/>
    <w:qFormat/>
    <w:pPr>
      <w:suppressAutoHyphens w:val="false"/>
    </w:pPr>
    <w:rPr>
      <w:rFonts w:ascii="Times New Roman" w:hAnsi="Times New Roman" w:eastAsia="Times New Roman"/>
      <w:sz w:val="28"/>
      <w:szCs w:val="28"/>
    </w:rPr>
  </w:style>
  <w:style w:type="paragraph" w:styleId="Style32" w:customStyle="1">
    <w:name w:val="Приложение к регламенту"/>
    <w:basedOn w:val="Normal"/>
    <w:qFormat/>
    <w:pPr>
      <w:suppressAutoHyphens w:val="false"/>
      <w:jc w:val="right"/>
    </w:pPr>
    <w:rPr>
      <w:rFonts w:ascii="Times New Roman" w:hAnsi="Times New Roman" w:eastAsia="Times New Roman"/>
      <w:sz w:val="28"/>
      <w:szCs w:val="28"/>
    </w:rPr>
  </w:style>
  <w:style w:type="paragraph" w:styleId="TOC2">
    <w:name w:val="TOC 2"/>
    <w:basedOn w:val="Normal"/>
    <w:next w:val="Normal"/>
    <w:autoRedefine/>
    <w:uiPriority w:val="39"/>
    <w:pPr>
      <w:spacing w:before="0" w:after="100"/>
      <w:ind w:left="200" w:hanging="0"/>
    </w:pPr>
    <w:rPr/>
  </w:style>
  <w:style w:type="paragraph" w:styleId="TOC9">
    <w:name w:val="TOC 9"/>
    <w:basedOn w:val="Normal"/>
    <w:next w:val="Normal"/>
    <w:autoRedefine/>
    <w:pPr>
      <w:suppressAutoHyphens w:val="false"/>
      <w:ind w:left="2240" w:hanging="0"/>
    </w:pPr>
    <w:rPr>
      <w:rFonts w:ascii="Times New Roman" w:hAnsi="Times New Roman" w:eastAsia="Times New Roman"/>
      <w:sz w:val="28"/>
      <w:szCs w:val="28"/>
    </w:rPr>
  </w:style>
  <w:style w:type="paragraph" w:styleId="TOC5">
    <w:name w:val="TOC 5"/>
    <w:basedOn w:val="Normal"/>
    <w:next w:val="Normal"/>
    <w:autoRedefine/>
    <w:pPr>
      <w:suppressAutoHyphens w:val="false"/>
      <w:ind w:left="1120" w:hanging="0"/>
    </w:pPr>
    <w:rPr>
      <w:rFonts w:ascii="Times New Roman" w:hAnsi="Times New Roman" w:eastAsia="Times New Roman"/>
      <w:sz w:val="28"/>
      <w:szCs w:val="28"/>
    </w:rPr>
  </w:style>
  <w:style w:type="paragraph" w:styleId="TOC4">
    <w:name w:val="TOC 4"/>
    <w:basedOn w:val="Normal"/>
    <w:next w:val="Normal"/>
    <w:autoRedefine/>
    <w:pPr>
      <w:tabs>
        <w:tab w:val="clear" w:pos="708"/>
        <w:tab w:val="left" w:pos="567" w:leader="none"/>
        <w:tab w:val="right" w:pos="9354" w:leader="dot"/>
      </w:tabs>
      <w:suppressAutoHyphens w:val="false"/>
    </w:pPr>
    <w:rPr>
      <w:rFonts w:ascii="Times New Roman" w:hAnsi="Times New Roman" w:eastAsia="Times New Roman"/>
      <w:sz w:val="28"/>
      <w:szCs w:val="28"/>
    </w:rPr>
  </w:style>
  <w:style w:type="paragraph" w:styleId="210" w:customStyle="1">
    <w:name w:val="Раздел положения 2"/>
    <w:basedOn w:val="Normal"/>
    <w:qFormat/>
    <w:pPr>
      <w:pageBreakBefore/>
      <w:suppressAutoHyphens w:val="false"/>
      <w:jc w:val="both"/>
      <w:outlineLvl w:val="0"/>
    </w:pPr>
    <w:rPr>
      <w:rFonts w:ascii="Times New Roman" w:hAnsi="Times New Roman" w:eastAsia="Times New Roman"/>
      <w:b/>
      <w:sz w:val="28"/>
      <w:szCs w:val="28"/>
    </w:rPr>
  </w:style>
  <w:style w:type="paragraph" w:styleId="Style33" w:customStyle="1">
    <w:name w:val="Знак Знак Знак Знак Знак Знак Знак Знак Знак"/>
    <w:basedOn w:val="Normal"/>
    <w:qFormat/>
    <w:pPr>
      <w:suppressAutoHyphens w:val="false"/>
      <w:spacing w:lineRule="exact" w:line="240" w:before="0" w:after="160"/>
      <w:jc w:val="both"/>
    </w:pPr>
    <w:rPr>
      <w:rFonts w:ascii="Verdana" w:hAnsi="Verdana" w:eastAsia="Times New Roman" w:cs="Verdana"/>
      <w:lang w:val="en-US"/>
    </w:rPr>
  </w:style>
  <w:style w:type="paragraph" w:styleId="NoSpacing">
    <w:name w:val="No Spacing"/>
    <w:basedOn w:val="Normal"/>
    <w:qFormat/>
    <w:pPr>
      <w:suppressAutoHyphens w:val="false"/>
      <w:spacing w:lineRule="auto" w:line="360"/>
    </w:pPr>
    <w:rPr>
      <w:rFonts w:ascii="Times New Roman" w:hAnsi="Times New Roman" w:eastAsia="Times New Roman"/>
      <w:sz w:val="24"/>
      <w:szCs w:val="24"/>
    </w:rPr>
  </w:style>
  <w:style w:type="paragraph" w:styleId="Quote">
    <w:name w:val="Quote"/>
    <w:basedOn w:val="Normal"/>
    <w:next w:val="Normal"/>
    <w:qFormat/>
    <w:pPr>
      <w:suppressAutoHyphens w:val="false"/>
    </w:pPr>
    <w:rPr>
      <w:i/>
      <w:iCs/>
    </w:rPr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uppressAutoHyphens w:val="false"/>
      <w:spacing w:before="200" w:after="280"/>
      <w:ind w:left="936" w:right="936" w:hanging="0"/>
    </w:pPr>
    <w:rPr>
      <w:b/>
      <w:bCs/>
      <w:i/>
      <w:iCs/>
      <w:color w:val="4F81BD"/>
    </w:rPr>
  </w:style>
  <w:style w:type="paragraph" w:styleId="IndexHeading">
    <w:name w:val="Index Heading"/>
    <w:basedOn w:val="Style23"/>
    <w:pPr/>
    <w:rPr/>
  </w:style>
  <w:style w:type="paragraph" w:styleId="TOCHeading">
    <w:name w:val="TOC Heading"/>
    <w:basedOn w:val="Heading1"/>
    <w:next w:val="Normal"/>
    <w:qFormat/>
    <w:pPr>
      <w:widowControl/>
      <w:numPr>
        <w:ilvl w:val="0"/>
        <w:numId w:val="0"/>
      </w:numPr>
      <w:spacing w:before="480" w:after="0"/>
      <w:ind w:left="142" w:hanging="0"/>
      <w:jc w:val="left"/>
    </w:pPr>
    <w:rPr>
      <w:rFonts w:ascii="Cambria" w:hAnsi="Cambria" w:eastAsia="Cambria" w:cs="Cambria"/>
      <w:color w:val="365F91"/>
    </w:rPr>
  </w:style>
  <w:style w:type="paragraph" w:styleId="E-mailSignature">
    <w:name w:val="E-mail Signature"/>
    <w:basedOn w:val="Normal"/>
    <w:qFormat/>
    <w:pPr>
      <w:suppressAutoHyphens w:val="false"/>
    </w:pPr>
    <w:rPr>
      <w:rFonts w:ascii="Times New Roman" w:hAnsi="Times New Roman" w:eastAsia="Times New Roman"/>
      <w:sz w:val="24"/>
      <w:szCs w:val="24"/>
    </w:rPr>
  </w:style>
  <w:style w:type="paragraph" w:styleId="35" w:customStyle="1">
    <w:name w:val="Нумерованный список ур3"/>
    <w:basedOn w:val="Normal"/>
    <w:qFormat/>
    <w:pPr>
      <w:suppressAutoHyphens w:val="false"/>
      <w:jc w:val="both"/>
    </w:pPr>
    <w:rPr>
      <w:rFonts w:ascii="Garamond" w:hAnsi="Garamond" w:eastAsia="Times New Roman" w:cs="Garamond"/>
      <w:sz w:val="24"/>
    </w:rPr>
  </w:style>
  <w:style w:type="paragraph" w:styleId="311" w:customStyle="1">
    <w:name w:val="Список 31"/>
    <w:basedOn w:val="Normal"/>
    <w:qFormat/>
    <w:pPr>
      <w:suppressAutoHyphens w:val="false"/>
      <w:spacing w:before="120" w:after="0"/>
      <w:jc w:val="both"/>
    </w:pPr>
    <w:rPr>
      <w:rFonts w:ascii="Garamond" w:hAnsi="Garamond" w:eastAsia="Times New Roman" w:cs="Garamond"/>
      <w:sz w:val="24"/>
    </w:rPr>
  </w:style>
  <w:style w:type="paragraph" w:styleId="213" w:customStyle="1">
    <w:name w:val="Нумерованный список ур2"/>
    <w:basedOn w:val="Normal"/>
    <w:qFormat/>
    <w:pPr>
      <w:numPr>
        <w:ilvl w:val="0"/>
        <w:numId w:val="9"/>
      </w:numPr>
      <w:suppressAutoHyphens w:val="false"/>
      <w:spacing w:before="120" w:after="0"/>
      <w:jc w:val="both"/>
    </w:pPr>
    <w:rPr>
      <w:rFonts w:ascii="Garamond" w:hAnsi="Garamond" w:eastAsia="Times New Roman" w:cs="Garamond"/>
      <w:sz w:val="24"/>
    </w:rPr>
  </w:style>
  <w:style w:type="paragraph" w:styleId="36" w:customStyle="1">
    <w:name w:val="Знак Знак3 Знак Знак"/>
    <w:basedOn w:val="Normal"/>
    <w:qFormat/>
    <w:pPr>
      <w:suppressAutoHyphens w:val="false"/>
      <w:spacing w:lineRule="exact" w:line="240" w:before="0" w:after="160"/>
      <w:jc w:val="both"/>
    </w:pPr>
    <w:rPr>
      <w:rFonts w:ascii="Verdana" w:hAnsi="Verdana" w:eastAsia="Times New Roman" w:cs="Verdana"/>
      <w:lang w:val="en-US"/>
    </w:rPr>
  </w:style>
  <w:style w:type="paragraph" w:styleId="Style34" w:customStyle="1">
    <w:name w:val="Пункт"/>
    <w:basedOn w:val="Normal"/>
    <w:qFormat/>
    <w:pPr>
      <w:tabs>
        <w:tab w:val="clear" w:pos="708"/>
        <w:tab w:val="left" w:pos="2268" w:leader="none"/>
      </w:tabs>
      <w:suppressAutoHyphens w:val="false"/>
      <w:spacing w:lineRule="auto" w:line="360" w:before="120" w:after="0"/>
      <w:ind w:left="1134" w:right="800" w:hanging="1134"/>
      <w:jc w:val="both"/>
    </w:pPr>
    <w:rPr>
      <w:rFonts w:ascii="Arial" w:hAnsi="Arial" w:eastAsia="Times New Roman" w:cs="Arial"/>
      <w:b/>
      <w:i/>
      <w:sz w:val="28"/>
    </w:rPr>
  </w:style>
  <w:style w:type="paragraph" w:styleId="17" w:customStyle="1">
    <w:name w:val="Абзац списка1"/>
    <w:basedOn w:val="Normal"/>
    <w:qFormat/>
    <w:pPr>
      <w:suppressAutoHyphens w:val="false"/>
      <w:ind w:left="720" w:hanging="0"/>
    </w:pPr>
    <w:rPr>
      <w:rFonts w:eastAsia="Times New Roman"/>
    </w:rPr>
  </w:style>
  <w:style w:type="paragraph" w:styleId="Style35" w:customStyle="1">
    <w:name w:val="Таблица"/>
    <w:basedOn w:val="Normal"/>
    <w:qFormat/>
    <w:pPr>
      <w:suppressAutoHyphens w:val="false"/>
    </w:pPr>
    <w:rPr>
      <w:rFonts w:ascii="Times New Roman" w:hAnsi="Times New Roman" w:eastAsia="Times New Roman"/>
    </w:rPr>
  </w:style>
  <w:style w:type="paragraph" w:styleId="EndnoteText">
    <w:name w:val="Endnote Text"/>
    <w:basedOn w:val="Normal"/>
    <w:pPr>
      <w:suppressAutoHyphens w:val="false"/>
    </w:pPr>
    <w:rPr>
      <w:rFonts w:ascii="Times New Roman" w:hAnsi="Times New Roman" w:eastAsia="Times New Roman"/>
    </w:rPr>
  </w:style>
  <w:style w:type="paragraph" w:styleId="TOC6">
    <w:name w:val="TOC 6"/>
    <w:basedOn w:val="Normal"/>
    <w:next w:val="Normal"/>
    <w:autoRedefine/>
    <w:pPr>
      <w:suppressAutoHyphens w:val="false"/>
      <w:spacing w:before="0" w:after="100"/>
      <w:ind w:left="1100" w:hanging="0"/>
    </w:pPr>
    <w:rPr>
      <w:rFonts w:eastAsia="Times New Roman"/>
    </w:rPr>
  </w:style>
  <w:style w:type="paragraph" w:styleId="TOC7">
    <w:name w:val="TOC 7"/>
    <w:basedOn w:val="Normal"/>
    <w:next w:val="Normal"/>
    <w:autoRedefine/>
    <w:pPr>
      <w:suppressAutoHyphens w:val="false"/>
      <w:spacing w:before="0" w:after="100"/>
      <w:ind w:left="1320" w:hanging="0"/>
    </w:pPr>
    <w:rPr>
      <w:rFonts w:eastAsia="Times New Roman"/>
    </w:rPr>
  </w:style>
  <w:style w:type="paragraph" w:styleId="TOC8">
    <w:name w:val="TOC 8"/>
    <w:basedOn w:val="Normal"/>
    <w:next w:val="Normal"/>
    <w:autoRedefine/>
    <w:pPr>
      <w:suppressAutoHyphens w:val="false"/>
      <w:spacing w:before="0" w:after="100"/>
      <w:ind w:left="1540" w:hanging="0"/>
    </w:pPr>
    <w:rPr>
      <w:rFonts w:eastAsia="Times New Roman"/>
    </w:rPr>
  </w:style>
  <w:style w:type="paragraph" w:styleId="ListBullet2">
    <w:name w:val="List Bullet 2"/>
    <w:basedOn w:val="Normal"/>
    <w:qFormat/>
    <w:pPr>
      <w:numPr>
        <w:ilvl w:val="0"/>
        <w:numId w:val="11"/>
      </w:numPr>
      <w:suppressAutoHyphens w:val="false"/>
    </w:pPr>
    <w:rPr/>
  </w:style>
  <w:style w:type="paragraph" w:styleId="18" w:customStyle="1">
    <w:name w:val="Обычный1"/>
    <w:basedOn w:val="Normal"/>
    <w:qFormat/>
    <w:pPr>
      <w:suppressAutoHyphens w:val="false"/>
      <w:spacing w:lineRule="auto" w:line="360"/>
      <w:ind w:firstLine="851"/>
      <w:jc w:val="both"/>
    </w:pPr>
    <w:rPr>
      <w:sz w:val="24"/>
      <w:szCs w:val="24"/>
    </w:rPr>
  </w:style>
  <w:style w:type="paragraph" w:styleId="Style36" w:customStyle="1">
    <w:name w:val="Знак Знак 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eastAsia="Times New Roman" w:cs="Verdana"/>
      <w:lang w:val="en-US"/>
    </w:rPr>
  </w:style>
  <w:style w:type="paragraph" w:styleId="112" w:customStyle="1">
    <w:name w:val="11"/>
    <w:basedOn w:val="BodyText"/>
    <w:qFormat/>
    <w:pPr>
      <w:tabs>
        <w:tab w:val="clear" w:pos="708"/>
        <w:tab w:val="left" w:pos="709" w:leader="none"/>
      </w:tabs>
      <w:suppressAutoHyphens w:val="true"/>
      <w:spacing w:before="0" w:after="0"/>
      <w:ind w:firstLine="540"/>
      <w:jc w:val="both"/>
    </w:pPr>
    <w:rPr>
      <w:rFonts w:ascii="Arial" w:hAnsi="Arial" w:eastAsia="Arial" w:cs="Arial"/>
      <w:sz w:val="22"/>
      <w:szCs w:val="24"/>
      <w:lang w:eastAsia="ar-SA"/>
    </w:rPr>
  </w:style>
  <w:style w:type="paragraph" w:styleId="HTMLPreformatted">
    <w:name w:val="HTML Preformatted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eastAsia="Times New Roman" w:cs="Courier New"/>
    </w:rPr>
  </w:style>
  <w:style w:type="paragraph" w:styleId="FORMATTEXT" w:customStyle="1">
    <w:name w:val=".FORMATTEXT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Arial" w:hAnsi="Arial" w:eastAsia="Times New Roman" w:cs="Arial"/>
      <w:color w:val="000000"/>
      <w:kern w:val="0"/>
      <w:sz w:val="20"/>
      <w:szCs w:val="20"/>
      <w:lang w:val="ru-RU" w:eastAsia="ru-RU" w:bidi="ar-SA"/>
    </w:rPr>
  </w:style>
  <w:style w:type="paragraph" w:styleId="HEADERTEXT" w:customStyle="1">
    <w:name w:val=".HEADERTEXT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Formattext1" w:customStyle="1">
    <w:name w:val="formattext"/>
    <w:basedOn w:val="Normal"/>
    <w:qFormat/>
    <w:pPr>
      <w:suppressAutoHyphens w:val="false"/>
      <w:spacing w:before="280" w:after="280"/>
    </w:pPr>
    <w:rPr>
      <w:rFonts w:ascii="Times New Roman" w:hAnsi="Times New Roman" w:eastAsia="Times New Roman"/>
      <w:sz w:val="24"/>
      <w:szCs w:val="24"/>
    </w:rPr>
  </w:style>
  <w:style w:type="paragraph" w:styleId="Xmsonormal" w:customStyle="1">
    <w:name w:val="x_msonormal"/>
    <w:basedOn w:val="Normal"/>
    <w:qFormat/>
    <w:pPr>
      <w:suppressAutoHyphens w:val="false"/>
      <w:spacing w:before="280" w:after="280"/>
    </w:pPr>
    <w:rPr>
      <w:rFonts w:ascii="Times New Roman" w:hAnsi="Times New Roman" w:eastAsia="Times New Roman"/>
      <w:sz w:val="24"/>
      <w:szCs w:val="24"/>
    </w:rPr>
  </w:style>
  <w:style w:type="paragraph" w:styleId="Style37" w:customStyle="1">
    <w:name w:val="Содержимое таблицы"/>
    <w:basedOn w:val="Normal"/>
    <w:qFormat/>
    <w:pPr>
      <w:suppressLineNumbers/>
      <w:suppressAutoHyphens w:val="false"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paragraph" w:styleId="Style39" w:customStyle="1">
    <w:name w:val="Таблица шапка"/>
    <w:basedOn w:val="Normal"/>
    <w:qFormat/>
    <w:pPr>
      <w:keepNext w:val="true"/>
      <w:suppressAutoHyphens w:val="false"/>
      <w:spacing w:before="40" w:after="40"/>
      <w:ind w:left="57" w:right="57" w:hanging="0"/>
    </w:pPr>
    <w:rPr>
      <w:rFonts w:ascii="Times New Roman" w:hAnsi="Times New Roman" w:eastAsia="Times New Roman"/>
      <w:szCs w:val="26"/>
    </w:rPr>
  </w:style>
  <w:style w:type="paragraph" w:styleId="Standard" w:customStyle="1">
    <w:name w:val="Standard"/>
    <w:qFormat/>
    <w:rsid w:val="00cf75dd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Нет списка1"/>
    <w:qFormat/>
  </w:style>
  <w:style w:type="numbering" w:styleId="2951804861" w:customStyle="1">
    <w:name w:val="2951804861"/>
    <w:qFormat/>
  </w:style>
  <w:style w:type="table" w:default="1" w:styleId="a7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90176-DA6C-404F-8698-EF03E40AB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Application>AlterOffice/3.4.0.9$Linux_X86_64 LibreOffice_project/b8daf9e823b1a5463a2f48435ddc2e8696e7d4fc</Application>
  <AppVersion>15.0000</AppVersion>
  <Pages>9</Pages>
  <Words>1523</Words>
  <Characters>10437</Characters>
  <CharactersWithSpaces>11692</CharactersWithSpaces>
  <Paragraphs>260</Paragraphs>
  <Company>ESP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2024-10-23T07:12:00Z</dcterms:created>
  <dc:creator>Хозяинов</dc:creator>
  <dc:description/>
  <dc:language>ru-RU</dc:language>
  <cp:lastModifiedBy>kulaginane@corp.gidroogk.com</cp:lastModifiedBy>
  <cp:lastPrinted>2026-04-09T16:59:00Z</cp:lastPrinted>
  <dcterms:modified xsi:type="dcterms:W3CDTF">2026-09-17T14:09:30Z</dcterms:modified>
  <cp:revision>94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r8>0</vt:r8>
  </property>
</Properties>
</file>