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Cs/>
          <w:sz w:val="22"/>
          <w:szCs w:val="22"/>
        </w:rPr>
        <w:t xml:space="preserve"> </w:t>
      </w:r>
      <w:r>
        <w:rPr>
          <w:b/>
          <w:bCs/>
          <w:sz w:val="24"/>
          <w:szCs w:val="24"/>
        </w:rPr>
        <w:t xml:space="preserve">Договор поставки </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rFonts w:ascii="Times New Roman" w:hAnsi="Times New Roman"/>
        </w:rPr>
      </w:pPr>
      <w:r>
        <w:rPr>
          <w:bCs/>
          <w:sz w:val="24"/>
          <w:szCs w:val="24"/>
        </w:rPr>
        <w:t>Пгт. Богородское</w:t>
        <w:tab/>
        <w:t xml:space="preserve">   «___»</w:t>
      </w:r>
      <w:r>
        <w:rPr>
          <w:bCs/>
          <w:sz w:val="24"/>
          <w:szCs w:val="24"/>
          <w:shd w:fill="auto" w:val="clear"/>
        </w:rPr>
        <w:t xml:space="preserve"> сентября 2</w:t>
      </w:r>
      <w:r>
        <w:rPr>
          <w:bCs/>
          <w:sz w:val="24"/>
          <w:szCs w:val="24"/>
        </w:rPr>
        <w:t>026 г.</w:t>
      </w:r>
    </w:p>
    <w:p>
      <w:pPr>
        <w:pStyle w:val="Normal"/>
        <w:shd w:val="clear" w:color="auto" w:fill="FFFFFF"/>
        <w:tabs>
          <w:tab w:val="clear" w:pos="709"/>
          <w:tab w:val="right" w:pos="9639" w:leader="none"/>
        </w:tabs>
        <w:ind w:firstLine="709"/>
        <w:jc w:val="right"/>
        <w:rPr>
          <w:rFonts w:ascii="Times New Roman" w:hAnsi="Times New Roman"/>
          <w:bCs/>
          <w:sz w:val="24"/>
          <w:szCs w:val="24"/>
        </w:rPr>
      </w:pPr>
      <w:r>
        <w:rPr>
          <w:bCs/>
          <w:sz w:val="24"/>
          <w:szCs w:val="24"/>
        </w:rPr>
      </w:r>
    </w:p>
    <w:p>
      <w:pPr>
        <w:pStyle w:val="Normal"/>
        <w:ind w:firstLine="709"/>
        <w:jc w:val="both"/>
        <w:rPr>
          <w:rFonts w:ascii="Times New Roman" w:hAnsi="Times New Roman"/>
        </w:rPr>
      </w:pPr>
      <w:r>
        <w:rPr>
          <w:spacing w:val="10"/>
          <w:sz w:val="24"/>
          <w:szCs w:val="24"/>
        </w:rPr>
        <w:t>Акционерное общество «Транспортная компания РусГидро» (АО «ТК РусГидро»), (далее - «Покупатель»), в лице заместителя директора  Центрального филиала АО «ТК РусГидро» Захарова Олега Николаевича действующего на основании машиночитаемой доверенности (МЧД)  №2b6b16dc-e72b-4c2c-939f-fc89c09b3c33, с одной стороны,  и , ____________________(далее - «Поставщик»), в лице  ________________________, действующего на основании ___, с другой стороны, совместно в дальнейшем именуемые «Стороны», а по отдельности – «Сторона», по результатам проведенной Покупателем неконкурентной процедуры по лоту №</w:t>
      </w:r>
      <w:r>
        <w:rPr>
          <w:b w:val="false"/>
          <w:bCs w:val="false"/>
          <w:spacing w:val="10"/>
          <w:sz w:val="24"/>
          <w:szCs w:val="24"/>
        </w:rPr>
        <w:t xml:space="preserve">         </w:t>
      </w:r>
      <w:r>
        <w:rPr>
          <w:b w:val="false"/>
          <w:bCs w:val="false"/>
          <w:color w:val="222222"/>
          <w:spacing w:val="10"/>
          <w:sz w:val="24"/>
          <w:szCs w:val="24"/>
        </w:rPr>
        <w:t>-ЭКСП ПРОД-2026-ТК_Центр_фил</w:t>
      </w:r>
      <w:r>
        <w:rPr>
          <w:spacing w:val="10"/>
          <w:sz w:val="24"/>
          <w:szCs w:val="24"/>
        </w:rPr>
        <w:t xml:space="preserve"> и на основании протокола 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ind w:firstLine="709" w:left="0"/>
        <w:jc w:val="both"/>
        <w:textAlignment w:val="baseline"/>
        <w:rPr>
          <w:sz w:val="24"/>
          <w:szCs w:val="24"/>
          <w:lang w:eastAsia="en-US"/>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bCs/>
          <w:sz w:val="24"/>
          <w:szCs w:val="24"/>
        </w:rPr>
        <w:t xml:space="preserve">Поставщик обязуется в порядке и сроки, установленные Договором, передать в собственность </w:t>
      </w:r>
      <w:bookmarkStart w:id="0" w:name="_GoBack"/>
      <w:r>
        <w:rPr>
          <w:bCs/>
          <w:sz w:val="24"/>
          <w:szCs w:val="24"/>
        </w:rPr>
        <w:t>Покупателю</w:t>
      </w:r>
      <w:r>
        <w:rPr>
          <w:rFonts w:eastAsia="Calibri"/>
          <w:bCs/>
          <w:sz w:val="24"/>
          <w:szCs w:val="24"/>
          <w:lang w:eastAsia="en-US"/>
        </w:rPr>
        <w:t xml:space="preserve"> </w:t>
      </w:r>
      <w:bookmarkEnd w:id="0"/>
      <w:r>
        <w:rPr>
          <w:rFonts w:eastAsia="Calibri"/>
          <w:bCs/>
          <w:sz w:val="24"/>
          <w:szCs w:val="24"/>
          <w:lang w:eastAsia="en-US"/>
        </w:rPr>
        <w:t>гравий для строительных работ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Загорского строительного участка Центрального филиала АО «ТК РусГидро».</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Начало –  с даты заключения Договора;</w:t>
      </w:r>
    </w:p>
    <w:p>
      <w:pPr>
        <w:pStyle w:val="Normal"/>
        <w:numPr>
          <w:ilvl w:val="2"/>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Окончание – в</w:t>
      </w:r>
      <w:r>
        <w:rPr>
          <w:rFonts w:eastAsia="Times New Roman" w:cs="Times New Roman"/>
          <w:bCs/>
          <w:color w:val="auto"/>
          <w:kern w:val="0"/>
          <w:sz w:val="24"/>
          <w:szCs w:val="24"/>
          <w:lang w:val="ru-RU" w:eastAsia="ru-RU" w:bidi="ar-SA"/>
        </w:rPr>
        <w:t xml:space="preserve"> течение 2 (двух) месяцев, либо до исчерпания предельной суммы по Договору, в зависимости что наступит ранее</w:t>
      </w:r>
      <w:r>
        <w:rPr>
          <w:bCs/>
          <w:sz w:val="24"/>
          <w:szCs w:val="24"/>
        </w:rPr>
        <w:t>.</w:t>
      </w:r>
    </w:p>
    <w:p>
      <w:pPr>
        <w:pStyle w:val="Normal"/>
        <w:numPr>
          <w:ilvl w:val="0"/>
          <w:numId w:val="0"/>
        </w:numPr>
        <w:shd w:val="clear" w:color="auto" w:fill="FFFFFF"/>
        <w:tabs>
          <w:tab w:val="clear" w:pos="709"/>
          <w:tab w:val="left" w:pos="0" w:leader="none"/>
          <w:tab w:val="left" w:pos="1134" w:leader="none"/>
          <w:tab w:val="left" w:pos="1418" w:leader="none"/>
        </w:tabs>
        <w:ind w:hanging="0" w:left="0"/>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предельной и составляет    ________ ( ________) рублей,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Приобретение Товара;</w:t>
      </w:r>
    </w:p>
    <w:p>
      <w:pPr>
        <w:pStyle w:val="ListParagraph"/>
        <w:numPr>
          <w:ilvl w:val="2"/>
          <w:numId w:val="7"/>
        </w:numPr>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tabs>
          <w:tab w:val="clear" w:pos="709"/>
          <w:tab w:val="left" w:pos="1140" w:leader="none"/>
        </w:tabs>
        <w:ind w:firstLine="709" w:left="0"/>
        <w:jc w:val="both"/>
        <w:rPr>
          <w:bCs/>
          <w:sz w:val="24"/>
        </w:rPr>
      </w:pPr>
      <w:r>
        <w:rPr>
          <w:bCs/>
          <w:sz w:val="24"/>
        </w:rPr>
        <w:t xml:space="preserve">Авансовые платежи в размере 100% (ста) процентов от стоимости заявки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Поставщику в течение 7  (семи) календарных дней с даты получения Покупателем счета, выставленного Поставщиком. </w:t>
      </w:r>
    </w:p>
    <w:p>
      <w:pPr>
        <w:pStyle w:val="ListParagraph"/>
        <w:widowControl/>
        <w:numPr>
          <w:ilvl w:val="1"/>
          <w:numId w:val="2"/>
        </w:numPr>
        <w:shd w:val="clear" w:color="auto" w:fill="FFFFFF"/>
        <w:tabs>
          <w:tab w:val="clear" w:pos="709"/>
          <w:tab w:val="left" w:pos="0" w:leader="none"/>
          <w:tab w:val="left" w:pos="1134" w:leader="none"/>
          <w:tab w:val="left" w:pos="1276"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pPr>
      <w:r>
        <w:rPr>
          <w:sz w:val="24"/>
          <w:szCs w:val="24"/>
        </w:rPr>
        <w:t>Поставщик обязан представить Покупателю счета</w:t>
      </w:r>
      <w:r>
        <w:rPr>
          <w:bCs/>
          <w:sz w:val="24"/>
          <w:szCs w:val="24"/>
        </w:rPr>
        <w:t>-</w:t>
      </w:r>
      <w:r>
        <w:rPr>
          <w:sz w:val="24"/>
          <w:szCs w:val="24"/>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rPr>
        <w:t>-</w:t>
      </w:r>
      <w:r>
        <w:rPr>
          <w:sz w:val="24"/>
          <w:szCs w:val="24"/>
        </w:rPr>
        <w:t>фактуры/УПД в течение 3 (трех) рабочих дней с даты получения соответствующего письменного требования Покупателя.</w:t>
      </w:r>
      <w:r>
        <w:rPr>
          <w:rStyle w:val="FootnoteReference"/>
          <w:sz w:val="24"/>
          <w:szCs w:val="24"/>
        </w:rPr>
        <w:footnoteReference w:id="2"/>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ind w:firstLine="709" w:left="0"/>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firstLine="709" w:left="0"/>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hanging="0" w:left="709"/>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Покупатель в срок не позднее 10 (десяти) календарных дней до предполагаемой даты поставки Товара (партии Товара) направляет Поставщику Заявку по электронной почте на адрес:</w:t>
      </w:r>
      <w:r>
        <w:rPr>
          <w:rStyle w:val="Hyperlink"/>
          <w:sz w:val="24"/>
          <w:szCs w:val="24"/>
        </w:rPr>
        <w:t xml:space="preserve">              _</w:t>
      </w:r>
      <w:r>
        <w:rPr>
          <w:sz w:val="24"/>
          <w:szCs w:val="24"/>
        </w:rPr>
        <w:t>, с последующим направлением оригинала Заявки по адресу, указанному в разделе 16 Договора.</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выставляет счет на оплату, по электронной почте на адрес: </w:t>
      </w:r>
      <w:hyperlink r:id="rId2">
        <w:r>
          <w:rPr>
            <w:rStyle w:val="Hyperlink"/>
            <w:sz w:val="24"/>
            <w:szCs w:val="24"/>
          </w:rPr>
          <w:t>masterinnn@rushydro.ru</w:t>
        </w:r>
      </w:hyperlink>
      <w:r>
        <w:rPr>
          <w:sz w:val="24"/>
          <w:szCs w:val="24"/>
        </w:rPr>
        <w:t>, с последующим направлением письменного ответа по адресу, указанному в разделе 16 Договора.</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 xml:space="preserve">Покупатель не позднее 7 (семи) календарных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 </w:t>
      </w:r>
    </w:p>
    <w:p>
      <w:pPr>
        <w:pStyle w:val="ListParagraph"/>
        <w:numPr>
          <w:ilvl w:val="2"/>
          <w:numId w:val="2"/>
        </w:numPr>
        <w:tabs>
          <w:tab w:val="clear" w:pos="709"/>
          <w:tab w:val="left" w:pos="993" w:leader="none"/>
          <w:tab w:val="left" w:pos="1418" w:leader="none"/>
        </w:tabs>
        <w:ind w:firstLine="709" w:left="0"/>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9"/>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pPr>
      <w:r>
        <w:rPr>
          <w:bCs/>
          <w:sz w:val="24"/>
          <w:szCs w:val="24"/>
        </w:rPr>
        <w:t xml:space="preserve">Поставщик не вправе производить </w:t>
      </w:r>
      <w:r>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ListParagraph"/>
        <w:widowControl/>
        <w:numPr>
          <w:ilvl w:val="0"/>
          <w:numId w:val="0"/>
        </w:numPr>
        <w:shd w:val="clear" w:color="auto" w:fill="FFFFFF"/>
        <w:tabs>
          <w:tab w:val="clear" w:pos="709"/>
          <w:tab w:val="left" w:pos="1134" w:leader="none"/>
        </w:tabs>
        <w:ind w:hanging="0" w:left="0"/>
        <w:jc w:val="both"/>
        <w:rPr>
          <w:bCs/>
          <w:sz w:val="24"/>
          <w:szCs w:val="24"/>
        </w:rPr>
      </w:pPr>
      <w:r>
        <w:rPr>
          <w:rFonts w:eastAsia="Times New Roman" w:cs="Times New Roman"/>
          <w:bCs/>
          <w:kern w:val="0"/>
          <w:sz w:val="24"/>
          <w:szCs w:val="24"/>
          <w:lang w:val="ru-RU" w:eastAsia="ru-RU" w:bidi="ar-SA"/>
        </w:rPr>
        <w:t xml:space="preserve">            </w:t>
      </w:r>
      <w:r>
        <w:rPr>
          <w:rFonts w:eastAsia="Times New Roman" w:cs="Times New Roman"/>
          <w:bCs/>
          <w:kern w:val="0"/>
          <w:sz w:val="24"/>
          <w:szCs w:val="24"/>
          <w:lang w:val="ru-RU" w:eastAsia="ru-RU" w:bidi="ar-SA"/>
        </w:rPr>
        <w:t xml:space="preserve">- </w:t>
      </w:r>
      <w:r>
        <w:rPr>
          <w:rFonts w:eastAsia="Times New Roman" w:cs="Times New Roman"/>
          <w:kern w:val="0"/>
          <w:sz w:val="24"/>
          <w:szCs w:val="24"/>
          <w:lang w:val="ru-RU" w:eastAsia="ru-RU" w:bidi="ar-SA"/>
        </w:rPr>
        <w:t>товарно-транспортная накладная;</w:t>
      </w:r>
    </w:p>
    <w:p>
      <w:pPr>
        <w:pStyle w:val="Normal"/>
        <w:numPr>
          <w:ilvl w:val="0"/>
          <w:numId w:val="0"/>
        </w:numPr>
        <w:shd w:val="clear" w:color="auto" w:fill="FFFFFF"/>
        <w:tabs>
          <w:tab w:val="clear" w:pos="709"/>
          <w:tab w:val="left" w:pos="1418" w:leader="none"/>
        </w:tabs>
        <w:ind w:hanging="0" w:left="0"/>
        <w:jc w:val="both"/>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 Накладная ТОРГ-12/УПД</w:t>
      </w:r>
      <w:r>
        <w:rPr>
          <w:sz w:val="24"/>
          <w:szCs w:val="24"/>
        </w:rPr>
        <w:t xml:space="preserve"> в 2 (двух) экз.</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hanging="0" w:left="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и перемещение Товара (в том числе </w:t>
        <w:br/>
        <w:t>по территории Покупателя)</w:t>
      </w:r>
      <w:r>
        <w:rPr>
          <w:rStyle w:val="FootnoteReference"/>
          <w:shadow/>
          <w:color w:val="000000"/>
          <w:sz w:val="24"/>
          <w:szCs w:val="24"/>
        </w:rPr>
        <w:footnoteReference w:id="3"/>
      </w:r>
      <w:r>
        <w:rPr>
          <w:shadow/>
          <w:color w:val="000000"/>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bookmarkStart w:id="2" w:name="_Ref361396594"/>
      <w:r>
        <w:rPr>
          <w:sz w:val="24"/>
          <w:szCs w:val="24"/>
        </w:rPr>
        <w:t>Датой поставки Товара является дата подписания Сторонами Накладной</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9"/>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9"/>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pPr>
        <w:pStyle w:val="ListParagraph"/>
        <w:numPr>
          <w:ilvl w:val="1"/>
          <w:numId w:val="2"/>
        </w:numPr>
        <w:shd w:val="clear" w:color="auto" w:fill="FFFFFF"/>
        <w:tabs>
          <w:tab w:val="clear" w:pos="709"/>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hanging="0" w:left="0"/>
        <w:jc w:val="center"/>
        <w:rPr>
          <w:b/>
          <w:sz w:val="24"/>
          <w:szCs w:val="24"/>
          <w:highlight w:val="lightGray"/>
        </w:rPr>
      </w:pPr>
      <w:r>
        <w:rPr>
          <w:b/>
          <w:sz w:val="24"/>
          <w:szCs w:val="24"/>
          <w:highlight w:val="lightGray"/>
        </w:rPr>
        <w:t>Гарантийный срок</w:t>
      </w:r>
      <w:r>
        <w:rPr>
          <w:rStyle w:val="FootnoteReference"/>
          <w:b/>
          <w:sz w:val="24"/>
          <w:szCs w:val="24"/>
          <w:highlight w:val="lightGray"/>
        </w:rPr>
        <w:footnoteReference w:id="4"/>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w:t>
      </w:r>
      <w:r>
        <w:rPr>
          <w:rFonts w:eastAsia="Times New Roman" w:cs="Times New Roman"/>
          <w:kern w:val="0"/>
          <w:sz w:val="24"/>
          <w:szCs w:val="24"/>
          <w:lang w:val="ru-RU" w:eastAsia="ru-RU" w:bidi="ar-SA"/>
        </w:rPr>
        <w:t>в соответствии с гарантией завода изготовителя но не менее 6 (шести) месяцев с даты подписания Накладной ТОРГ-12/УПД</w:t>
      </w:r>
      <w:r>
        <w:rPr>
          <w:sz w:val="24"/>
          <w:szCs w:val="24"/>
        </w:rPr>
        <w:t xml:space="preserve">.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9"/>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9"/>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2"/>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BodyText"/>
        <w:widowControl/>
        <w:numPr>
          <w:ilvl w:val="1"/>
          <w:numId w:val="2"/>
        </w:numPr>
        <w:tabs>
          <w:tab w:val="clear" w:pos="709"/>
          <w:tab w:val="left" w:pos="1276" w:leader="none"/>
        </w:tabs>
        <w:spacing w:before="0" w:after="0"/>
        <w:ind w:firstLine="567" w:left="0"/>
        <w:contextualSpacing/>
        <w:jc w:val="both"/>
        <w:rPr>
          <w:sz w:val="24"/>
          <w:szCs w:val="24"/>
        </w:rPr>
      </w:pPr>
      <w:r>
        <w:rPr>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rFonts w:ascii="Times New              Roman;se" w:hAnsi="Times New              Roman;se"/>
          <w:sz w:val="28"/>
          <w:szCs w:val="24"/>
        </w:rPr>
        <w:t xml:space="preserve">, </w:t>
      </w:r>
      <w:r>
        <w:rPr>
          <w:sz w:val="24"/>
          <w:szCs w:val="24"/>
        </w:rPr>
        <w:t>но не более 5 (Пяти) процентов от несвоевременно оплаченной суммы.</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 xml:space="preserve">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rPr>
        <w:footnoteReference w:id="5"/>
      </w:r>
      <w:r>
        <w:rPr>
          <w:bCs/>
          <w:sz w:val="24"/>
          <w:szCs w:val="24"/>
        </w:rPr>
        <w:t>.</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 сумма неустойки, подлежащая уплате виновной Стороной, определяется на основании решения суда.</w:t>
      </w:r>
    </w:p>
    <w:p>
      <w:pPr>
        <w:pStyle w:val="Normal"/>
        <w:widowControl/>
        <w:tabs>
          <w:tab w:val="clear" w:pos="709"/>
          <w:tab w:val="left" w:pos="1276" w:leader="none"/>
        </w:tabs>
        <w:ind w:hanging="0" w:left="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3"/>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3"/>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города Москвы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color w:val="000000"/>
          <w:sz w:val="24"/>
          <w:szCs w:val="24"/>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b/>
          <w:bCs/>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9"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0"/>
        </w:numPr>
        <w:shd w:val="clear" w:color="auto" w:fill="FFFFFF"/>
        <w:tabs>
          <w:tab w:val="clear" w:pos="709"/>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sz w:val="24"/>
            <w:szCs w:val="24"/>
          </w:rPr>
          <w:t>№ 18162/09</w:t>
        </w:r>
      </w:hyperlink>
      <w:r>
        <w:rPr>
          <w:bCs/>
          <w:sz w:val="24"/>
          <w:szCs w:val="24"/>
        </w:rPr>
        <w:t xml:space="preserve"> </w:t>
        <w:br/>
        <w:t xml:space="preserve">и от 25.05.2010 </w:t>
      </w:r>
      <w:hyperlink r:id="rId4">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0"/>
        </w:numPr>
        <w:shd w:val="clear" w:color="auto" w:fill="FFFFFF"/>
        <w:tabs>
          <w:tab w:val="clear" w:pos="709"/>
          <w:tab w:val="left" w:pos="1134" w:leader="none"/>
        </w:tabs>
        <w:ind w:firstLine="709" w:left="0"/>
        <w:jc w:val="both"/>
        <w:rPr>
          <w:bCs/>
          <w:sz w:val="24"/>
          <w:szCs w:val="24"/>
        </w:rPr>
      </w:pPr>
      <w:r>
        <w:rPr>
          <w:bCs/>
          <w:sz w:val="24"/>
          <w:szCs w:val="24"/>
        </w:rPr>
        <w:t xml:space="preserve">соответствующие </w:t>
      </w:r>
      <w:hyperlink r:id="rId5">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9"/>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0"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10"/>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1"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2"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2"/>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3"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3"/>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4"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4"/>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firstLine="709" w:left="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color w:val="000000"/>
          <w:sz w:val="24"/>
          <w:szCs w:val="24"/>
        </w:rPr>
        <w:t xml:space="preserve">13.8 </w:t>
      </w:r>
      <w:r>
        <w:rPr>
          <w:sz w:val="24"/>
          <w:szCs w:val="24"/>
        </w:rPr>
        <w:t>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8"/>
        </w:numPr>
        <w:shd w:val="clear" w:color="auto" w:fill="FFFFFF"/>
        <w:tabs>
          <w:tab w:val="clear" w:pos="709"/>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8"/>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8"/>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hanging="0" w:left="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Normal"/>
        <w:numPr>
          <w:ilvl w:val="0"/>
          <w:numId w:val="0"/>
        </w:numPr>
        <w:snapToGrid w:val="false"/>
        <w:ind w:hanging="0" w:left="360"/>
        <w:jc w:val="both"/>
        <w:rPr>
          <w:i/>
          <w:i/>
          <w:sz w:val="24"/>
          <w:szCs w:val="24"/>
          <w:highlight w:val="lightGray"/>
        </w:rPr>
      </w:pPr>
      <w:r>
        <w:rPr>
          <w:sz w:val="24"/>
          <w:szCs w:val="24"/>
          <w:highlight w:val="lightGray"/>
        </w:rPr>
        <w:t>13.2.  Договор заключается в электронной форме с</w:t>
      </w:r>
      <w:r>
        <w:rPr>
          <w:i/>
          <w:sz w:val="24"/>
          <w:szCs w:val="24"/>
          <w:highlight w:val="lightGray"/>
        </w:rPr>
        <w:t xml:space="preserve"> </w:t>
      </w:r>
      <w:r>
        <w:rPr>
          <w:sz w:val="24"/>
          <w:szCs w:val="24"/>
          <w:highlight w:val="lightGray"/>
        </w:rPr>
        <w:t>использованием программно-аппаратных средств</w:t>
      </w:r>
      <w:r>
        <w:rPr>
          <w:i/>
          <w:sz w:val="24"/>
          <w:szCs w:val="24"/>
          <w:highlight w:val="lightGray"/>
        </w:rPr>
        <w:t xml:space="preserve"> информационной системы электронного документооборота общего пользования</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w:t>
      </w:r>
    </w:p>
    <w:p>
      <w:pPr>
        <w:pStyle w:val="Normal"/>
        <w:widowControl/>
        <w:numPr>
          <w:ilvl w:val="0"/>
          <w:numId w:val="0"/>
        </w:numPr>
        <w:shd w:val="clear" w:fill="FFFF00"/>
        <w:snapToGrid w:val="false"/>
        <w:ind w:hanging="0" w:left="0"/>
        <w:jc w:val="both"/>
        <w:rPr>
          <w:sz w:val="24"/>
          <w:szCs w:val="24"/>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6"/>
      </w:r>
      <w:r>
        <w:rPr>
          <w:sz w:val="24"/>
          <w:szCs w:val="24"/>
          <w:highlight w:val="lightGray"/>
        </w:rPr>
        <w:t>.</w:t>
      </w:r>
      <w:r>
        <w:rPr>
          <w:sz w:val="24"/>
          <w:szCs w:val="24"/>
        </w:rPr>
        <w:t xml:space="preserve">Договор заключается в электронной форме с использованием программно-аппаратных средств </w:t>
      </w:r>
      <w:r>
        <w:rPr>
          <w:i/>
          <w:sz w:val="24"/>
          <w:szCs w:val="24"/>
        </w:rPr>
        <w:t>общего пользования</w:t>
      </w:r>
      <w:r>
        <w:rPr>
          <w:sz w:val="24"/>
          <w:szCs w:val="24"/>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color w:val="000000"/>
          <w:sz w:val="24"/>
          <w:szCs w:val="24"/>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15"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color w:val="000000"/>
          <w:sz w:val="24"/>
          <w:szCs w:val="24"/>
        </w:rPr>
        <w:t xml:space="preserve">13.8 </w:t>
      </w:r>
      <w:r>
        <w:rPr>
          <w:sz w:val="24"/>
          <w:szCs w:val="24"/>
        </w:rPr>
        <w:t>Договора.</w:t>
      </w:r>
      <w:bookmarkEnd w:id="15"/>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tabs>
          <w:tab w:val="clear" w:pos="709"/>
          <w:tab w:val="left" w:pos="1276" w:leader="none"/>
        </w:tabs>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tabs>
          <w:tab w:val="clear" w:pos="709"/>
          <w:tab w:val="left" w:pos="1276" w:leader="none"/>
        </w:tabs>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color w:val="000000"/>
          <w:sz w:val="24"/>
          <w:szCs w:val="24"/>
        </w:rPr>
        <w:t>13.8.1 – 13.8.2</w:t>
      </w:r>
      <w:r>
        <w:rPr>
          <w:bCs/>
          <w:sz w:val="24"/>
          <w:szCs w:val="24"/>
        </w:rPr>
        <w:t xml:space="preserve"> Договора. </w:t>
      </w:r>
    </w:p>
    <w:p>
      <w:pPr>
        <w:pStyle w:val="ListParagraph"/>
        <w:widowControl/>
        <w:numPr>
          <w:ilvl w:val="1"/>
          <w:numId w:val="2"/>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7"/>
      </w:r>
      <w:r>
        <w:rPr>
          <w:sz w:val="24"/>
          <w:szCs w:val="24"/>
          <w:highlight w:val="lightGray"/>
        </w:rPr>
        <w:t>.</w:t>
      </w:r>
    </w:p>
    <w:p>
      <w:pPr>
        <w:pStyle w:val="ListParagraph"/>
        <w:widowControl/>
        <w:shd w:val="clear" w:color="auto" w:fill="FFFFFF"/>
        <w:tabs>
          <w:tab w:val="clear" w:pos="709"/>
          <w:tab w:val="left" w:pos="0" w:leader="none"/>
          <w:tab w:val="left" w:pos="1418" w:leader="none"/>
        </w:tabs>
        <w:ind w:firstLine="709" w:left="0"/>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6"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6"/>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ListParagraph"/>
        <w:widowControl/>
        <w:numPr>
          <w:ilvl w:val="0"/>
          <w:numId w:val="2"/>
        </w:numPr>
        <w:shd w:val="clear" w:color="auto" w:fill="FFFFFF"/>
        <w:ind w:hanging="0" w:left="0"/>
        <w:jc w:val="center"/>
        <w:rPr>
          <w:b/>
          <w:bCs/>
          <w:sz w:val="24"/>
          <w:szCs w:val="24"/>
        </w:rPr>
      </w:pPr>
      <w:r>
        <w:rPr>
          <w:b/>
          <w:bCs/>
          <w:sz w:val="24"/>
          <w:szCs w:val="24"/>
        </w:rPr>
        <w:t>Адреса и платежные реквизиты Сторон</w:t>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0"/>
        <w:gridCol w:w="142"/>
        <w:gridCol w:w="4633"/>
        <w:gridCol w:w="236"/>
      </w:tblGrid>
      <w:tr>
        <w:trPr/>
        <w:tc>
          <w:tcPr>
            <w:tcW w:w="4912" w:type="dxa"/>
            <w:gridSpan w:val="2"/>
            <w:tcBorders/>
          </w:tcPr>
          <w:p>
            <w:pPr>
              <w:pStyle w:val="Normal"/>
              <w:widowControl w:val="false"/>
              <w:rPr>
                <w:b/>
                <w:sz w:val="24"/>
                <w:szCs w:val="24"/>
              </w:rPr>
            </w:pPr>
            <w:r>
              <w:rPr>
                <w:b/>
                <w:sz w:val="24"/>
                <w:szCs w:val="24"/>
              </w:rPr>
              <w:t>Покупатель:</w:t>
            </w:r>
          </w:p>
        </w:tc>
        <w:tc>
          <w:tcPr>
            <w:tcW w:w="4869" w:type="dxa"/>
            <w:gridSpan w:val="2"/>
            <w:tcBorders/>
          </w:tcPr>
          <w:p>
            <w:pPr>
              <w:pStyle w:val="Normal"/>
              <w:widowControl w:val="false"/>
              <w:rPr>
                <w:b/>
                <w:sz w:val="24"/>
                <w:szCs w:val="24"/>
              </w:rPr>
            </w:pPr>
            <w:r>
              <w:rPr>
                <w:b/>
                <w:sz w:val="24"/>
                <w:szCs w:val="24"/>
              </w:rPr>
              <w:t>Поставщик:</w:t>
            </w:r>
          </w:p>
        </w:tc>
      </w:tr>
      <w:tr>
        <w:trPr/>
        <w:tc>
          <w:tcPr>
            <w:tcW w:w="4912" w:type="dxa"/>
            <w:gridSpan w:val="2"/>
            <w:tcBorders/>
          </w:tcPr>
          <w:p>
            <w:pPr>
              <w:pStyle w:val="Normal"/>
              <w:widowControl w:val="false"/>
              <w:rPr>
                <w:b/>
                <w:color w:val="000000"/>
                <w:sz w:val="24"/>
                <w:szCs w:val="24"/>
              </w:rPr>
            </w:pPr>
            <w:r>
              <w:rPr>
                <w:b/>
                <w:color w:val="000000"/>
                <w:sz w:val="24"/>
                <w:szCs w:val="24"/>
              </w:rPr>
              <w:t>АО «ТК РусГидро»</w:t>
            </w:r>
          </w:p>
          <w:p>
            <w:pPr>
              <w:pStyle w:val="Normal"/>
              <w:widowControl w:val="false"/>
              <w:rPr>
                <w:color w:val="000000"/>
                <w:sz w:val="24"/>
                <w:szCs w:val="24"/>
              </w:rPr>
            </w:pPr>
            <w:r>
              <w:rPr>
                <w:color w:val="000000"/>
                <w:sz w:val="24"/>
                <w:szCs w:val="24"/>
              </w:rPr>
              <w:t>Место нахождения: 655619, Республика Хакасия, г. Саяногорск, рп. Черемушки, стр. № 101</w:t>
            </w:r>
          </w:p>
          <w:p>
            <w:pPr>
              <w:pStyle w:val="Normal"/>
              <w:widowControl w:val="false"/>
              <w:rPr>
                <w:b/>
                <w:bCs/>
              </w:rPr>
            </w:pPr>
            <w:r>
              <w:rPr>
                <w:b/>
                <w:bCs/>
                <w:color w:val="000000"/>
                <w:sz w:val="24"/>
                <w:szCs w:val="24"/>
              </w:rPr>
              <w:t>Центральный филиал АО «ТК РусГидро»</w:t>
            </w:r>
          </w:p>
          <w:p>
            <w:pPr>
              <w:pStyle w:val="Normal"/>
              <w:widowControl w:val="false"/>
              <w:rPr>
                <w:color w:val="000000"/>
                <w:sz w:val="24"/>
                <w:szCs w:val="24"/>
              </w:rPr>
            </w:pPr>
            <w:r>
              <w:rPr>
                <w:color w:val="000000"/>
                <w:sz w:val="24"/>
                <w:szCs w:val="24"/>
              </w:rPr>
              <w:t>Место нахождения и почтовый адрес: 141342, Российская Федерация, Московская область, Сергиево-Посадский г.о., пгт. Богородское, д. 100,</w:t>
            </w:r>
          </w:p>
          <w:p>
            <w:pPr>
              <w:pStyle w:val="Normal"/>
              <w:widowControl w:val="false"/>
              <w:rPr>
                <w:color w:val="000000"/>
                <w:sz w:val="24"/>
                <w:szCs w:val="24"/>
              </w:rPr>
            </w:pPr>
            <w:r>
              <w:rPr>
                <w:color w:val="000000"/>
                <w:sz w:val="24"/>
                <w:szCs w:val="24"/>
              </w:rPr>
              <w:t>Р/с 40702810940020015572</w:t>
            </w:r>
          </w:p>
          <w:p>
            <w:pPr>
              <w:pStyle w:val="Normal"/>
              <w:widowControl w:val="false"/>
              <w:rPr>
                <w:color w:val="000000"/>
                <w:sz w:val="24"/>
                <w:szCs w:val="24"/>
              </w:rPr>
            </w:pPr>
            <w:r>
              <w:rPr>
                <w:color w:val="000000"/>
                <w:sz w:val="24"/>
                <w:szCs w:val="24"/>
              </w:rPr>
              <w:t>в ПАО «Сбербанк России», г. Москва</w:t>
            </w:r>
          </w:p>
          <w:p>
            <w:pPr>
              <w:pStyle w:val="Normal"/>
              <w:widowControl w:val="false"/>
              <w:rPr>
                <w:color w:val="000000"/>
                <w:sz w:val="24"/>
                <w:szCs w:val="24"/>
              </w:rPr>
            </w:pPr>
            <w:r>
              <w:rPr>
                <w:color w:val="000000"/>
                <w:sz w:val="24"/>
                <w:szCs w:val="24"/>
              </w:rPr>
              <w:t>к/с 30101810400000000225 БИК: 044525225</w:t>
            </w:r>
          </w:p>
          <w:p>
            <w:pPr>
              <w:pStyle w:val="Normal"/>
              <w:widowControl w:val="false"/>
              <w:rPr>
                <w:color w:val="000000"/>
                <w:sz w:val="24"/>
                <w:szCs w:val="24"/>
              </w:rPr>
            </w:pPr>
            <w:r>
              <w:rPr>
                <w:color w:val="000000"/>
                <w:sz w:val="24"/>
                <w:szCs w:val="24"/>
              </w:rPr>
              <w:t>ИНН: 1902018248 КПП: 504 243 001</w:t>
            </w:r>
          </w:p>
          <w:p>
            <w:pPr>
              <w:pStyle w:val="Normal"/>
              <w:widowControl w:val="false"/>
              <w:rPr>
                <w:sz w:val="24"/>
                <w:szCs w:val="24"/>
              </w:rPr>
            </w:pPr>
            <w:r>
              <w:rPr>
                <w:color w:val="000000"/>
                <w:sz w:val="24"/>
                <w:szCs w:val="24"/>
              </w:rPr>
              <w:t>ОГРН:1031900676356</w:t>
            </w:r>
          </w:p>
        </w:tc>
        <w:tc>
          <w:tcPr>
            <w:tcW w:w="4869" w:type="dxa"/>
            <w:gridSpan w:val="2"/>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tc>
      </w:tr>
      <w:tr>
        <w:trPr/>
        <w:tc>
          <w:tcPr>
            <w:tcW w:w="4770" w:type="dxa"/>
            <w:tcBorders/>
          </w:tcPr>
          <w:p>
            <w:pPr>
              <w:pStyle w:val="Normal"/>
              <w:widowControl w:val="false"/>
              <w:rPr>
                <w:b/>
                <w:sz w:val="24"/>
                <w:szCs w:val="24"/>
              </w:rPr>
            </w:pPr>
            <w:r>
              <w:rPr>
                <w:b/>
                <w:sz w:val="24"/>
                <w:szCs w:val="24"/>
              </w:rPr>
            </w:r>
          </w:p>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t>Заместитель директора Центрального филиала АО «ТК РусГидро»</w:t>
            </w:r>
          </w:p>
          <w:p>
            <w:pPr>
              <w:pStyle w:val="Normal"/>
              <w:widowControl w:val="false"/>
              <w:rPr>
                <w:b/>
                <w:sz w:val="24"/>
                <w:szCs w:val="24"/>
              </w:rPr>
            </w:pPr>
            <w:r>
              <w:rPr>
                <w:b/>
                <w:sz w:val="24"/>
                <w:szCs w:val="24"/>
              </w:rPr>
            </w:r>
          </w:p>
          <w:p>
            <w:pPr>
              <w:pStyle w:val="Normal"/>
              <w:widowControl w:val="false"/>
              <w:rPr>
                <w:b/>
                <w:sz w:val="24"/>
                <w:szCs w:val="24"/>
              </w:rPr>
            </w:pPr>
            <w:r>
              <w:rPr>
                <w:b/>
                <w:sz w:val="24"/>
                <w:szCs w:val="24"/>
              </w:rPr>
            </w:r>
          </w:p>
          <w:p>
            <w:pPr>
              <w:pStyle w:val="Normal"/>
              <w:widowControl w:val="false"/>
              <w:rPr>
                <w:sz w:val="24"/>
                <w:szCs w:val="24"/>
              </w:rPr>
            </w:pPr>
            <w:r>
              <w:rPr>
                <w:sz w:val="24"/>
                <w:szCs w:val="24"/>
              </w:rPr>
              <w:t xml:space="preserve">_____________________/Захаров О.Н. </w:t>
            </w:r>
          </w:p>
          <w:p>
            <w:pPr>
              <w:pStyle w:val="Normal"/>
              <w:widowControl w:val="false"/>
              <w:ind w:firstLine="709"/>
              <w:rPr>
                <w:sz w:val="24"/>
                <w:szCs w:val="24"/>
              </w:rPr>
            </w:pPr>
            <w:r>
              <w:rPr>
                <w:sz w:val="24"/>
                <w:szCs w:val="24"/>
              </w:rPr>
            </w:r>
          </w:p>
        </w:tc>
        <w:tc>
          <w:tcPr>
            <w:tcW w:w="4775" w:type="dxa"/>
            <w:gridSpan w:val="2"/>
            <w:tcBorders/>
          </w:tcPr>
          <w:p>
            <w:pPr>
              <w:pStyle w:val="Normal"/>
              <w:widowControl w:val="false"/>
              <w:ind w:hanging="1"/>
              <w:rPr>
                <w:b/>
                <w:sz w:val="24"/>
                <w:szCs w:val="24"/>
              </w:rPr>
            </w:pPr>
            <w:r>
              <w:rPr>
                <w:b/>
                <w:sz w:val="24"/>
                <w:szCs w:val="24"/>
              </w:rPr>
            </w:r>
          </w:p>
          <w:p>
            <w:pPr>
              <w:pStyle w:val="Normal"/>
              <w:widowControl w:val="false"/>
              <w:ind w:hanging="1"/>
              <w:rPr>
                <w:b/>
                <w:sz w:val="24"/>
                <w:szCs w:val="24"/>
              </w:rPr>
            </w:pPr>
            <w:r>
              <w:rPr>
                <w:b/>
                <w:sz w:val="24"/>
                <w:szCs w:val="24"/>
              </w:rPr>
              <w:t>Поставщик:</w:t>
            </w:r>
          </w:p>
          <w:p>
            <w:pPr>
              <w:pStyle w:val="Normal"/>
              <w:widowControl w:val="false"/>
              <w:rPr>
                <w:b/>
                <w:bCs/>
                <w:spacing w:val="10"/>
                <w:sz w:val="24"/>
                <w:szCs w:val="24"/>
              </w:rPr>
            </w:pPr>
            <w:r>
              <w:rPr>
                <w:b/>
                <w:bCs/>
                <w:spacing w:val="10"/>
                <w:sz w:val="24"/>
                <w:szCs w:val="24"/>
              </w:rPr>
            </w:r>
          </w:p>
          <w:p>
            <w:pPr>
              <w:pStyle w:val="Normal"/>
              <w:widowControl w:val="false"/>
              <w:rPr>
                <w:b/>
                <w:bCs/>
                <w:sz w:val="24"/>
                <w:szCs w:val="24"/>
              </w:rPr>
            </w:pPr>
            <w:r>
              <w:rPr>
                <w:b/>
                <w:bCs/>
                <w:sz w:val="24"/>
                <w:szCs w:val="24"/>
              </w:rPr>
            </w:r>
          </w:p>
          <w:p>
            <w:pPr>
              <w:pStyle w:val="Normal"/>
              <w:widowControl w:val="false"/>
              <w:rPr>
                <w:b/>
                <w:bCs/>
                <w:sz w:val="24"/>
                <w:szCs w:val="24"/>
              </w:rPr>
            </w:pPr>
            <w:r>
              <w:rPr>
                <w:b/>
                <w:bCs/>
                <w:sz w:val="24"/>
                <w:szCs w:val="24"/>
              </w:rPr>
            </w:r>
          </w:p>
          <w:p>
            <w:pPr>
              <w:pStyle w:val="Normal"/>
              <w:widowControl w:val="false"/>
              <w:ind w:hanging="1"/>
              <w:rPr>
                <w:sz w:val="24"/>
                <w:szCs w:val="24"/>
              </w:rPr>
            </w:pPr>
            <w:r>
              <w:rPr>
                <w:sz w:val="24"/>
                <w:szCs w:val="24"/>
              </w:rPr>
              <w:t>_____________________/</w:t>
            </w:r>
          </w:p>
          <w:p>
            <w:pPr>
              <w:pStyle w:val="Normal"/>
              <w:widowControl w:val="false"/>
              <w:ind w:firstLine="709"/>
              <w:rPr>
                <w:b/>
                <w:sz w:val="24"/>
                <w:szCs w:val="24"/>
              </w:rPr>
            </w:pPr>
            <w:r>
              <w:rPr>
                <w:b/>
                <w:sz w:val="24"/>
                <w:szCs w:val="24"/>
              </w:rPr>
            </w:r>
          </w:p>
        </w:tc>
        <w:tc>
          <w:tcPr>
            <w:tcW w:w="236" w:type="dxa"/>
            <w:tcBorders/>
          </w:tcPr>
          <w:p>
            <w:pPr>
              <w:pStyle w:val="Normal"/>
              <w:widowControl w:val="false"/>
              <w:rPr/>
            </w:pPr>
            <w:r>
              <w:rPr/>
            </w:r>
          </w:p>
        </w:tc>
      </w:tr>
    </w:tbl>
    <w:p>
      <w:pPr>
        <w:sectPr>
          <w:headerReference w:type="default" r:id="rId6"/>
          <w:headerReference w:type="first" r:id="rId7"/>
          <w:footerReference w:type="default" r:id="rId8"/>
          <w:footnotePr>
            <w:numFmt w:val="decimal"/>
          </w:footnotePr>
          <w:type w:val="nextPage"/>
          <w:pgSz w:w="11906" w:h="16838"/>
          <w:pgMar w:left="1418" w:right="851" w:gutter="0" w:header="709" w:top="993" w:footer="420" w:bottom="477"/>
          <w:pgNumType w:fmt="decimal"/>
          <w:formProt w:val="false"/>
          <w:titlePg/>
          <w:textDirection w:val="lrTb"/>
          <w:docGrid w:type="default" w:linePitch="360" w:charSpace="24576"/>
        </w:sectPr>
      </w:pPr>
    </w:p>
    <w:p>
      <w:pPr>
        <w:pStyle w:val="Normal"/>
        <w:ind w:firstLine="4820"/>
        <w:jc w:val="right"/>
        <w:rPr/>
      </w:pPr>
      <w:r>
        <w:rPr>
          <w:sz w:val="22"/>
          <w:szCs w:val="22"/>
        </w:rPr>
        <w:t>Приложение № 1</w:t>
      </w:r>
    </w:p>
    <w:p>
      <w:pPr>
        <w:pStyle w:val="Normal"/>
        <w:ind w:firstLine="4820"/>
        <w:jc w:val="right"/>
        <w:rPr/>
      </w:pPr>
      <w:r>
        <w:rPr>
          <w:sz w:val="22"/>
          <w:szCs w:val="22"/>
        </w:rPr>
        <w:t>к Договору поставки</w:t>
      </w:r>
    </w:p>
    <w:p>
      <w:pPr>
        <w:pStyle w:val="Normal"/>
        <w:ind w:firstLine="4820"/>
        <w:jc w:val="right"/>
        <w:rPr/>
      </w:pPr>
      <w:r>
        <w:rPr>
          <w:sz w:val="22"/>
          <w:szCs w:val="22"/>
        </w:rPr>
        <w:t>от «____» _____20 _ г. № /ЦФ/Рм</w:t>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15191" w:type="dxa"/>
        <w:jc w:val="left"/>
        <w:tblInd w:w="-488" w:type="dxa"/>
        <w:tblLayout w:type="fixed"/>
        <w:tblCellMar>
          <w:top w:w="0" w:type="dxa"/>
          <w:left w:w="108" w:type="dxa"/>
          <w:bottom w:w="0" w:type="dxa"/>
          <w:right w:w="108" w:type="dxa"/>
        </w:tblCellMar>
        <w:tblLook w:val="0000" w:noHBand="0" w:noVBand="0" w:firstColumn="0" w:lastRow="0" w:lastColumn="0" w:firstRow="0"/>
      </w:tblPr>
      <w:tblGrid>
        <w:gridCol w:w="665"/>
        <w:gridCol w:w="3359"/>
        <w:gridCol w:w="790"/>
        <w:gridCol w:w="1254"/>
        <w:gridCol w:w="1115"/>
        <w:gridCol w:w="854"/>
        <w:gridCol w:w="1247"/>
        <w:gridCol w:w="1829"/>
        <w:gridCol w:w="1364"/>
        <w:gridCol w:w="1427"/>
        <w:gridCol w:w="1285"/>
      </w:tblGrid>
      <w:tr>
        <w:trPr>
          <w:trHeight w:val="526" w:hRule="atLeast"/>
        </w:trPr>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33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7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12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1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8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18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13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(22%) руб.</w:t>
            </w:r>
          </w:p>
        </w:tc>
        <w:tc>
          <w:tcPr>
            <w:tcW w:w="14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12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hd w:fill="C0C0C0" w:val="clear"/>
              </w:rPr>
            </w:pPr>
            <w:r>
              <w:rPr>
                <w:shd w:fill="C0C0C0" w:val="clear"/>
              </w:rPr>
              <w:t>1</w:t>
            </w:r>
          </w:p>
        </w:tc>
        <w:tc>
          <w:tcPr>
            <w:tcW w:w="3359"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jc w:val="center"/>
              <w:rPr>
                <w:rFonts w:eastAsia="Calibri"/>
                <w:sz w:val="24"/>
                <w:szCs w:val="24"/>
              </w:rPr>
            </w:pPr>
            <w:r>
              <w:rPr>
                <w:rFonts w:eastAsia="Calibri" w:cs=""/>
                <w:kern w:val="0"/>
                <w:sz w:val="24"/>
                <w:szCs w:val="24"/>
                <w:lang w:val="ru-RU" w:eastAsia="ru-RU" w:bidi="ar-SA"/>
              </w:rPr>
              <w:t>Гравий (М800) фракции 5-20мм</w:t>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jc w:val="center"/>
              <w:rPr>
                <w:rFonts w:eastAsia="Calibri"/>
              </w:rPr>
            </w:pPr>
            <w:r>
              <w:rPr>
                <w:rFonts w:eastAsia="Calibri"/>
              </w:rPr>
            </w:r>
          </w:p>
          <w:p>
            <w:pPr>
              <w:pStyle w:val="Normal"/>
              <w:widowControl w:val="false"/>
              <w:tabs>
                <w:tab w:val="clear" w:pos="709"/>
                <w:tab w:val="left" w:pos="542" w:leader="none"/>
              </w:tabs>
              <w:suppressAutoHyphens w:val="false"/>
              <w:jc w:val="center"/>
              <w:rPr>
                <w:color w:val="000000"/>
              </w:rPr>
            </w:pPr>
            <w:r>
              <w:rPr>
                <w:color w:val="000000"/>
              </w:rPr>
            </w:r>
          </w:p>
          <w:p>
            <w:pPr>
              <w:pStyle w:val="Normal"/>
              <w:keepNext w:val="true"/>
              <w:keepLines/>
              <w:jc w:val="center"/>
              <w:rPr>
                <w:rFonts w:eastAsia="Calibri"/>
                <w:sz w:val="24"/>
                <w:szCs w:val="24"/>
              </w:rPr>
            </w:pPr>
            <w:r>
              <w:rPr>
                <w:rFonts w:eastAsia="Calibri"/>
                <w:color w:val="000000"/>
                <w:sz w:val="24"/>
                <w:szCs w:val="24"/>
              </w:rPr>
              <w:t>ОКПД2 08.12.12.130</w:t>
            </w:r>
          </w:p>
        </w:tc>
        <w:tc>
          <w:tcPr>
            <w:tcW w:w="11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p>
            <w:pPr>
              <w:pStyle w:val="Normal"/>
              <w:widowControl w:val="false"/>
              <w:jc w:val="center"/>
              <w:rPr/>
            </w:pPr>
            <w:r>
              <w:rPr/>
            </w:r>
          </w:p>
          <w:p>
            <w:pPr>
              <w:pStyle w:val="Normal"/>
              <w:widowControl w:val="false"/>
              <w:jc w:val="center"/>
              <w:rPr/>
            </w:pPr>
            <w:r>
              <w:rPr/>
              <w:t>м3</w:t>
            </w:r>
          </w:p>
          <w:p>
            <w:pPr>
              <w:pStyle w:val="Normal"/>
              <w:widowControl w:val="false"/>
              <w:jc w:val="center"/>
              <w:rPr/>
            </w:pPr>
            <w:r>
              <w:rPr/>
            </w:r>
          </w:p>
        </w:tc>
        <w:tc>
          <w:tcPr>
            <w:tcW w:w="85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40"/>
              <w:ind w:hanging="0" w:left="17"/>
              <w:jc w:val="center"/>
              <w:rPr/>
            </w:pPr>
            <w:r>
              <w:rPr/>
            </w:r>
          </w:p>
          <w:p>
            <w:pPr>
              <w:pStyle w:val="Normal"/>
              <w:widowControl w:val="false"/>
              <w:spacing w:lineRule="atLeast" w:line="240"/>
              <w:ind w:hanging="0" w:left="17"/>
              <w:jc w:val="center"/>
              <w:rPr/>
            </w:pPr>
            <w:r>
              <w:rPr/>
            </w:r>
          </w:p>
          <w:p>
            <w:pPr>
              <w:pStyle w:val="Normal"/>
              <w:widowControl w:val="false"/>
              <w:spacing w:lineRule="atLeast" w:line="240"/>
              <w:ind w:hanging="0" w:left="17"/>
              <w:jc w:val="center"/>
              <w:rPr/>
            </w:pPr>
            <w:r>
              <w:rPr/>
              <w:t>204</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8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3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4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2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Товарно-транспортная накладная;</w:t>
            </w:r>
          </w:p>
          <w:p>
            <w:pPr>
              <w:pStyle w:val="Normal"/>
              <w:widowControl w:val="false"/>
              <w:rPr>
                <w:sz w:val="22"/>
                <w:szCs w:val="22"/>
              </w:rPr>
            </w:pPr>
            <w:r>
              <w:rPr>
                <w:sz w:val="22"/>
                <w:szCs w:val="22"/>
              </w:rPr>
              <w:t>Накладная ТОРГ-12/УПД/</w:t>
            </w:r>
          </w:p>
        </w:tc>
      </w:tr>
      <w:tr>
        <w:trPr>
          <w:trHeight w:val="262" w:hRule="atLeast"/>
        </w:trPr>
        <w:tc>
          <w:tcPr>
            <w:tcW w:w="12477" w:type="dxa"/>
            <w:gridSpan w:val="9"/>
            <w:tcBorders>
              <w:top w:val="single" w:sz="4" w:space="0" w:color="000000"/>
              <w:left w:val="single" w:sz="4" w:space="0" w:color="000000"/>
              <w:bottom w:val="single" w:sz="4" w:space="0" w:color="000000"/>
              <w:right w:val="single" w:sz="4" w:space="0" w:color="000000"/>
            </w:tcBorders>
          </w:tcPr>
          <w:p>
            <w:pPr>
              <w:pStyle w:val="Normal"/>
              <w:widowControl w:val="false"/>
              <w:rPr/>
            </w:pPr>
            <w:r>
              <w:rPr/>
              <w:t>Итого стоимость всего Товара (с учетом доставки), руб. с НДС:</w:t>
            </w:r>
          </w:p>
        </w:tc>
        <w:tc>
          <w:tcPr>
            <w:tcW w:w="271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r>
          </w:p>
        </w:tc>
      </w:tr>
    </w:tbl>
    <w:p>
      <w:pPr>
        <w:pStyle w:val="Normal"/>
        <w:ind w:hanging="0" w:left="-680" w:right="680"/>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hanging="0" w:left="-680" w:right="680"/>
        <w:jc w:val="both"/>
        <w:rPr>
          <w:i/>
          <w:i/>
          <w:highlight w:val="yellow"/>
        </w:rPr>
      </w:pPr>
      <w:r>
        <w:rPr>
          <w:i/>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rFonts w:eastAsia="Calibri"/>
          <w:b/>
          <w:sz w:val="24"/>
          <w:szCs w:val="24"/>
          <w:lang w:eastAsia="en-US"/>
        </w:rPr>
      </w:pPr>
      <w:r>
        <w:rPr>
          <w:i/>
          <w:sz w:val="24"/>
          <w:szCs w:val="24"/>
          <w:highlight w:val="lightGray"/>
        </w:rPr>
        <w:t>]</w:t>
      </w:r>
    </w:p>
    <w:p>
      <w:pPr>
        <w:pStyle w:val="Normal"/>
        <w:numPr>
          <w:ilvl w:val="0"/>
          <w:numId w:val="0"/>
        </w:numPr>
        <w:ind w:hanging="0" w:left="0"/>
        <w:jc w:val="center"/>
        <w:outlineLvl w:val="0"/>
        <w:rPr>
          <w:b/>
          <w:bCs/>
          <w:sz w:val="24"/>
          <w:szCs w:val="24"/>
        </w:rPr>
      </w:pPr>
      <w:r>
        <w:rPr>
          <w:b/>
          <w:bCs/>
          <w:sz w:val="24"/>
          <w:szCs w:val="24"/>
        </w:rPr>
        <w:t>ПОДПИСИ СТОРОН:</w:t>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t>Заместитель директора Центрального филиала АО «ТК РусГидро»</w:t>
            </w:r>
          </w:p>
          <w:p>
            <w:pPr>
              <w:pStyle w:val="Normal"/>
              <w:widowControl w:val="false"/>
              <w:rPr>
                <w:sz w:val="24"/>
                <w:szCs w:val="24"/>
              </w:rPr>
            </w:pPr>
            <w:r>
              <w:rPr>
                <w:sz w:val="24"/>
                <w:szCs w:val="24"/>
              </w:rPr>
              <w:t xml:space="preserve">_____________________/Захаров О.Н. </w:t>
            </w:r>
          </w:p>
          <w:p>
            <w:pPr>
              <w:pStyle w:val="Normal"/>
              <w:widowControl w:val="false"/>
              <w:ind w:firstLine="709"/>
              <w:rPr>
                <w:sz w:val="24"/>
                <w:szCs w:val="24"/>
              </w:rPr>
            </w:pPr>
            <w:r>
              <w:rPr>
                <w:sz w:val="24"/>
                <w:szCs w:val="24"/>
              </w:rPr>
            </w:r>
          </w:p>
        </w:tc>
        <w:tc>
          <w:tcPr>
            <w:tcW w:w="4819"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rPr>
                <w:b/>
                <w:bCs/>
                <w:spacing w:val="10"/>
                <w:sz w:val="24"/>
                <w:szCs w:val="24"/>
              </w:rPr>
            </w:pPr>
            <w:r>
              <w:rPr>
                <w:b/>
                <w:bCs/>
                <w:spacing w:val="10"/>
                <w:sz w:val="24"/>
                <w:szCs w:val="24"/>
              </w:rPr>
            </w:r>
          </w:p>
          <w:p>
            <w:pPr>
              <w:pStyle w:val="Normal"/>
              <w:widowControl w:val="false"/>
              <w:ind w:firstLine="709"/>
              <w:rPr>
                <w:b/>
                <w:sz w:val="24"/>
                <w:szCs w:val="24"/>
              </w:rPr>
            </w:pPr>
            <w:r>
              <w:rPr>
                <w:b/>
                <w:sz w:val="24"/>
                <w:szCs w:val="24"/>
              </w:rPr>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1418" w:right="851" w:gutter="0" w:header="709" w:top="1134" w:footer="709" w:bottom="766"/>
          <w:pgNumType w:fmt="decimal"/>
          <w:formProt w:val="false"/>
          <w:textDirection w:val="lrTb"/>
          <w:docGrid w:type="default" w:linePitch="299" w:charSpace="24576"/>
        </w:sectPr>
      </w:pPr>
    </w:p>
    <w:p>
      <w:pPr>
        <w:pStyle w:val="Normal"/>
        <w:ind w:firstLine="4820"/>
        <w:rPr>
          <w:sz w:val="22"/>
          <w:szCs w:val="22"/>
        </w:rPr>
      </w:pPr>
      <w:r>
        <w:rPr>
          <w:sz w:val="22"/>
          <w:szCs w:val="22"/>
        </w:rPr>
        <w:t>Приложение № 2</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__________ 20 _ г. № ЦФ/Рм</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val="04a0" w:noHBand="0" w:noVBand="1" w:firstColumn="1" w:lastRow="0" w:lastColumn="0" w:firstRow="1"/>
      </w:tblPr>
      <w:tblGrid>
        <w:gridCol w:w="528"/>
        <w:gridCol w:w="982"/>
        <w:gridCol w:w="1116"/>
        <w:gridCol w:w="706"/>
        <w:gridCol w:w="1066"/>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 xml:space="preserve">п/п </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7"/>
        <w:gridCol w:w="5105"/>
      </w:tblGrid>
      <w:tr>
        <w:trPr/>
        <w:tc>
          <w:tcPr>
            <w:tcW w:w="4817"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5"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21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8"/>
        <w:gridCol w:w="4395"/>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t>Директор Центрального филиала</w:t>
            </w:r>
          </w:p>
          <w:p>
            <w:pPr>
              <w:pStyle w:val="Normal"/>
              <w:widowControl w:val="false"/>
              <w:rPr>
                <w:b/>
                <w:sz w:val="24"/>
                <w:szCs w:val="24"/>
              </w:rPr>
            </w:pPr>
            <w:r>
              <w:rPr>
                <w:b/>
                <w:sz w:val="24"/>
                <w:szCs w:val="24"/>
              </w:rPr>
              <w:t xml:space="preserve"> </w:t>
            </w:r>
            <w:r>
              <w:rPr>
                <w:b/>
                <w:sz w:val="24"/>
                <w:szCs w:val="24"/>
              </w:rPr>
              <w:t>АО «ТК РусГидро»</w:t>
            </w:r>
          </w:p>
          <w:p>
            <w:pPr>
              <w:pStyle w:val="Normal"/>
              <w:widowControl w:val="false"/>
              <w:rPr>
                <w:b/>
                <w:sz w:val="24"/>
                <w:szCs w:val="24"/>
              </w:rPr>
            </w:pPr>
            <w:r>
              <w:rPr>
                <w:b/>
                <w:sz w:val="24"/>
                <w:szCs w:val="24"/>
              </w:rPr>
            </w:r>
          </w:p>
          <w:p>
            <w:pPr>
              <w:pStyle w:val="Normal"/>
              <w:widowControl w:val="false"/>
              <w:rPr>
                <w:sz w:val="24"/>
                <w:szCs w:val="24"/>
              </w:rPr>
            </w:pPr>
            <w:r>
              <w:rPr>
                <w:sz w:val="24"/>
                <w:szCs w:val="24"/>
              </w:rPr>
              <w:t xml:space="preserve">_____________________/Захаров О.Н. </w:t>
            </w:r>
          </w:p>
          <w:p>
            <w:pPr>
              <w:pStyle w:val="Normal"/>
              <w:widowControl w:val="false"/>
              <w:ind w:firstLine="709"/>
              <w:rPr>
                <w:sz w:val="24"/>
                <w:szCs w:val="24"/>
              </w:rPr>
            </w:pPr>
            <w:r>
              <w:rPr>
                <w:sz w:val="24"/>
                <w:szCs w:val="24"/>
              </w:rPr>
            </w:r>
          </w:p>
        </w:tc>
        <w:tc>
          <w:tcPr>
            <w:tcW w:w="4395"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rPr>
                <w:b/>
                <w:bCs/>
                <w:spacing w:val="10"/>
                <w:sz w:val="24"/>
                <w:szCs w:val="24"/>
              </w:rPr>
            </w:pPr>
            <w:r>
              <w:rPr>
                <w:b/>
                <w:bCs/>
                <w:spacing w:val="10"/>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6/ЦФ/Рм</w:t>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826"/>
        <w:gridCol w:w="5810"/>
      </w:tblGrid>
      <w:tr>
        <w:trPr/>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81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81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1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1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1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1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t>Директор Центрального филиала</w:t>
            </w:r>
          </w:p>
          <w:p>
            <w:pPr>
              <w:pStyle w:val="Normal"/>
              <w:widowControl w:val="false"/>
              <w:rPr>
                <w:b/>
                <w:sz w:val="24"/>
                <w:szCs w:val="24"/>
              </w:rPr>
            </w:pPr>
            <w:r>
              <w:rPr>
                <w:b/>
                <w:sz w:val="24"/>
                <w:szCs w:val="24"/>
              </w:rPr>
              <w:t xml:space="preserve"> </w:t>
            </w:r>
            <w:r>
              <w:rPr>
                <w:b/>
                <w:sz w:val="24"/>
                <w:szCs w:val="24"/>
              </w:rPr>
              <w:t>АО «ТК РусГидро»</w:t>
            </w:r>
          </w:p>
          <w:p>
            <w:pPr>
              <w:pStyle w:val="Normal"/>
              <w:widowControl w:val="false"/>
              <w:rPr>
                <w:b/>
                <w:sz w:val="24"/>
                <w:szCs w:val="24"/>
              </w:rPr>
            </w:pPr>
            <w:r>
              <w:rPr>
                <w:b/>
                <w:sz w:val="24"/>
                <w:szCs w:val="24"/>
              </w:rPr>
            </w:r>
          </w:p>
          <w:p>
            <w:pPr>
              <w:pStyle w:val="Normal"/>
              <w:widowControl w:val="false"/>
              <w:rPr>
                <w:sz w:val="24"/>
                <w:szCs w:val="24"/>
              </w:rPr>
            </w:pPr>
            <w:r>
              <w:rPr>
                <w:sz w:val="24"/>
                <w:szCs w:val="24"/>
              </w:rPr>
              <w:t xml:space="preserve">_____________________/Захаров О.Н. </w:t>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rPr>
                <w:b/>
                <w:bCs/>
                <w:spacing w:val="10"/>
                <w:sz w:val="24"/>
                <w:szCs w:val="24"/>
              </w:rPr>
            </w:pPr>
            <w:r>
              <w:rPr>
                <w:b/>
                <w:bCs/>
                <w:spacing w:val="10"/>
                <w:sz w:val="24"/>
                <w:szCs w:val="24"/>
              </w:rPr>
            </w:r>
          </w:p>
        </w:tc>
      </w:tr>
    </w:tbl>
    <w:p>
      <w:pPr>
        <w:pStyle w:val="Normal"/>
        <w:ind w:firstLine="709"/>
        <w:rPr>
          <w:b/>
          <w:bCs/>
          <w:sz w:val="24"/>
          <w:szCs w:val="24"/>
        </w:rPr>
      </w:pPr>
      <w:r>
        <w:rPr>
          <w:b/>
          <w:bCs/>
          <w:sz w:val="24"/>
          <w:szCs w:val="24"/>
        </w:rPr>
      </w:r>
    </w:p>
    <w:sectPr>
      <w:headerReference w:type="default" r:id="rId13"/>
      <w:headerReference w:type="first" r:id="rId14"/>
      <w:footerReference w:type="default" r:id="rId15"/>
      <w:footerReference w:type="first" r:id="rId16"/>
      <w:footnotePr>
        <w:numFmt w:val="decimal"/>
      </w:footnotePr>
      <w:type w:val="nextPage"/>
      <w:pgSz w:w="11906" w:h="16838"/>
      <w:pgMar w:left="1418" w:right="851" w:gutter="0" w:header="567" w:top="1134" w:footer="709" w:bottom="1134"/>
      <w:pgNumType w:fmt="decimal"/>
      <w:formProt w:val="false"/>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Times New              Roman">
    <w:altName w:val="se"/>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16</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17</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19</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3">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Annotationtext"/>
        <w:jc w:val="both"/>
        <w:rPr/>
      </w:pPr>
      <w:r>
        <w:rPr>
          <w:rStyle w:val="Style14"/>
        </w:rPr>
        <w:footnoteRef/>
      </w:r>
      <w:r>
        <w:rPr>
          <w:highlight w:val="lightGray"/>
        </w:rPr>
        <w:t xml:space="preserve"> </w:t>
      </w:r>
      <w:r>
        <w:rPr>
          <w:highlight w:val="lightGray"/>
        </w:rPr>
        <w:t>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5">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6">
    <w:p>
      <w:pPr>
        <w:pStyle w:val="FootnoteText"/>
        <w:jc w:val="both"/>
        <w:rPr/>
      </w:pPr>
      <w:r>
        <w:rPr>
          <w:rStyle w:val="Style14"/>
        </w:rPr>
        <w:footnoteRef/>
      </w:r>
      <w:r>
        <w:rPr/>
        <w:t xml:space="preserve"> </w:t>
      </w:r>
      <w:r>
        <w:rPr>
          <w:highlight w:val="lightGray"/>
        </w:rPr>
        <w:t>Применяется в случае подписания контрагентом соглашения о переходе на электронный юридически значимый документооборот (Соглашения об ЭДО)</w:t>
      </w:r>
      <w:r>
        <w:rPr/>
        <w:t>.</w:t>
      </w:r>
    </w:p>
  </w:footnote>
  <w:footnote w:id="7">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2134"/>
        </w:tabs>
        <w:ind w:left="2134"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8">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1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Linenumber">
    <w:name w:val="line number"/>
    <w:qFormat/>
    <w:rPr/>
  </w:style>
  <w:style w:type="character" w:styleId="Style19" w:customStyle="1">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hanging="0" w:left="72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asterinnn@rushydro.ru"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notes" Target="footnotes.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Relationship Id="rId23" Type="http://schemas.openxmlformats.org/officeDocument/2006/relationships/customXml" Target="../customXml/item2.xml"/><Relationship Id="rId24" Type="http://schemas.openxmlformats.org/officeDocument/2006/relationships/customXml" Target="../customXml/item3.xml"/><Relationship Id="rId25"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83CF84A5-0463-442B-AA54-0616F1A77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Application>AlterOffice/2026.2.0.0$Linux_X86_64 LibreOffice_project/bc4ef1adf80b36c7a6365f8ed6cbf29021361edd</Application>
  <AppVersion>15.0000</AppVersion>
  <Pages>19</Pages>
  <Words>7050</Words>
  <Characters>49603</Characters>
  <CharactersWithSpaces>56466</CharactersWithSpaces>
  <Paragraphs>338</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2023-03-22T14:33:00Z</dcterms:created>
  <dc:creator>tsypilev_ag</dc:creator>
  <dc:description/>
  <dc:language>ru-RU</dc:language>
  <cp:lastModifiedBy>kononenkoev@corp.gidroogk.com</cp:lastModifiedBy>
  <cp:lastPrinted>2018-05-22T09:46:00Z</cp:lastPrinted>
  <dcterms:modified xsi:type="dcterms:W3CDTF">2026-09-23T18:12:20Z</dcterms:modified>
  <cp:revision>51</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