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 w:val="false"/>
          <w:bCs w:val="false"/>
        </w:rPr>
      </w:pPr>
      <w:r>
        <w:rPr>
          <w:b w:val="false"/>
          <w:bCs w:val="false"/>
          <w:sz w:val="24"/>
          <w:szCs w:val="24"/>
        </w:rPr>
        <w:t>УТВЕРЖДАЮ</w:t>
      </w:r>
    </w:p>
    <w:p>
      <w:pPr>
        <w:pStyle w:val="Normal"/>
        <w:keepNext w:val="true"/>
        <w:keepLines/>
        <w:jc w:val="right"/>
        <w:rPr>
          <w:b w:val="false"/>
          <w:bCs w:val="false"/>
        </w:rPr>
      </w:pPr>
      <w:r>
        <w:rPr>
          <w:b w:val="false"/>
          <w:bCs w:val="false"/>
          <w:sz w:val="24"/>
          <w:szCs w:val="24"/>
        </w:rPr>
        <w:t xml:space="preserve">Директор Центрального филиала </w:t>
      </w:r>
    </w:p>
    <w:p>
      <w:pPr>
        <w:pStyle w:val="Normal"/>
        <w:keepNext w:val="true"/>
        <w:keepLines/>
        <w:jc w:val="right"/>
        <w:rPr>
          <w:b w:val="false"/>
          <w:bCs w:val="false"/>
        </w:rPr>
      </w:pPr>
      <w:r>
        <w:rPr>
          <w:b w:val="false"/>
          <w:bCs w:val="false"/>
          <w:sz w:val="24"/>
          <w:szCs w:val="24"/>
        </w:rPr>
        <w:t>АО «ТК РусГидро»</w:t>
      </w:r>
    </w:p>
    <w:p>
      <w:pPr>
        <w:pStyle w:val="Normal"/>
        <w:keepNext w:val="true"/>
        <w:keepLines/>
        <w:jc w:val="right"/>
        <w:rPr>
          <w:b w:val="false"/>
          <w:bCs w:val="false"/>
        </w:rPr>
      </w:pPr>
      <w:r>
        <w:rPr>
          <w:b w:val="false"/>
          <w:bCs w:val="false"/>
          <w:sz w:val="24"/>
          <w:szCs w:val="24"/>
        </w:rPr>
        <w:t>________________</w:t>
      </w:r>
      <w:r>
        <w:rPr>
          <w:b w:val="false"/>
          <w:bCs w:val="false"/>
          <w:sz w:val="24"/>
          <w:szCs w:val="24"/>
        </w:rPr>
        <w:t xml:space="preserve">М.В. Нешев </w:t>
      </w:r>
    </w:p>
    <w:p>
      <w:pPr>
        <w:pStyle w:val="Normal"/>
        <w:keepNext w:val="true"/>
        <w:keepLines/>
        <w:jc w:val="right"/>
        <w:rPr>
          <w:sz w:val="24"/>
          <w:szCs w:val="24"/>
        </w:rPr>
      </w:pPr>
      <w:r>
        <w:rPr>
          <w:b w:val="false"/>
          <w:bCs w:val="false"/>
          <w:sz w:val="24"/>
          <w:szCs w:val="24"/>
        </w:rPr>
        <w:t>«____»________________2026 г.</w:t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«ОКПД2 08.12.12.130 Поставка гравия для нужд Загорского строительного участка Центрального филиала АО «ТК РусГидро»</w:t>
      </w:r>
    </w:p>
    <w:p>
      <w:pPr>
        <w:pStyle w:val="Normal"/>
        <w:jc w:val="center"/>
        <w:rPr>
          <w:rFonts w:ascii="Times New Roman" w:hAnsi="Times New Roman"/>
          <w:color w:val="000000"/>
          <w:sz w:val="24"/>
          <w:szCs w:val="24"/>
        </w:rPr>
      </w:pPr>
      <w:r>
        <w:rPr/>
      </w:r>
    </w:p>
    <w:p>
      <w:pPr>
        <w:pStyle w:val="Normal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 xml:space="preserve">ЛОТ №      </w:t>
      </w:r>
      <w:r>
        <w:rPr>
          <w:rFonts w:eastAsia="Calibri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-ПРО ДЭК-2026-ТК_Центр_фил</w:t>
      </w:r>
    </w:p>
    <w:p>
      <w:pPr>
        <w:pStyle w:val="Normal"/>
        <w:keepNext w:val="true"/>
        <w:keepLines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i/>
          <w:i/>
          <w:sz w:val="24"/>
          <w:szCs w:val="24"/>
        </w:rPr>
      </w:pPr>
      <w:r>
        <w:rPr>
          <w:rFonts w:eastAsia="Calibri"/>
          <w:i/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jc w:val="center"/>
        <w:rPr>
          <w:sz w:val="24"/>
          <w:szCs w:val="24"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4"/>
              <w:szCs w:val="24"/>
            </w:rPr>
          </w:pPr>
          <w:r>
            <w:fldChar w:fldCharType="begin"/>
          </w:r>
          <w:r>
            <w:rPr>
              <w:webHidden/>
              <w:rStyle w:val="Style14"/>
              <w:sz w:val="24"/>
              <w:szCs w:val="24"/>
              <w:vanish w:val="false"/>
            </w:rPr>
            <w:instrText xml:space="preserve"> TOC \z \o "1-3" \u \h</w:instrText>
          </w:r>
          <w:r>
            <w:rPr>
              <w:webHidden/>
              <w:rStyle w:val="Style14"/>
              <w:sz w:val="24"/>
              <w:szCs w:val="24"/>
              <w:vanish w:val="false"/>
            </w:rPr>
            <w:fldChar w:fldCharType="separate"/>
          </w:r>
          <w:hyperlink w:anchor="_Toc194593944">
            <w:r>
              <w:rPr>
                <w:webHidden/>
                <w:rStyle w:val="Style14"/>
                <w:vanish w:val="false"/>
                <w:sz w:val="24"/>
                <w:szCs w:val="24"/>
              </w:rPr>
              <w:t>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4"/>
              <w:szCs w:val="24"/>
            </w:rPr>
          </w:pPr>
          <w:r>
            <w:rPr>
              <w:rFonts w:eastAsia="新細明體" w:cs="Arial" w:ascii="Calibri" w:hAnsi="Calibri" w:asciiTheme="minorHAnsi" w:cstheme="minorBidi" w:eastAsiaTheme="minorEastAsia" w:hAnsiTheme="minorHAnsi"/>
              <w:b w:val="false"/>
              <w:bCs w:val="false"/>
              <w:sz w:val="24"/>
              <w:szCs w:val="24"/>
            </w:rPr>
            <w:t xml:space="preserve">1.1. </w:t>
          </w:r>
          <w:bookmarkStart w:id="0" w:name="_Toc46743505_Копия_1"/>
          <w:r>
            <w:rPr>
              <w:rFonts w:eastAsia="新細明體" w:cs="Arial" w:cstheme="minorBidi" w:eastAsiaTheme="minorEastAsia"/>
              <w:b w:val="false"/>
              <w:bCs w:val="false"/>
              <w:sz w:val="24"/>
              <w:szCs w:val="24"/>
            </w:rPr>
            <w:t>Обозначения и сокращения ………………………………………………………………………</w:t>
          </w:r>
          <w:bookmarkEnd w:id="0"/>
          <w:r>
            <w:rPr>
              <w:rFonts w:eastAsia="新細明體" w:cs="Arial" w:cstheme="minorBidi" w:eastAsiaTheme="minorEastAsia"/>
              <w:b w:val="false"/>
              <w:bCs w:val="false"/>
              <w:sz w:val="24"/>
              <w:szCs w:val="24"/>
            </w:rPr>
            <w:t>3</w:t>
          </w:r>
        </w:p>
        <w:p>
          <w:pPr>
            <w:pStyle w:val="Normal"/>
            <w:rPr>
              <w:rFonts w:ascii="Times New Roman" w:hAnsi="Times New Roman"/>
            </w:rPr>
          </w:pPr>
          <w:r>
            <w:rPr>
              <w:rFonts w:eastAsia="新細明體" w:cs="Arial" w:cstheme="minorBidi" w:eastAsiaTheme="minorEastAsia"/>
              <w:b w:val="false"/>
              <w:bCs w:val="false"/>
              <w:sz w:val="24"/>
              <w:szCs w:val="24"/>
            </w:rPr>
            <w:t>1.2. Наименование закупаемой продукции ………………………………………………………….3</w:t>
          </w:r>
        </w:p>
        <w:p>
          <w:pPr>
            <w:pStyle w:val="Normal"/>
            <w:rPr>
              <w:rFonts w:ascii="Times New Roman" w:hAnsi="Times New Roman"/>
            </w:rPr>
          </w:pPr>
          <w:r>
            <w:rPr>
              <w:rFonts w:eastAsia="新細明體" w:cs="Arial" w:cstheme="minorBidi" w:eastAsiaTheme="minorEastAsia"/>
              <w:b w:val="false"/>
              <w:bCs w:val="false"/>
              <w:sz w:val="24"/>
              <w:szCs w:val="24"/>
            </w:rPr>
            <w:t xml:space="preserve">1.3. </w:t>
          </w:r>
          <w:bookmarkStart w:id="1" w:name="_Toc46743507_Копия_1"/>
          <w:r>
            <w:rPr>
              <w:rFonts w:eastAsia="新細明體" w:cs="Arial" w:cstheme="minorBidi" w:eastAsiaTheme="minorEastAsia"/>
              <w:b w:val="false"/>
              <w:bCs w:val="false"/>
              <w:sz w:val="24"/>
              <w:szCs w:val="24"/>
            </w:rPr>
            <w:t xml:space="preserve">Цель </w:t>
          </w:r>
          <w:bookmarkEnd w:id="1"/>
          <w:r>
            <w:rPr>
              <w:rFonts w:eastAsia="新細明體" w:cs="Arial" w:cstheme="minorBidi" w:eastAsiaTheme="minorEastAsia"/>
              <w:b w:val="false"/>
              <w:bCs w:val="false"/>
              <w:sz w:val="24"/>
              <w:szCs w:val="24"/>
            </w:rPr>
            <w:t>использования закупаемой продукции …………………………………………………...3</w:t>
          </w:r>
        </w:p>
        <w:p>
          <w:pPr>
            <w:pStyle w:val="Normal"/>
            <w:rPr>
              <w:rFonts w:ascii="Times New Roman" w:hAnsi="Times New Roman"/>
            </w:rPr>
          </w:pPr>
          <w:r>
            <w:rPr>
              <w:rFonts w:eastAsia="新細明體" w:cs="Arial" w:cstheme="minorBidi" w:eastAsiaTheme="minorEastAsia"/>
              <w:b w:val="false"/>
              <w:bCs w:val="false"/>
              <w:sz w:val="24"/>
              <w:szCs w:val="24"/>
            </w:rPr>
            <w:t xml:space="preserve">1.4. </w:t>
          </w:r>
          <w:bookmarkStart w:id="2" w:name="_Hlk49857604_Копия_1"/>
          <w:bookmarkStart w:id="3" w:name="_Toc46743509_Копия_1"/>
          <w:r>
            <w:rPr>
              <w:rFonts w:eastAsia="新細明體" w:cs="Arial" w:cstheme="minorBidi" w:eastAsiaTheme="minorEastAsia"/>
              <w:b w:val="false"/>
              <w:bCs w:val="false"/>
              <w:sz w:val="24"/>
              <w:szCs w:val="24"/>
            </w:rPr>
            <w:t xml:space="preserve">Информация в отношении исполнения договора, </w:t>
          </w:r>
          <w:bookmarkStart w:id="4" w:name="_Hlk46492347_Копия_1"/>
          <w:r>
            <w:rPr>
              <w:rFonts w:eastAsia="新細明體" w:cs="Arial" w:cstheme="minorBidi" w:eastAsiaTheme="minorEastAsia"/>
              <w:b w:val="false"/>
              <w:bCs w:val="false"/>
              <w:sz w:val="24"/>
              <w:szCs w:val="24"/>
            </w:rPr>
            <w:t xml:space="preserve">которая должна быть учтена при подготовке заявки </w:t>
          </w:r>
          <w:bookmarkEnd w:id="4"/>
          <w:r>
            <w:rPr>
              <w:rFonts w:eastAsia="新細明體" w:cs="Arial" w:cstheme="minorBidi" w:eastAsiaTheme="minorEastAsia"/>
              <w:b w:val="false"/>
              <w:bCs w:val="false"/>
              <w:sz w:val="24"/>
              <w:szCs w:val="24"/>
            </w:rPr>
            <w:t xml:space="preserve">(в том числе перечень ресурсов, услуг и документов, предоставляемых </w:t>
          </w:r>
          <w:r>
            <w:rPr>
              <w:rFonts w:eastAsia="新細明體" w:cs="Arial" w:cstheme="minorBidi" w:eastAsiaTheme="minorEastAsia"/>
              <w:b w:val="false"/>
              <w:bCs w:val="false"/>
              <w:sz w:val="24"/>
              <w:szCs w:val="24"/>
              <w:lang w:val="ru-RU"/>
            </w:rPr>
            <w:t>заказчиком</w:t>
          </w:r>
          <w:r>
            <w:rPr>
              <w:rFonts w:eastAsia="新細明體" w:cs="Arial" w:cstheme="minorBidi" w:eastAsiaTheme="minorEastAsia"/>
              <w:b w:val="false"/>
              <w:bCs w:val="false"/>
              <w:sz w:val="24"/>
              <w:szCs w:val="24"/>
            </w:rPr>
            <w:t xml:space="preserve"> на этапе исполнения договора)…………………………………………………………</w:t>
          </w:r>
          <w:bookmarkEnd w:id="2"/>
          <w:bookmarkEnd w:id="3"/>
          <w:r>
            <w:rPr>
              <w:rFonts w:eastAsia="新細明體" w:cs="Arial" w:cstheme="minorBidi" w:eastAsiaTheme="minorEastAsia"/>
              <w:b w:val="false"/>
              <w:bCs w:val="false"/>
              <w:sz w:val="24"/>
              <w:szCs w:val="24"/>
            </w:rPr>
            <w:t>..3</w:t>
          </w:r>
        </w:p>
        <w:p>
          <w:pPr>
            <w:pStyle w:val="TOC1"/>
            <w:rPr/>
          </w:pPr>
          <w:hyperlink w:anchor="_Toc194593945">
            <w:r>
              <w:rPr>
                <w:webHidden/>
                <w:rStyle w:val="Style14"/>
                <w:vanish w:val="false"/>
                <w:sz w:val="24"/>
                <w:szCs w:val="24"/>
              </w:rPr>
              <w:t>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Требования к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rPr/>
          </w:pPr>
          <w:r>
            <w:rPr>
              <w:rFonts w:eastAsia="新細明體" w:cs="Arial" w:ascii="Calibri" w:hAnsi="Calibri" w:asciiTheme="minorHAnsi" w:cstheme="minorBidi" w:eastAsiaTheme="minorEastAsia" w:hAnsiTheme="minorHAnsi"/>
              <w:b w:val="false"/>
              <w:bCs w:val="false"/>
              <w:sz w:val="24"/>
              <w:szCs w:val="24"/>
            </w:rPr>
            <w:t xml:space="preserve">2.1.Требования к объемам и срокам </w:t>
          </w:r>
          <w:r>
            <w:rPr>
              <w:rFonts w:eastAsia="新細明體" w:cs="Arial" w:ascii="Calibri" w:hAnsi="Calibri" w:asciiTheme="minorHAnsi" w:cstheme="minorBidi" w:eastAsiaTheme="minorEastAsia" w:hAnsiTheme="minorHAnsi"/>
              <w:b w:val="false"/>
              <w:bCs w:val="false"/>
              <w:sz w:val="24"/>
              <w:szCs w:val="24"/>
              <w:lang w:val="ru-RU"/>
            </w:rPr>
            <w:t>поставки………………………………………………………………………………..3</w:t>
          </w:r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194593946">
            <w:r>
              <w:rPr>
                <w:webHidden/>
                <w:rStyle w:val="Style14"/>
                <w:vanish w:val="false"/>
                <w:sz w:val="24"/>
                <w:szCs w:val="24"/>
              </w:rPr>
              <w:t>2.1.1.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Перечень и объем закупаемой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94593947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 1. 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194593948">
            <w:r>
              <w:rPr>
                <w:webHidden/>
                <w:rStyle w:val="Style14"/>
                <w:vanish w:val="false"/>
                <w:sz w:val="24"/>
                <w:szCs w:val="24"/>
              </w:rPr>
              <w:t>2.1.2.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Требования к срокам поставки продукции и оказания сопутствующих услуг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94593949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 2. Требования по срокам поставки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rPr/>
          </w:pPr>
          <w:r>
            <w:rPr>
              <w:rFonts w:eastAsia="新細明體" w:cs="Arial" w:ascii="Calibri" w:hAnsi="Calibri" w:asciiTheme="minorHAnsi" w:cstheme="minorBidi" w:eastAsiaTheme="minorEastAsia" w:hAnsiTheme="minorHAnsi"/>
              <w:b w:val="false"/>
              <w:bCs w:val="false"/>
              <w:sz w:val="24"/>
              <w:szCs w:val="24"/>
            </w:rPr>
            <w:t xml:space="preserve">2.2. </w:t>
          </w:r>
          <w:bookmarkStart w:id="5" w:name="_Toc46743511_Копия_1"/>
          <w:r>
            <w:rPr>
              <w:rFonts w:eastAsia="新細明體" w:cs="Arial" w:ascii="Calibri" w:hAnsi="Calibri" w:asciiTheme="minorHAnsi" w:cstheme="minorBidi" w:eastAsiaTheme="minorEastAsia" w:hAnsiTheme="minorHAnsi"/>
              <w:b w:val="false"/>
              <w:bCs w:val="false"/>
              <w:sz w:val="24"/>
              <w:szCs w:val="24"/>
            </w:rPr>
            <w:t xml:space="preserve">Требования к </w:t>
          </w:r>
          <w:bookmarkEnd w:id="5"/>
          <w:r>
            <w:rPr>
              <w:rFonts w:eastAsia="新細明體" w:cs="Arial" w:ascii="Calibri" w:hAnsi="Calibri" w:asciiTheme="minorHAnsi" w:cstheme="minorBidi" w:eastAsiaTheme="minorEastAsia" w:hAnsiTheme="minorHAnsi"/>
              <w:b w:val="false"/>
              <w:bCs w:val="false"/>
              <w:sz w:val="24"/>
              <w:szCs w:val="24"/>
            </w:rPr>
            <w:t>качеству продукции…………………………………………………………………………………………….4</w:t>
          </w:r>
        </w:p>
        <w:p>
          <w:pPr>
            <w:pStyle w:val="TOC1"/>
            <w:rPr/>
          </w:pPr>
          <w:hyperlink w:anchor="_Toc194593950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 3. 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_Toc194593950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4"/>
              <w:szCs w:val="24"/>
            </w:rPr>
          </w:pPr>
          <w:hyperlink w:anchor="_Toc194593951">
            <w:r>
              <w:rPr>
                <w:webHidden/>
                <w:rStyle w:val="Style14"/>
                <w:vanish w:val="false"/>
                <w:sz w:val="24"/>
                <w:szCs w:val="24"/>
              </w:rPr>
              <w:t>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>Требования к документации по ценообразованию на этапе закупки</w:t>
              <w:tab/>
            </w:r>
          </w:hyperlink>
          <w:r>
            <w:rPr>
              <w:sz w:val="24"/>
              <w:szCs w:val="24"/>
            </w:rPr>
            <w:t>5</w:t>
          </w:r>
          <w:r>
            <w:rPr>
              <w:sz w:val="24"/>
              <w:szCs w:val="24"/>
            </w:rPr>
            <w:fldChar w:fldCharType="end"/>
          </w:r>
        </w:p>
      </w:sdtContent>
    </w:sdt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0" w:left="0"/>
        <w:jc w:val="both"/>
        <w:rPr>
          <w:caps/>
        </w:rPr>
      </w:pPr>
      <w:bookmarkStart w:id="6" w:name="_Toc51339692"/>
      <w:bookmarkStart w:id="7" w:name="_Toc194593944"/>
      <w:r>
        <w:rPr/>
        <w:t>Общие сведения</w:t>
      </w:r>
      <w:bookmarkEnd w:id="6"/>
      <w:bookmarkEnd w:id="7"/>
    </w:p>
    <w:p>
      <w:pPr>
        <w:pStyle w:val="Heading4"/>
        <w:numPr>
          <w:ilvl w:val="1"/>
          <w:numId w:val="3"/>
        </w:numPr>
        <w:ind w:hanging="0" w:left="432"/>
        <w:rPr/>
      </w:pPr>
      <w:bookmarkStart w:id="8" w:name="_Toc46743505"/>
      <w:r>
        <w:rPr/>
        <w:t>Обозначения и сокращения</w:t>
      </w:r>
      <w:bookmarkEnd w:id="8"/>
    </w:p>
    <w:p>
      <w:pPr>
        <w:pStyle w:val="Normal"/>
        <w:rPr>
          <w:rStyle w:val="Style8"/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trHeight w:val="358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ГОСТ 8267-93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МЕЖГОСУДАРСТВЕННЫЙ СТАНДАРТ Щебень и гравий из плотных горных пород для строительных работ. Технические условия (с учетом последних изменений)</w:t>
            </w:r>
          </w:p>
        </w:tc>
      </w:tr>
    </w:tbl>
    <w:p>
      <w:pPr>
        <w:pStyle w:val="Heading4"/>
        <w:numPr>
          <w:ilvl w:val="1"/>
          <w:numId w:val="3"/>
        </w:numPr>
        <w:ind w:hanging="0" w:left="432"/>
        <w:rPr/>
      </w:pPr>
      <w:r>
        <w:rPr/>
        <w:t>Наименование закупаемой продукции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rPr>
          <w:rStyle w:val="Style8"/>
          <w:b w:val="false"/>
          <w:bCs/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>«ОКПД2 08.12.12.130 Поставка гравия  для нужд Загорского строительного участка Центрального филиала АО «ТК РусГидро».</w:t>
      </w:r>
    </w:p>
    <w:p>
      <w:pPr>
        <w:pStyle w:val="Heading4"/>
        <w:numPr>
          <w:ilvl w:val="1"/>
          <w:numId w:val="3"/>
        </w:numPr>
        <w:ind w:hanging="0" w:left="432"/>
        <w:rPr/>
      </w:pPr>
      <w:bookmarkStart w:id="9" w:name="_Toc46743507"/>
      <w:r>
        <w:rPr/>
        <w:t xml:space="preserve">Цель </w:t>
      </w:r>
      <w:bookmarkEnd w:id="9"/>
      <w:r>
        <w:rPr/>
        <w:t xml:space="preserve">использования закупаемой продукции </w:t>
      </w:r>
    </w:p>
    <w:p>
      <w:pPr>
        <w:pStyle w:val="Normal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sz w:val="24"/>
          <w:szCs w:val="24"/>
        </w:rPr>
        <w:t xml:space="preserve">Обеспечение объектов строительства </w:t>
      </w:r>
      <w:r>
        <w:rPr>
          <w:rFonts w:eastAsia="Calibri"/>
          <w:sz w:val="24"/>
          <w:szCs w:val="24"/>
          <w:lang w:eastAsia="x-none"/>
        </w:rPr>
        <w:t xml:space="preserve"> гравием для нужд Загорского строительного участка </w:t>
      </w:r>
      <w:r>
        <w:rPr>
          <w:sz w:val="24"/>
          <w:szCs w:val="24"/>
        </w:rPr>
        <w:t xml:space="preserve"> в целях выполнения работ </w:t>
      </w:r>
      <w:r>
        <w:rPr>
          <w:rStyle w:val="Style8"/>
          <w:b w:val="false"/>
          <w:i w:val="false"/>
          <w:sz w:val="24"/>
          <w:szCs w:val="24"/>
          <w:shd w:fill="auto" w:val="clear"/>
        </w:rPr>
        <w:t>по доходным договорам.</w:t>
      </w:r>
    </w:p>
    <w:p>
      <w:pPr>
        <w:pStyle w:val="Heading4"/>
        <w:numPr>
          <w:ilvl w:val="1"/>
          <w:numId w:val="3"/>
        </w:numPr>
        <w:ind w:hanging="0" w:left="0"/>
        <w:rPr/>
      </w:pPr>
      <w:bookmarkStart w:id="10" w:name="_Hlk49857604"/>
      <w:bookmarkStart w:id="11" w:name="_Toc46743509"/>
      <w:r>
        <w:rPr/>
        <w:t xml:space="preserve">Информация в отношении исполнения договора, </w:t>
      </w:r>
      <w:bookmarkStart w:id="12" w:name="_Hlk46492347"/>
      <w:r>
        <w:rPr/>
        <w:t xml:space="preserve">которая должна быть учтена при подготовке заявки </w:t>
      </w:r>
      <w:bookmarkEnd w:id="12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End w:id="10"/>
      <w:bookmarkEnd w:id="11"/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1.4.1 Товар должен соответствовать требованиям, установленным настоящими Техническими требованиями.</w:t>
      </w:r>
    </w:p>
    <w:p>
      <w:pPr>
        <w:pStyle w:val="Heading4"/>
        <w:numPr>
          <w:ilvl w:val="1"/>
          <w:numId w:val="3"/>
        </w:numPr>
        <w:ind w:hanging="0" w:left="432"/>
        <w:rPr/>
      </w:pPr>
      <w:bookmarkStart w:id="13" w:name="_Hlk48209761"/>
      <w:bookmarkEnd w:id="13"/>
      <w:r>
        <w:rPr/>
        <w:t>Иные требования и сведения общего характера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1.5.1 Поставляемый Товар должен быть новым, не бывшим ранее в употреблении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1.5.2 Приёмка Товара осуществляется в рабочие дни, в нерабочие дни по согласованию с Покупателем.</w:t>
      </w:r>
    </w:p>
    <w:p>
      <w:pPr>
        <w:pStyle w:val="Heading1"/>
        <w:numPr>
          <w:ilvl w:val="0"/>
          <w:numId w:val="3"/>
        </w:numPr>
        <w:ind w:hanging="0" w:left="0"/>
        <w:rPr>
          <w:caps/>
          <w:lang w:val="ru-RU"/>
        </w:rPr>
      </w:pPr>
      <w:bookmarkStart w:id="14" w:name="_Toc194593945"/>
      <w:bookmarkStart w:id="15" w:name="_Toc124170681"/>
      <w:bookmarkStart w:id="16" w:name="_Toc51339693"/>
      <w:r>
        <w:rPr/>
        <w:t>Требования к продукции</w:t>
      </w:r>
      <w:bookmarkEnd w:id="14"/>
      <w:bookmarkEnd w:id="15"/>
      <w:bookmarkEnd w:id="16"/>
    </w:p>
    <w:p>
      <w:pPr>
        <w:pStyle w:val="Heading4"/>
        <w:numPr>
          <w:ilvl w:val="1"/>
          <w:numId w:val="3"/>
        </w:numPr>
        <w:ind w:hanging="0" w:left="432"/>
        <w:rPr/>
      </w:pPr>
      <w:r>
        <w:rPr/>
        <w:t xml:space="preserve">Требования к объемам и срокам </w:t>
      </w:r>
      <w:r>
        <w:rPr>
          <w:lang w:val="ru-RU"/>
        </w:rPr>
        <w:t>поставки</w:t>
      </w:r>
    </w:p>
    <w:p>
      <w:pPr>
        <w:pStyle w:val="Heading3"/>
        <w:numPr>
          <w:ilvl w:val="2"/>
          <w:numId w:val="3"/>
        </w:numPr>
        <w:ind w:hanging="0" w:left="0"/>
        <w:rPr/>
      </w:pPr>
      <w:bookmarkStart w:id="17" w:name="_Toc194593946"/>
      <w:r>
        <w:rPr/>
        <w:t>Перечень и объем закупаемой продукции</w:t>
      </w:r>
      <w:bookmarkEnd w:id="17"/>
    </w:p>
    <w:p>
      <w:pPr>
        <w:pStyle w:val="Heading1"/>
        <w:numPr>
          <w:ilvl w:val="0"/>
          <w:numId w:val="0"/>
        </w:numPr>
        <w:ind w:hanging="0" w:left="0"/>
        <w:rPr>
          <w:sz w:val="24"/>
          <w:szCs w:val="24"/>
        </w:rPr>
      </w:pPr>
      <w:bookmarkStart w:id="18" w:name="_Toc194593947"/>
      <w:bookmarkStart w:id="19" w:name="_Toc51339695"/>
      <w:r>
        <w:rPr>
          <w:sz w:val="24"/>
          <w:szCs w:val="24"/>
        </w:rPr>
        <w:t xml:space="preserve">Таблица 1. Перечень </w:t>
      </w:r>
      <w:bookmarkEnd w:id="19"/>
      <w:r>
        <w:rPr>
          <w:sz w:val="24"/>
          <w:szCs w:val="24"/>
        </w:rPr>
        <w:t>и объем закупаемой продукции</w:t>
      </w:r>
      <w:bookmarkEnd w:id="18"/>
    </w:p>
    <w:tbl>
      <w:tblPr>
        <w:tblW w:w="10490" w:type="dxa"/>
        <w:jc w:val="left"/>
        <w:tblInd w:w="-2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233"/>
        <w:gridCol w:w="4297"/>
        <w:gridCol w:w="1274"/>
        <w:gridCol w:w="3685"/>
      </w:tblGrid>
      <w:tr>
        <w:trPr>
          <w:tblHeader w:val="true"/>
          <w:trHeight w:val="423" w:hRule="atLeast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>
          <w:trHeight w:val="300" w:hRule="atLeast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2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Гравий (М800) фракции 5-</w:t>
            </w:r>
            <w:r>
              <w:rPr>
                <w:rFonts w:eastAsia="Calibri"/>
                <w:sz w:val="24"/>
                <w:szCs w:val="24"/>
              </w:rPr>
              <w:t>2</w:t>
            </w:r>
            <w:r>
              <w:rPr>
                <w:rFonts w:eastAsia="Calibri"/>
                <w:sz w:val="24"/>
                <w:szCs w:val="24"/>
              </w:rPr>
              <w:t>0мм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М3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204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  <w:highlight w:val="none"/>
                <w:shd w:fill="FFFF00" w:val="clear"/>
              </w:rPr>
            </w:pPr>
            <w:r>
              <w:rPr>
                <w:sz w:val="24"/>
                <w:szCs w:val="24"/>
                <w:shd w:fill="FFFF00" w:val="clear"/>
              </w:rPr>
            </w:r>
          </w:p>
        </w:tc>
      </w:tr>
    </w:tbl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3"/>
        <w:numPr>
          <w:ilvl w:val="2"/>
          <w:numId w:val="3"/>
        </w:numPr>
        <w:ind w:hanging="0" w:left="0"/>
        <w:rPr/>
      </w:pPr>
      <w:bookmarkStart w:id="20" w:name="_Toc194593948"/>
      <w:bookmarkStart w:id="21" w:name="_Toc51339696"/>
      <w:r>
        <w:rPr/>
        <w:t xml:space="preserve">Требования </w:t>
      </w:r>
      <w:bookmarkEnd w:id="21"/>
      <w:r>
        <w:rPr/>
        <w:t>к срокам поставки продукции и оказания сопутствующих услуг</w:t>
      </w:r>
      <w:bookmarkEnd w:id="20"/>
    </w:p>
    <w:p>
      <w:pPr>
        <w:pStyle w:val="Heading1"/>
        <w:numPr>
          <w:ilvl w:val="0"/>
          <w:numId w:val="0"/>
        </w:numPr>
        <w:ind w:hanging="0" w:left="0"/>
        <w:rPr>
          <w:sz w:val="24"/>
          <w:szCs w:val="24"/>
          <w:lang w:val="ru-RU"/>
        </w:rPr>
      </w:pPr>
      <w:bookmarkStart w:id="22" w:name="_Toc194593949"/>
      <w:bookmarkStart w:id="23" w:name="_Toc51339697"/>
      <w:bookmarkStart w:id="24" w:name="_Toc50125127"/>
      <w:bookmarkStart w:id="25" w:name="_Toc50125126"/>
      <w:bookmarkEnd w:id="2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. </w:t>
      </w:r>
      <w:bookmarkStart w:id="26" w:name="_Hlk50465284"/>
      <w:r>
        <w:rPr>
          <w:sz w:val="24"/>
          <w:szCs w:val="24"/>
        </w:rPr>
        <w:t xml:space="preserve">Требования по срокам </w:t>
      </w:r>
      <w:bookmarkEnd w:id="23"/>
      <w:bookmarkEnd w:id="24"/>
      <w:bookmarkEnd w:id="26"/>
      <w:r>
        <w:rPr>
          <w:sz w:val="24"/>
          <w:szCs w:val="24"/>
          <w:lang w:val="ru-RU"/>
        </w:rPr>
        <w:t>поставки продукции</w:t>
      </w:r>
      <w:bookmarkEnd w:id="22"/>
      <w:r>
        <w:rPr>
          <w:sz w:val="24"/>
          <w:szCs w:val="24"/>
          <w:lang w:val="ru-RU"/>
        </w:rPr>
        <w:t xml:space="preserve"> </w:t>
      </w:r>
    </w:p>
    <w:tbl>
      <w:tblPr>
        <w:tblW w:w="10260" w:type="dxa"/>
        <w:jc w:val="left"/>
        <w:tblInd w:w="-2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31"/>
        <w:gridCol w:w="3054"/>
        <w:gridCol w:w="2619"/>
        <w:gridCol w:w="3455"/>
      </w:tblGrid>
      <w:tr>
        <w:trPr/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п/п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продукции / партии продукции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x-none"/>
              </w:rPr>
              <w:t>Срок поставки продукции</w:t>
            </w:r>
            <w:bookmarkStart w:id="27" w:name="_GoBack_Копия_1_Копия_1"/>
            <w:bookmarkEnd w:id="27"/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x-none"/>
              </w:rPr>
              <w:t>ОКПД2 08.12.12.130 Поставка гравия для нужд Загорского строительного участка Центрального филиала АО «ТК РусГидро»</w:t>
            </w:r>
          </w:p>
        </w:tc>
        <w:tc>
          <w:tcPr>
            <w:tcW w:w="2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bookmarkStart w:id="28" w:name="_GoBack"/>
            <w:bookmarkEnd w:id="28"/>
            <w:r>
              <w:rPr>
                <w:sz w:val="22"/>
                <w:szCs w:val="22"/>
              </w:rPr>
              <w:t xml:space="preserve">с даты оплаты аванса </w:t>
            </w:r>
          </w:p>
        </w:tc>
        <w:tc>
          <w:tcPr>
            <w:tcW w:w="3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5 (пяти) календарных дней</w:t>
            </w:r>
          </w:p>
        </w:tc>
      </w:tr>
      <w:tr>
        <w:trPr/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действия договора</w:t>
            </w:r>
          </w:p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x-none"/>
              </w:rPr>
              <w:t>ОКПД2 08.12.12.130 Поставка гравия для нужд Загорского строительного участка Центрального филиала АО «ТК РусГидро»</w:t>
            </w:r>
            <w:r>
              <w:rPr>
                <w:sz w:val="22"/>
                <w:szCs w:val="22"/>
              </w:rPr>
              <w:t>"</w:t>
            </w:r>
          </w:p>
        </w:tc>
        <w:tc>
          <w:tcPr>
            <w:tcW w:w="2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даты подписания договора</w:t>
            </w:r>
          </w:p>
        </w:tc>
        <w:tc>
          <w:tcPr>
            <w:tcW w:w="3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2 (дв</w:t>
            </w:r>
            <w:r>
              <w:rPr>
                <w:sz w:val="22"/>
                <w:szCs w:val="22"/>
              </w:rPr>
              <w:t>ух</w:t>
            </w:r>
            <w:r>
              <w:rPr>
                <w:sz w:val="22"/>
                <w:szCs w:val="22"/>
              </w:rPr>
              <w:t>) месяцев, либо до исчерпания предельной суммы по Договору, в зависимости что наступит ранее</w:t>
            </w:r>
          </w:p>
        </w:tc>
      </w:tr>
    </w:tbl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  <w:bookmarkStart w:id="29" w:name="_Toc46743510"/>
      <w:bookmarkStart w:id="30" w:name="_Toc46743510"/>
      <w:bookmarkEnd w:id="30"/>
    </w:p>
    <w:p>
      <w:pPr>
        <w:pStyle w:val="Heading4"/>
        <w:numPr>
          <w:ilvl w:val="1"/>
          <w:numId w:val="3"/>
        </w:numPr>
        <w:ind w:hanging="0" w:left="432"/>
        <w:rPr/>
      </w:pPr>
      <w:bookmarkStart w:id="31" w:name="_Toc51339698"/>
      <w:bookmarkStart w:id="32" w:name="_Toc46743511"/>
      <w:r>
        <w:rPr/>
        <w:t xml:space="preserve">Требования к </w:t>
      </w:r>
      <w:bookmarkEnd w:id="32"/>
      <w:r>
        <w:rPr/>
        <w:t>качеству продукции</w:t>
      </w:r>
    </w:p>
    <w:p>
      <w:pPr>
        <w:pStyle w:val="Heading1"/>
        <w:numPr>
          <w:ilvl w:val="0"/>
          <w:numId w:val="0"/>
        </w:numPr>
        <w:ind w:hanging="0" w:left="0"/>
        <w:rPr>
          <w:sz w:val="24"/>
          <w:szCs w:val="24"/>
        </w:rPr>
      </w:pPr>
      <w:r>
        <w:rPr/>
        <w:t xml:space="preserve"> </w:t>
      </w:r>
      <w:bookmarkStart w:id="33" w:name="_Toc194593950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33"/>
      <w:r>
        <w:rPr>
          <w:sz w:val="24"/>
          <w:szCs w:val="24"/>
        </w:rPr>
        <w:t xml:space="preserve"> </w:t>
      </w:r>
      <w:bookmarkEnd w:id="31"/>
    </w:p>
    <w:p>
      <w:pPr>
        <w:pStyle w:val="Normal"/>
        <w:widowControl w:val="false"/>
        <w:jc w:val="left"/>
        <w:rPr>
          <w:sz w:val="22"/>
          <w:szCs w:val="22"/>
        </w:rPr>
      </w:pPr>
      <w:r>
        <w:rPr>
          <w:rStyle w:val="Style8"/>
          <w:rFonts w:eastAsia="Calibri"/>
          <w:b w:val="false"/>
          <w:bCs/>
          <w:sz w:val="22"/>
          <w:szCs w:val="22"/>
          <w:shd w:fill="auto" w:val="clear"/>
          <w:lang w:val="x-none" w:eastAsia="x-none"/>
        </w:rPr>
        <w:t>ОКПД2 08.12.12.130 Поставка гравия для нужд Загорского строительного участка Центрального филиала АО «ТК РусГидро»</w:t>
      </w:r>
    </w:p>
    <w:tbl>
      <w:tblPr>
        <w:tblStyle w:val="affff6"/>
        <w:tblW w:w="10200" w:type="dxa"/>
        <w:jc w:val="left"/>
        <w:tblInd w:w="-2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5"/>
        <w:gridCol w:w="2553"/>
        <w:gridCol w:w="2984"/>
        <w:gridCol w:w="3817"/>
      </w:tblGrid>
      <w:tr>
        <w:trPr/>
        <w:tc>
          <w:tcPr>
            <w:tcW w:w="84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255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98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38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84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55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98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38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9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38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553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381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2"/>
                <w:szCs w:val="22"/>
                <w:lang w:val="ru-RU" w:eastAsia="ru-RU" w:bidi="ar-SA"/>
              </w:rPr>
              <w:t>Участник должен поставить Товар, полностью соответствующий настоящим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2"/>
                <w:szCs w:val="22"/>
                <w:lang w:val="ru-RU" w:eastAsia="ru-RU" w:bidi="ar-SA"/>
              </w:rPr>
              <w:t>техническим требованиям</w:t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5537" w:type="dxa"/>
            <w:gridSpan w:val="2"/>
            <w:tcBorders/>
          </w:tcPr>
          <w:p>
            <w:pPr>
              <w:pStyle w:val="Normal"/>
              <w:keepNext w:val="true"/>
              <w:keepLines/>
              <w:widowControl w:val="false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lang w:val="ru-RU" w:eastAsia="ru-RU" w:bidi="ar-SA"/>
              </w:rPr>
              <w:t>Гравий (М800) фракции 5-</w:t>
            </w:r>
            <w:r>
              <w:rPr>
                <w:rFonts w:eastAsia="Calibri" w:cs="Times New Roman"/>
                <w:i/>
                <w:kern w:val="0"/>
                <w:sz w:val="24"/>
                <w:szCs w:val="24"/>
                <w:lang w:val="ru-RU" w:eastAsia="ru-RU" w:bidi="ar-SA"/>
              </w:rPr>
              <w:t>2</w:t>
            </w:r>
            <w:r>
              <w:rPr>
                <w:rFonts w:eastAsia="Calibri" w:cs="Times New Roman"/>
                <w:i/>
                <w:kern w:val="0"/>
                <w:sz w:val="24"/>
                <w:szCs w:val="24"/>
                <w:lang w:val="ru-RU" w:eastAsia="ru-RU" w:bidi="ar-SA"/>
              </w:rPr>
              <w:t xml:space="preserve">0мм </w:t>
            </w:r>
            <w:r>
              <w:rPr>
                <w:rFonts w:eastAsia="Times New Roman" w:cs="Times New Roman"/>
                <w:i/>
                <w:kern w:val="0"/>
                <w:sz w:val="22"/>
                <w:szCs w:val="22"/>
                <w:lang w:val="ru-RU" w:eastAsia="ru-RU" w:bidi="ar-SA"/>
              </w:rPr>
              <w:t>ГОСТ 8267-93</w:t>
            </w:r>
          </w:p>
        </w:tc>
        <w:tc>
          <w:tcPr>
            <w:tcW w:w="381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1.1.1.</w:t>
            </w:r>
          </w:p>
        </w:tc>
        <w:tc>
          <w:tcPr>
            <w:tcW w:w="255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Полные остатки на контрольном сите по массе, %</w:t>
            </w:r>
          </w:p>
        </w:tc>
        <w:tc>
          <w:tcPr>
            <w:tcW w:w="29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d: от 90 до 100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0,5 (d+D): от 30 до 60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D: до 10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1,25D: до 0,5</w:t>
            </w:r>
          </w:p>
        </w:tc>
        <w:tc>
          <w:tcPr>
            <w:tcW w:w="381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1.1.2.</w:t>
            </w:r>
          </w:p>
        </w:tc>
        <w:tc>
          <w:tcPr>
            <w:tcW w:w="255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Содержание глинистых и пылевидных частиц, %</w:t>
            </w:r>
          </w:p>
        </w:tc>
        <w:tc>
          <w:tcPr>
            <w:tcW w:w="29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не более 1</w:t>
            </w:r>
          </w:p>
        </w:tc>
        <w:tc>
          <w:tcPr>
            <w:tcW w:w="381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1.1.3.</w:t>
            </w:r>
          </w:p>
        </w:tc>
        <w:tc>
          <w:tcPr>
            <w:tcW w:w="255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Содержание глины в виде комков, %</w:t>
            </w:r>
          </w:p>
        </w:tc>
        <w:tc>
          <w:tcPr>
            <w:tcW w:w="29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не более 0,25</w:t>
            </w:r>
          </w:p>
        </w:tc>
        <w:tc>
          <w:tcPr>
            <w:tcW w:w="381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1.1.4.</w:t>
            </w:r>
          </w:p>
        </w:tc>
        <w:tc>
          <w:tcPr>
            <w:tcW w:w="255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Марка по прочности</w:t>
            </w:r>
          </w:p>
        </w:tc>
        <w:tc>
          <w:tcPr>
            <w:tcW w:w="29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М800</w:t>
            </w:r>
          </w:p>
        </w:tc>
        <w:tc>
          <w:tcPr>
            <w:tcW w:w="381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1.1.5.</w:t>
            </w:r>
          </w:p>
        </w:tc>
        <w:tc>
          <w:tcPr>
            <w:tcW w:w="255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Морозостойкость</w:t>
            </w:r>
          </w:p>
        </w:tc>
        <w:tc>
          <w:tcPr>
            <w:tcW w:w="29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не менее F100</w:t>
            </w:r>
          </w:p>
        </w:tc>
        <w:tc>
          <w:tcPr>
            <w:tcW w:w="381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4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1.1.6.</w:t>
            </w:r>
          </w:p>
        </w:tc>
        <w:tc>
          <w:tcPr>
            <w:tcW w:w="255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Содержание посторонних примесей</w:t>
            </w:r>
          </w:p>
        </w:tc>
        <w:tc>
          <w:tcPr>
            <w:tcW w:w="298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отсутствуют</w:t>
            </w:r>
          </w:p>
        </w:tc>
        <w:tc>
          <w:tcPr>
            <w:tcW w:w="381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2.</w:t>
            </w:r>
          </w:p>
        </w:tc>
        <w:tc>
          <w:tcPr>
            <w:tcW w:w="553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</w:t>
            </w:r>
          </w:p>
        </w:tc>
        <w:tc>
          <w:tcPr>
            <w:tcW w:w="381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2.1.</w:t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Место поставки</w:t>
            </w:r>
          </w:p>
        </w:tc>
        <w:tc>
          <w:tcPr>
            <w:tcW w:w="2984" w:type="dxa"/>
            <w:tcBorders/>
            <w:vAlign w:val="center"/>
          </w:tcPr>
          <w:p>
            <w:pPr>
              <w:pStyle w:val="Style51"/>
              <w:widowControl w:val="false"/>
              <w:tabs>
                <w:tab w:val="clear" w:pos="708"/>
                <w:tab w:val="left" w:pos="6710" w:leader="none"/>
              </w:tabs>
              <w:spacing w:lineRule="auto" w:line="240" w:before="62" w:after="0"/>
              <w:jc w:val="left"/>
              <w:rPr/>
            </w:pPr>
            <w:r>
              <w:rPr>
                <w:rStyle w:val="FontStyle20"/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Московская область, Сергиево-Посадский г.о., рп. Богородское</w:t>
            </w:r>
          </w:p>
        </w:tc>
        <w:tc>
          <w:tcPr>
            <w:tcW w:w="381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255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Минимальный объем поставки в сутки, м3</w:t>
            </w:r>
          </w:p>
        </w:tc>
        <w:tc>
          <w:tcPr>
            <w:tcW w:w="2984" w:type="dxa"/>
            <w:tcBorders>
              <w:top w:val="nil"/>
            </w:tcBorders>
            <w:vAlign w:val="center"/>
          </w:tcPr>
          <w:p>
            <w:pPr>
              <w:pStyle w:val="Style51"/>
              <w:widowControl w:val="false"/>
              <w:tabs>
                <w:tab w:val="clear" w:pos="708"/>
                <w:tab w:val="left" w:pos="6710" w:leader="none"/>
              </w:tabs>
              <w:spacing w:lineRule="auto" w:line="240" w:before="62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204</w:t>
            </w:r>
          </w:p>
        </w:tc>
        <w:tc>
          <w:tcPr>
            <w:tcW w:w="381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2.3.</w:t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Приемка и испытания</w:t>
            </w:r>
          </w:p>
        </w:tc>
        <w:tc>
          <w:tcPr>
            <w:tcW w:w="29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При приёмке Товара в обязательном порядке силами Покупателя с привлечением специализированной лаборатории производится контрольная проверка качества (входной контроль) принимаемой партии Товара на соответствие предоставляемому паспорту качества</w:t>
            </w:r>
          </w:p>
        </w:tc>
        <w:tc>
          <w:tcPr>
            <w:tcW w:w="381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3.</w:t>
            </w:r>
          </w:p>
        </w:tc>
        <w:tc>
          <w:tcPr>
            <w:tcW w:w="553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381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3.1.</w:t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Состав пакета документов, передаваемых вместе с товаром</w:t>
            </w:r>
          </w:p>
        </w:tc>
        <w:tc>
          <w:tcPr>
            <w:tcW w:w="29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 качества;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-сертификат;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товарно-транспортная накладная;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-результат радиационно-гигиенической оценки поставляемой продукции. </w:t>
            </w:r>
          </w:p>
        </w:tc>
        <w:tc>
          <w:tcPr>
            <w:tcW w:w="381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Heading1"/>
        <w:numPr>
          <w:ilvl w:val="0"/>
          <w:numId w:val="3"/>
        </w:numPr>
        <w:ind w:hanging="0" w:left="0"/>
        <w:rPr>
          <w:sz w:val="24"/>
          <w:szCs w:val="24"/>
        </w:rPr>
      </w:pPr>
      <w:bookmarkStart w:id="34" w:name="_Toc194593951"/>
      <w:r>
        <w:rPr>
          <w:sz w:val="24"/>
          <w:szCs w:val="24"/>
        </w:rPr>
        <w:t>Требования к документации по ценообразованию на этапе закупки</w:t>
      </w:r>
      <w:bookmarkEnd w:id="34"/>
    </w:p>
    <w:p>
      <w:pPr>
        <w:pStyle w:val="Heading4"/>
        <w:numPr>
          <w:ilvl w:val="0"/>
        </w:numPr>
        <w:tabs>
          <w:tab w:val="clear" w:pos="0"/>
        </w:tabs>
        <w:ind w:hanging="0" w:left="432"/>
        <w:jc w:val="both"/>
        <w:rPr>
          <w:b w:val="false"/>
        </w:rPr>
      </w:pPr>
      <w:r>
        <w:rPr>
          <w:b w:val="false"/>
        </w:rPr>
        <w:t>3.1. В обоснование стоимости своей заявки Участник предоставляет Коммерческое предложение 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trike/>
          <w:sz w:val="24"/>
          <w:szCs w:val="24"/>
        </w:rPr>
      </w:pPr>
      <w:r>
        <w:rPr/>
        <w:t xml:space="preserve">Начальник ЗСУ </w:t>
      </w:r>
      <w:r>
        <w:rPr/>
        <w:t xml:space="preserve">_____________________ </w:t>
      </w:r>
      <w:r>
        <w:rPr/>
        <w:t xml:space="preserve">А. Козлов </w:t>
      </w:r>
    </w:p>
    <w:sectPr>
      <w:headerReference w:type="even" r:id="rId2"/>
      <w:headerReference w:type="default" r:id="rId3"/>
      <w:headerReference w:type="first" r:id="rId4"/>
      <w:footerReference w:type="default" r:id="rId5"/>
      <w:type w:val="nextPage"/>
      <w:pgSz w:w="11906" w:h="16838"/>
      <w:pgMar w:left="1134" w:right="851" w:gutter="0" w:header="680" w:top="1134" w:footer="992" w:bottom="1597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 wp14:anchorId="308764DD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308764DD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763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74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ind w:hanging="0" w:left="5038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d91cfb"/>
    <w:pPr>
      <w:keepNext w:val="true"/>
      <w:numPr>
        <w:ilvl w:val="2"/>
        <w:numId w:val="3"/>
      </w:numPr>
      <w:spacing w:before="120" w:after="60"/>
      <w:ind w:hanging="0" w:left="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hanging="0" w:left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d91cfb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FontStyle20">
    <w:name w:val="Font Style20"/>
    <w:qFormat/>
    <w:rPr>
      <w:rFonts w:ascii="Cambria" w:hAnsi="Cambria" w:cs="Cambria"/>
      <w:sz w:val="20"/>
      <w:szCs w:val="20"/>
    </w:rPr>
  </w:style>
  <w:style w:type="character" w:styleId="FontStyle19">
    <w:name w:val="Font Style19"/>
    <w:qFormat/>
    <w:rPr>
      <w:rFonts w:ascii="Cambria" w:hAnsi="Cambria" w:cs="Cambria"/>
      <w:sz w:val="20"/>
      <w:szCs w:val="20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262d5f"/>
    <w:pPr>
      <w:tabs>
        <w:tab w:val="clear" w:pos="708"/>
        <w:tab w:val="left" w:pos="560" w:leader="none"/>
        <w:tab w:val="right" w:pos="9911" w:leader="dot"/>
      </w:tabs>
      <w:spacing w:before="120" w:after="0"/>
    </w:pPr>
    <w:rPr>
      <w:rFonts w:cs="Calibri Light (Заголовки)"/>
      <w:b/>
      <w:b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[РГ] Текст"/>
    <w:basedOn w:val="Normal"/>
    <w:qFormat/>
    <w:rsid w:val="00ff3463"/>
    <w:pPr>
      <w:spacing w:before="120" w:after="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>
    <w:name w:val="Содержимое таблицы"/>
    <w:basedOn w:val="Normal"/>
    <w:qFormat/>
    <w:pPr>
      <w:widowControl w:val="false"/>
      <w:suppressLineNumbers/>
    </w:pPr>
    <w:rPr/>
  </w:style>
  <w:style w:type="paragraph" w:styleId="Style36">
    <w:name w:val="Заголовок таблицы"/>
    <w:basedOn w:val="Style35"/>
    <w:qFormat/>
    <w:pPr>
      <w:suppressLineNumbers/>
      <w:jc w:val="center"/>
    </w:pPr>
    <w:rPr>
      <w:b/>
      <w:bCs/>
    </w:rPr>
  </w:style>
  <w:style w:type="paragraph" w:styleId="Style37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Style51">
    <w:name w:val="Style5"/>
    <w:basedOn w:val="Normal"/>
    <w:qFormat/>
    <w:pPr>
      <w:spacing w:lineRule="exact" w:line="266"/>
      <w:jc w:val="both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6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20268D-0FB7-42FE-B68F-178727C29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Application>AlterOffice/2026.2.0.0$Linux_X86_64 LibreOffice_project/bc4ef1adf80b36c7a6365f8ed6cbf29021361edd</Application>
  <AppVersion>15.0000</AppVersion>
  <Pages>5</Pages>
  <Words>669</Words>
  <Characters>4569</Characters>
  <CharactersWithSpaces>5114</CharactersWithSpaces>
  <Paragraphs>130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2023-08-01T16:10:00Z</dcterms:created>
  <dc:creator>Быстров Олег Геннадьевич</dc:creator>
  <dc:description/>
  <dc:language>ru-RU</dc:language>
  <cp:lastModifiedBy>kononenkoev@corp.gidroogk.com</cp:lastModifiedBy>
  <cp:lastPrinted>2026-01-28T14:12:38Z</cp:lastPrinted>
  <dcterms:modified xsi:type="dcterms:W3CDTF">2026-09-23T18:05:35Z</dcterms:modified>
  <cp:revision>102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