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</w:r>
    </w:p>
    <w:tbl>
      <w:tblPr>
        <w:tblW w:w="99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9"/>
        <w:gridCol w:w="5520"/>
      </w:tblGrid>
      <w:tr>
        <w:trPr/>
        <w:tc>
          <w:tcPr>
            <w:tcW w:w="4389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5520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jc w:val="right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</w:tr>
      <w:tr>
        <w:trPr/>
        <w:tc>
          <w:tcPr>
            <w:tcW w:w="4389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5520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jc w:val="right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</w:tr>
      <w:tr>
        <w:trPr/>
        <w:tc>
          <w:tcPr>
            <w:tcW w:w="4389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5520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jc w:val="right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</w:tr>
      <w:tr>
        <w:trPr/>
        <w:tc>
          <w:tcPr>
            <w:tcW w:w="4389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5520" w:type="dxa"/>
            <w:tcBorders/>
            <w:shd w:fill="FFFFFF" w:val="clear"/>
          </w:tcPr>
          <w:p>
            <w:pPr>
              <w:pStyle w:val="Normal"/>
              <w:keepNext w:val="true"/>
              <w:keepLines/>
              <w:widowControl w:val="false"/>
              <w:jc w:val="right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  <w:bookmarkStart w:id="0" w:name="_Toc141696704_Копия_1"/>
      <w:bookmarkStart w:id="1" w:name="_Toc137554584_Копия_1"/>
      <w:bookmarkStart w:id="2" w:name="_Toc139856287_Копия_1"/>
      <w:bookmarkStart w:id="3" w:name="_Toc141696704_Копия_1"/>
      <w:bookmarkStart w:id="4" w:name="_Toc137554584_Копия_1"/>
      <w:bookmarkStart w:id="5" w:name="_Toc139856287_Копия_1"/>
      <w:bookmarkEnd w:id="3"/>
      <w:bookmarkEnd w:id="4"/>
      <w:bookmarkEnd w:id="5"/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widowControl w:val="false"/>
        <w:tabs>
          <w:tab w:val="clear" w:pos="286"/>
          <w:tab w:val="left" w:pos="0" w:leader="none"/>
        </w:tabs>
        <w:spacing w:before="120" w:after="120"/>
        <w:ind w:firstLine="709"/>
        <w:jc w:val="center"/>
        <w:rPr>
          <w:b/>
          <w:bCs/>
        </w:rPr>
      </w:pPr>
      <w:r>
        <w:rPr>
          <w:rFonts w:eastAsia="Calibri"/>
          <w:b/>
          <w:bCs/>
          <w:lang w:eastAsia="x-none"/>
        </w:rPr>
        <w:t>«Техническое обслуживание  ИТСО объектов  филиала "Электрические сети ЕАО»</w:t>
      </w:r>
    </w:p>
    <w:p>
      <w:pPr>
        <w:pStyle w:val="Heading4"/>
        <w:keepNext w:val="true"/>
        <w:keepLines/>
        <w:widowControl/>
        <w:numPr>
          <w:ilvl w:val="0"/>
          <w:numId w:val="0"/>
        </w:numPr>
        <w:bidi w:val="0"/>
        <w:spacing w:before="120" w:after="60"/>
        <w:ind w:hanging="0" w:left="0" w:right="0"/>
        <w:jc w:val="left"/>
        <w:rPr>
          <w:rFonts w:ascii="Liberation Serif" w:hAnsi="Liberation Serif" w:eastAsia="Calibri"/>
          <w:b/>
          <w:bCs/>
          <w:sz w:val="24"/>
          <w:szCs w:val="24"/>
        </w:rPr>
      </w:pP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em w:val="none"/>
          <w:lang w:eastAsia="x-none"/>
        </w:rPr>
        <w:t xml:space="preserve">                                              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em w:val="none"/>
          <w:lang w:eastAsia="x-none"/>
        </w:rPr>
        <w:t>Лот №-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em w:val="none"/>
          <w:lang w:eastAsia="x-none"/>
        </w:rPr>
        <w:t>439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em w:val="none"/>
          <w:lang w:eastAsia="x-none"/>
        </w:rPr>
        <w:t>01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shd w:fill="FFFFFF" w:val="clear"/>
          <w:em w:val="none"/>
          <w:lang w:eastAsia="x-none"/>
        </w:rPr>
        <w:t>-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shd w:fill="FFFFFF" w:val="clear"/>
          <w:em w:val="none"/>
          <w:lang w:eastAsia="x-none"/>
        </w:rPr>
        <w:t>ПРО ДЭК-202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shd w:fill="FFFFFF" w:val="clear"/>
          <w:em w:val="none"/>
          <w:lang w:eastAsia="x-none"/>
        </w:rPr>
        <w:t>7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111111"/>
          <w:sz w:val="24"/>
          <w:szCs w:val="24"/>
          <w:u w:val="none"/>
          <w:shd w:fill="FFFFFF" w:val="clear"/>
          <w:em w:val="none"/>
          <w:lang w:eastAsia="x-none"/>
        </w:rPr>
        <w:t xml:space="preserve">-ДРСК-ЕАО </w:t>
      </w:r>
    </w:p>
    <w:p>
      <w:pPr>
        <w:pStyle w:val="Normal"/>
        <w:spacing w:before="0" w:after="240"/>
        <w:jc w:val="center"/>
        <w:rPr>
          <w:rFonts w:ascii="Liberation Serif" w:hAnsi="Liberation Serif" w:eastAsia="Calibri"/>
          <w:b/>
          <w:bCs/>
          <w:sz w:val="24"/>
          <w:szCs w:val="24"/>
        </w:rPr>
      </w:pPr>
      <w:r>
        <w:rPr>
          <w:rFonts w:eastAsia="Calibri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286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5"/>
              <w:sz w:val="24"/>
              <w:szCs w:val="24"/>
              <w:vanish w:val="false"/>
              <w:rFonts w:ascii="Liberation Serif" w:hAnsi="Liberation Serif"/>
            </w:rPr>
            <w:instrText xml:space="preserve"> TOC \z \o "1-4" \u \h</w:instrText>
          </w:r>
          <w:r>
            <w:rPr>
              <w:webHidden/>
              <w:rStyle w:val="Style15"/>
              <w:sz w:val="24"/>
              <w:szCs w:val="24"/>
              <w:vanish w:val="false"/>
              <w:rFonts w:ascii="Liberation Serif" w:hAnsi="Liberation Serif"/>
            </w:rPr>
            <w:fldChar w:fldCharType="separate"/>
          </w:r>
          <w:hyperlink w:anchor="_Toc54643694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1.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8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 xml:space="preserve">Перечень объектов </w:t>
            </w:r>
          </w:hyperlink>
          <w:hyperlink w:anchor="_Toc546436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для оказания услуг физической охраны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286"/>
              <w:tab w:val="right" w:pos="9911" w:leader="dot"/>
            </w:tabs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0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1.5.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vanish w:val="false"/>
                <w:sz w:val="24"/>
                <w:szCs w:val="24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286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 xml:space="preserve">        </w:t>
            </w:r>
          </w:hyperlink>
          <w:r>
            <w:rPr>
              <w:rFonts w:ascii="Liberation Serif" w:hAnsi="Liberation Serif"/>
              <w:b w:val="false"/>
              <w:bCs w:val="false"/>
              <w:vanish w:val="false"/>
              <w:sz w:val="24"/>
              <w:szCs w:val="24"/>
            </w:rPr>
            <w:t xml:space="preserve">  </w:t>
          </w:r>
          <w:r>
            <w:rPr>
              <w:rFonts w:ascii="Liberation Serif" w:hAnsi="Liberation Serif"/>
              <w:b w:val="false"/>
              <w:bCs w:val="false"/>
              <w:vanish w:val="false"/>
              <w:sz w:val="24"/>
              <w:szCs w:val="24"/>
            </w:rPr>
            <w:t>1.6. Иные сведения общего характера                                                                                         6</w:t>
          </w:r>
        </w:p>
        <w:p>
          <w:pPr>
            <w:pStyle w:val="TOC1"/>
            <w:tabs>
              <w:tab w:val="clear" w:pos="286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2.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iCs/>
                <w:sz w:val="24"/>
                <w:szCs w:val="2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Требования к объемам и соблюдению нормативно-правовых актов при охране объектов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286"/>
              <w:tab w:val="left" w:pos="1120" w:leader="none"/>
              <w:tab w:val="right" w:pos="9911" w:leader="dot"/>
            </w:tabs>
            <w:rPr/>
          </w:pPr>
          <w:r>
            <w:rPr>
              <w:rFonts w:ascii="Liberation Serif" w:hAnsi="Liberation Serif"/>
              <w:sz w:val="24"/>
              <w:szCs w:val="24"/>
              <w:u w:val="none"/>
            </w:rPr>
            <w:t xml:space="preserve">     </w:t>
          </w:r>
          <w:hyperlink w:anchor="_Toc54643704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2.1.1.</w:t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286"/>
              <w:tab w:val="right" w:pos="9911" w:leader="dot"/>
            </w:tabs>
            <w:rPr/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Таблица 2. Перечень и объем оказываемых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286"/>
              <w:tab w:val="left" w:pos="1120" w:leader="none"/>
              <w:tab w:val="right" w:pos="9911" w:leader="dot"/>
            </w:tabs>
            <w:rPr/>
          </w:pPr>
          <w:r>
            <w:rPr>
              <w:rFonts w:ascii="Liberation Serif" w:hAnsi="Liberation Serif"/>
              <w:sz w:val="24"/>
              <w:szCs w:val="24"/>
              <w:u w:val="none"/>
            </w:rPr>
            <w:t xml:space="preserve">     </w:t>
          </w:r>
          <w:hyperlink w:anchor="_Toc54643706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2.1.2.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vanish w:val="false"/>
                <w:sz w:val="24"/>
                <w:szCs w:val="24"/>
              </w:rPr>
              <w:t xml:space="preserve"> </w:t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286"/>
              <w:tab w:val="right" w:pos="9911" w:leader="dot"/>
            </w:tabs>
            <w:rPr/>
          </w:pPr>
          <w:hyperlink w:anchor="_Toc54643707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Таблица 3. Требования к срокам оказания услуг</w:t>
              <w:tab/>
            </w:r>
          </w:hyperlink>
          <w:r>
            <w:rPr>
              <w:rFonts w:ascii="Liberation Serif" w:hAnsi="Liberation Serif"/>
              <w:vanish w:val="false"/>
              <w:sz w:val="24"/>
              <w:szCs w:val="24"/>
            </w:rPr>
            <w:t>7</w:t>
          </w:r>
        </w:p>
        <w:p>
          <w:pPr>
            <w:pStyle w:val="TOC4"/>
            <w:rPr/>
          </w:pPr>
          <w:hyperlink w:anchor="_Toc54643708">
            <w:r>
              <w:rPr>
                <w:webHidden/>
                <w:rStyle w:val="Style15"/>
                <w:rFonts w:ascii="Liberation Serif" w:hAnsi="Liberation Serif"/>
                <w:iCs/>
                <w:vanish w:val="false"/>
                <w:sz w:val="24"/>
                <w:szCs w:val="24"/>
              </w:rPr>
              <w:t>2.3.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Требования к качеству услуг</w:t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</w:r>
          </w:hyperlink>
          <w:r>
            <w:rPr>
              <w:rFonts w:ascii="Liberation Serif" w:hAnsi="Liberation Serif"/>
              <w:vanish w:val="false"/>
              <w:sz w:val="24"/>
              <w:szCs w:val="24"/>
            </w:rPr>
            <w:t>8</w:t>
          </w:r>
        </w:p>
        <w:p>
          <w:pPr>
            <w:pStyle w:val="TOC1"/>
            <w:tabs>
              <w:tab w:val="clear" w:pos="286"/>
              <w:tab w:val="right" w:pos="9911" w:leader="dot"/>
            </w:tabs>
            <w:rPr/>
          </w:pPr>
          <w:hyperlink w:anchor="_Toc54643709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Таблица 4. Требования к качеству услуг</w:t>
              <w:tab/>
            </w:r>
          </w:hyperlink>
          <w:r>
            <w:rPr>
              <w:rFonts w:ascii="Liberation Serif" w:hAnsi="Liberation Serif"/>
              <w:vanish w:val="false"/>
              <w:sz w:val="24"/>
              <w:szCs w:val="24"/>
            </w:rPr>
            <w:t>8-19</w:t>
          </w:r>
        </w:p>
        <w:p>
          <w:pPr>
            <w:pStyle w:val="TOC1"/>
            <w:tabs>
              <w:tab w:val="clear" w:pos="286"/>
              <w:tab w:val="left" w:pos="560" w:leader="none"/>
              <w:tab w:val="right" w:pos="9911" w:leader="dot"/>
            </w:tabs>
            <w:rPr/>
          </w:pPr>
          <w:r>
            <w:rPr>
              <w:rFonts w:ascii="Liberation Serif" w:hAnsi="Liberation Serif"/>
              <w:vanish w:val="false"/>
              <w:sz w:val="24"/>
              <w:szCs w:val="24"/>
            </w:rPr>
            <w:t>3</w:t>
          </w:r>
          <w:hyperlink w:anchor="_Toc54643711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sz w:val="24"/>
                <w:szCs w:val="2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</w:r>
          </w:hyperlink>
          <w:r>
            <w:rPr>
              <w:rFonts w:ascii="Liberation Serif" w:hAnsi="Liberation Serif"/>
              <w:sz w:val="24"/>
              <w:szCs w:val="24"/>
            </w:rPr>
            <w:t>2</w:t>
          </w:r>
          <w:r>
            <w:rPr>
              <w:rFonts w:eastAsia="" w:cs="" w:ascii="Liberation Serif" w:hAnsi="Liberation Serif" w:cstheme="minorBidi" w:eastAsiaTheme="minorEastAsia"/>
              <w:b/>
              <w:bCs/>
              <w:sz w:val="24"/>
              <w:szCs w:val="24"/>
            </w:rPr>
            <w:t>0</w:t>
          </w:r>
        </w:p>
        <w:p>
          <w:pPr>
            <w:pStyle w:val="TOC1"/>
            <w:tabs>
              <w:tab w:val="clear" w:pos="286"/>
              <w:tab w:val="left" w:pos="560" w:leader="none"/>
              <w:tab w:val="right" w:pos="9911" w:leader="dot"/>
            </w:tabs>
            <w:rPr/>
          </w:pPr>
          <w:r>
            <w:rPr>
              <w:rFonts w:ascii="Liberation Serif" w:hAnsi="Liberation Serif"/>
              <w:vanish w:val="false"/>
              <w:sz w:val="24"/>
              <w:szCs w:val="24"/>
            </w:rPr>
            <w:t>4</w:t>
          </w:r>
          <w:hyperlink w:anchor="_Toc54643712">
            <w:r>
              <w:rPr>
                <w:webHidden/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>.</w:t>
            </w:r>
            <w:r>
              <w:rPr>
                <w:rStyle w:val="Style15"/>
                <w:rFonts w:eastAsia="" w:cs="" w:ascii="Liberation Serif" w:hAnsi="Liberation Serif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rFonts w:ascii="Liberation Serif" w:hAnsi="Liberation Serif"/>
                <w:iCs/>
                <w:sz w:val="24"/>
                <w:szCs w:val="24"/>
              </w:rPr>
              <w:t>Приложения</w:t>
            </w:r>
            <w:r>
              <w:rPr>
                <w:rStyle w:val="Style15"/>
                <w:rFonts w:ascii="Liberation Serif" w:hAnsi="Liberation Serif"/>
                <w:vanish w:val="false"/>
                <w:sz w:val="24"/>
                <w:szCs w:val="24"/>
              </w:rPr>
              <w:tab/>
              <w:t>20-</w:t>
            </w:r>
          </w:hyperlink>
          <w:r>
            <w:rPr>
              <w:rFonts w:eastAsia="" w:cs="" w:ascii="Liberation Serif" w:hAnsi="Liberation Serif" w:cstheme="minorBidi" w:eastAsiaTheme="minorEastAsia"/>
              <w:b/>
              <w:bCs/>
              <w:vanish w:val="false"/>
              <w:sz w:val="24"/>
              <w:szCs w:val="24"/>
            </w:rPr>
            <w:t>42</w:t>
          </w:r>
          <w:r>
            <w:rPr>
              <w:sz w:val="24"/>
              <w:b/>
              <w:szCs w:val="24"/>
              <w:bCs/>
              <w:vanish w:val="false"/>
              <w:rFonts w:eastAsia="" w:cs="" w:ascii="Liberation Serif" w:hAnsi="Liberation Serif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432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4"/>
          <w:szCs w:val="24"/>
        </w:rPr>
      </w:pPr>
      <w:r>
        <w:rPr>
          <w:rFonts w:eastAsia="Calibri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2"/>
        </w:numPr>
        <w:rPr>
          <w:rFonts w:ascii="Liberation Serif" w:hAnsi="Liberation Serif"/>
          <w:sz w:val="24"/>
          <w:szCs w:val="24"/>
        </w:rPr>
      </w:pPr>
      <w:bookmarkStart w:id="6" w:name="_Toc54643694"/>
      <w:bookmarkEnd w:id="6"/>
      <w:r>
        <w:rPr>
          <w:rFonts w:ascii="Liberation Serif" w:hAnsi="Liberation Serif"/>
          <w:sz w:val="24"/>
          <w:szCs w:val="24"/>
        </w:rPr>
        <w:t>Общие сведения</w:t>
      </w:r>
    </w:p>
    <w:p>
      <w:pPr>
        <w:pStyle w:val="Heading4"/>
        <w:numPr>
          <w:ilvl w:val="1"/>
          <w:numId w:val="2"/>
        </w:numPr>
        <w:rPr>
          <w:rFonts w:ascii="Liberation Serif" w:hAnsi="Liberation Serif"/>
          <w:sz w:val="24"/>
          <w:szCs w:val="24"/>
        </w:rPr>
      </w:pPr>
      <w:bookmarkStart w:id="7" w:name="_Toc46743505"/>
      <w:bookmarkStart w:id="8" w:name="_Toc54643695"/>
      <w:r>
        <w:rPr>
          <w:rFonts w:ascii="Liberation Serif" w:hAnsi="Liberation Serif"/>
          <w:sz w:val="24"/>
          <w:szCs w:val="24"/>
          <w:lang w:val="ru-RU"/>
        </w:rPr>
        <w:t xml:space="preserve">Термины, </w:t>
      </w:r>
      <w:bookmarkEnd w:id="7"/>
      <w:bookmarkEnd w:id="8"/>
      <w:r>
        <w:rPr>
          <w:rFonts w:ascii="Liberation Serif" w:hAnsi="Liberation Serif"/>
          <w:sz w:val="24"/>
          <w:szCs w:val="24"/>
        </w:rPr>
        <w:t>обозначения и сокращения</w:t>
      </w:r>
    </w:p>
    <w:p>
      <w:pPr>
        <w:pStyle w:val="Normal"/>
        <w:rPr>
          <w:rFonts w:ascii="Liberation Serif" w:hAnsi="Liberation Serif"/>
          <w:sz w:val="24"/>
          <w:szCs w:val="24"/>
          <w:lang w:val="x-none" w:eastAsia="x-none"/>
        </w:rPr>
      </w:pPr>
      <w:r>
        <w:rPr>
          <w:rFonts w:ascii="Liberation Serif" w:hAnsi="Liberation Serif"/>
          <w:sz w:val="24"/>
          <w:szCs w:val="24"/>
          <w:lang w:val="x-none" w:eastAsia="x-none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65"/>
        <w:gridCol w:w="7417"/>
      </w:tblGrid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АРМ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Автоматизированное рабочее место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Заказчик/ субъект ТЭК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trike w:val="false"/>
                <w:dstrike w:val="false"/>
                <w:color w:val="00000A"/>
                <w:position w:val="0"/>
                <w:sz w:val="24"/>
                <w:sz w:val="24"/>
                <w:szCs w:val="24"/>
                <w:vertAlign w:val="baseline"/>
              </w:rPr>
              <w:t>АО «ДРСК» (филиал «ЭС ЕАО»)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Исполнитель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осуществляет оказание услуг по договору.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ИТСО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Инженерно-технические средства охраны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ПС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Подстанция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ОПОС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Оборудование пожароохранной сигнализации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СКУД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Системы контроля и управления доступом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СБ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Служба безопасности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СОТ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Система охранного телевидения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САПТ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Система автоматического пожаротушения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РЭС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Район электрических сетей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ТТ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ТЭК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Топливно-энергетический комплекс</w:t>
            </w:r>
          </w:p>
        </w:tc>
      </w:tr>
      <w:tr>
        <w:trPr>
          <w:cantSplit w:val="true"/>
        </w:trPr>
        <w:tc>
          <w:tcPr>
            <w:tcW w:w="2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КПП</w:t>
            </w:r>
          </w:p>
        </w:tc>
        <w:tc>
          <w:tcPr>
            <w:tcW w:w="7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Контрольно пропускной пункт, охраны</w:t>
            </w:r>
          </w:p>
        </w:tc>
      </w:tr>
    </w:tbl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2"/>
        </w:numPr>
        <w:rPr>
          <w:rFonts w:ascii="Liberation Serif" w:hAnsi="Liberation Serif"/>
          <w:sz w:val="24"/>
          <w:szCs w:val="24"/>
        </w:rPr>
      </w:pPr>
      <w:bookmarkStart w:id="9" w:name="_Toc46743506"/>
      <w:bookmarkStart w:id="10" w:name="_Toc54643696"/>
      <w:bookmarkEnd w:id="9"/>
      <w:bookmarkEnd w:id="10"/>
      <w:r>
        <w:rPr>
          <w:rFonts w:ascii="Liberation Serif" w:hAnsi="Liberation Serif"/>
          <w:sz w:val="24"/>
          <w:szCs w:val="24"/>
        </w:rPr>
        <w:t>Наименование закупаемой продукции</w:t>
      </w:r>
    </w:p>
    <w:p>
      <w:pPr>
        <w:pStyle w:val="Normal"/>
        <w:widowControl w:val="false"/>
        <w:tabs>
          <w:tab w:val="clear" w:pos="286"/>
          <w:tab w:val="left" w:pos="0" w:leader="none"/>
        </w:tabs>
        <w:spacing w:before="120" w:after="120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b/>
          <w:bCs/>
          <w:i w:val="false"/>
          <w:iCs w:val="false"/>
          <w:sz w:val="24"/>
          <w:szCs w:val="24"/>
          <w:shd w:fill="FFFFFF" w:val="clear"/>
          <w:lang w:eastAsia="x-none"/>
        </w:rPr>
        <w:t xml:space="preserve">Лот № </w:t>
      </w:r>
      <w:r>
        <w:rPr>
          <w:rFonts w:eastAsia="Calibri" w:ascii="Liberation Serif" w:hAnsi="Liberation Serif"/>
          <w:b/>
          <w:bCs/>
          <w:i w:val="false"/>
          <w:iCs w:val="false"/>
          <w:sz w:val="24"/>
          <w:szCs w:val="24"/>
          <w:shd w:fill="FFFFFF" w:val="clear"/>
          <w:lang w:eastAsia="x-none"/>
        </w:rPr>
        <w:t>439</w:t>
      </w:r>
      <w:r>
        <w:rPr>
          <w:rFonts w:eastAsia="Calibri" w:ascii="Liberation Serif" w:hAnsi="Liberation Serif"/>
          <w:b/>
          <w:bCs/>
          <w:i w:val="false"/>
          <w:iCs w:val="false"/>
          <w:sz w:val="24"/>
          <w:szCs w:val="24"/>
          <w:shd w:fill="FFFFFF" w:val="clear"/>
          <w:lang w:eastAsia="x-none"/>
        </w:rPr>
        <w:t>01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shd w:fill="FFFFFF" w:val="clear"/>
          <w:em w:val="none"/>
          <w:lang w:eastAsia="x-none"/>
        </w:rPr>
        <w:t>-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FFFFFF" w:val="clear"/>
          <w:em w:val="none"/>
          <w:lang w:eastAsia="x-none"/>
        </w:rPr>
        <w:t>ПРО ДЭК-202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FFFFFF" w:val="clear"/>
          <w:em w:val="none"/>
          <w:lang w:eastAsia="x-none"/>
        </w:rPr>
        <w:t>7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FFFFFF" w:val="clear"/>
          <w:em w:val="none"/>
          <w:lang w:eastAsia="x-none"/>
        </w:rPr>
        <w:t>-ДРСК-ЕАО,</w:t>
      </w:r>
      <w:r>
        <w:rPr>
          <w:rFonts w:eastAsia="Calibri" w:ascii="Liberation Serif" w:hAnsi="Liberation Serif"/>
          <w:sz w:val="24"/>
          <w:szCs w:val="24"/>
          <w:shd w:fill="FFFFFF" w:val="clear"/>
          <w:lang w:eastAsia="x-none"/>
        </w:rPr>
        <w:t xml:space="preserve"> 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FFFFFF" w:val="clear"/>
          <w:em w:val="none"/>
          <w:lang w:eastAsia="x-none"/>
        </w:rPr>
        <w:t xml:space="preserve">ОКПД2-80.20.10 </w:t>
      </w:r>
      <w:r>
        <w:rPr>
          <w:rFonts w:eastAsia="Calibri"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x-none"/>
        </w:rPr>
        <w:t>«Техническое обслуживание  ИТСО объектов филиала "Электрические сети ЕАО"</w:t>
      </w:r>
    </w:p>
    <w:p>
      <w:pPr>
        <w:pStyle w:val="Heading4"/>
        <w:numPr>
          <w:ilvl w:val="1"/>
          <w:numId w:val="2"/>
        </w:numPr>
        <w:rPr>
          <w:rFonts w:ascii="Liberation Serif" w:hAnsi="Liberation Serif"/>
          <w:sz w:val="24"/>
          <w:szCs w:val="24"/>
        </w:rPr>
      </w:pPr>
      <w:bookmarkStart w:id="11" w:name="_Toc54643697"/>
      <w:bookmarkStart w:id="12" w:name="_Toc46743507"/>
      <w:r>
        <w:rPr>
          <w:rFonts w:ascii="Liberation Serif" w:hAnsi="Liberation Serif"/>
          <w:sz w:val="24"/>
          <w:szCs w:val="24"/>
        </w:rPr>
        <w:t xml:space="preserve">Цель </w:t>
      </w:r>
      <w:bookmarkEnd w:id="11"/>
      <w:bookmarkEnd w:id="12"/>
      <w:r>
        <w:rPr>
          <w:rFonts w:ascii="Liberation Serif" w:hAnsi="Liberation Serif"/>
          <w:sz w:val="24"/>
          <w:szCs w:val="24"/>
        </w:rPr>
        <w:t>оказания услуг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 xml:space="preserve">Поддержание в бесперебойной работоспособности существующих систем ИТСО на объектах Заказчика,  согласно </w:t>
      </w:r>
      <w:r>
        <w:rPr>
          <w:rFonts w:eastAsia="Calibri" w:ascii="Liberation Serif" w:hAnsi="Liberation Serif"/>
          <w:bCs/>
          <w:sz w:val="24"/>
          <w:szCs w:val="24"/>
        </w:rPr>
        <w:t xml:space="preserve">требований </w:t>
      </w:r>
      <w:r>
        <w:rPr>
          <w:rFonts w:eastAsia="Calibri" w:ascii="Liberation Serif" w:hAnsi="Liberation Serif"/>
          <w:bCs/>
          <w:sz w:val="24"/>
          <w:szCs w:val="24"/>
          <w:lang w:eastAsia="en-US"/>
        </w:rPr>
        <w:t>Федерального закона от 21.07.2011 № 256-ФЗ (ред. от 24.04.2020) «О безопасности объектов топливно-энергетического комплекса» с целью обеспечения безопасности объектов, их устойчивого и безопасного функционирования, защиты интересов личности, общества и государства в сфере топливно-энергетического комплекса от актов незаконного вмешательства.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>1.4. Перечень объектов филиала «ЭС ЕАО» для оказания услуг</w:t>
      </w:r>
      <w:bookmarkStart w:id="13" w:name="_Toc54643699"/>
      <w:bookmarkEnd w:id="13"/>
      <w:r>
        <w:rPr>
          <w:rFonts w:ascii="Liberation Serif" w:hAnsi="Liberation Serif"/>
          <w:b/>
          <w:sz w:val="24"/>
          <w:szCs w:val="24"/>
        </w:rPr>
        <w:t xml:space="preserve">: </w:t>
      </w:r>
    </w:p>
    <w:p>
      <w:pPr>
        <w:pStyle w:val="Heading1"/>
        <w:numPr>
          <w:ilvl w:val="0"/>
          <w:numId w:val="0"/>
        </w:numPr>
        <w:ind w:hanging="0" w:left="5038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 xml:space="preserve">Таблица 1. Перечень объектов </w:t>
      </w:r>
      <w:r>
        <w:rPr>
          <w:rFonts w:ascii="Liberation Serif" w:hAnsi="Liberation Serif"/>
          <w:sz w:val="24"/>
          <w:szCs w:val="24"/>
        </w:rPr>
        <w:t>З</w:t>
      </w:r>
      <w:r>
        <w:rPr>
          <w:rFonts w:ascii="Liberation Serif" w:hAnsi="Liberation Serif"/>
          <w:sz w:val="24"/>
          <w:szCs w:val="24"/>
        </w:rPr>
        <w:t>аказчика</w:t>
      </w:r>
    </w:p>
    <w:p>
      <w:pPr>
        <w:pStyle w:val="Normal"/>
        <w:rPr>
          <w:rFonts w:ascii="Liberation Serif" w:hAnsi="Liberation Serif"/>
          <w:sz w:val="24"/>
          <w:szCs w:val="24"/>
          <w:lang w:val="x-none" w:eastAsia="x-none"/>
        </w:rPr>
      </w:pPr>
      <w:r>
        <w:rPr>
          <w:rFonts w:ascii="Liberation Serif" w:hAnsi="Liberation Serif"/>
          <w:sz w:val="24"/>
          <w:szCs w:val="24"/>
          <w:lang w:val="x-none" w:eastAsia="x-none"/>
        </w:rPr>
      </w:r>
    </w:p>
    <w:tbl>
      <w:tblPr>
        <w:tblW w:w="10343" w:type="dxa"/>
        <w:jc w:val="left"/>
        <w:tblInd w:w="13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3572"/>
        <w:gridCol w:w="2693"/>
        <w:gridCol w:w="3260"/>
      </w:tblGrid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Расположение объекта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>Центральна база филиала «ЭС ЕАО»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>г. Биробиджан, ул. Черноморская, д.6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Системы: видеонаблюдения, пожароохранной сигнализации, контроля управления доступом, автоматическое пожаротушение, шлагбаум и въездные ворота с электрческим приводом, проволока «Егоза».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>г. Биробиджан, ул. Димитрова, д.6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Системы: видеонаблюдения, пожароохранной сигнализации, контроля управления доступом,  шлагбаум и въездные ворота с электрическим приводом.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«Смидовичского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п. Приамурский, ул. Энергетическая, д.3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Системы: видеонаблюдения, пожароохранной сигнализации, контроля управления доступом, шлагбаум с электрическим приводом.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«Ленинского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с. Ленинское, ул. Милицейская, д.3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видеонаблюдения, пожароохранной сигнализации,  шлагбаум с электрическим приводом.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                             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«Октябрьского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с.  Амурзет, ул. Крупской, д.2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видеонаблюдения, пожароохранной сигнализации, шлагбаум с электрическим приводом.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«Облучеснкого 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г. Облучье, ул. Твардовского, д.125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видеонаблюдения, пожароохранной сигнализации.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монтёрского пункта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«Теплоозёрского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п. Теплоозёрск, ул. Лазо, 7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видеонаблюдения, пожароохранной сигнализации.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«Теплоозёрского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ул. 60 лет Октября, д.8А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видеонаблюдения, пожароохранной сигнализации, контроля управления доступом,  шлагбаум и въездные ворота с электрическим приводом.</w:t>
            </w:r>
          </w:p>
        </w:tc>
      </w:tr>
      <w:tr>
        <w:trPr/>
        <w:tc>
          <w:tcPr>
            <w:tcW w:w="1034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</w:t>
            </w: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ПС-110/35/6кВ «СК»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г. Биробиджан, ул. Индустриальная, д. 1П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сигнализации.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</w:t>
            </w: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ПС-110/6 кВ «АРЗ»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г. Биробиджан, ул. Индустриальная, д.4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</w:t>
            </w: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-16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ПС-35/6кВ «Центр»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</w:t>
            </w:r>
            <w:r>
              <w:rPr>
                <w:rFonts w:eastAsia="Times New Roman" w:ascii="Liberation Serif" w:hAnsi="Liberation Serif"/>
                <w:sz w:val="24"/>
                <w:szCs w:val="24"/>
              </w:rPr>
              <w:t>г. Биробиджан, ул. Красноармейская, д. 19П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ПС-35/6кВ «ГЗУ»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г. Биробиджан, ул. Черноморская, д. 51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ПС-35/6кВ «ЖБИ»                            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г. Биробиджан, ул. Физкультурная, д. 21П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ПС-35/6кВ «ДСК» «Смидовичского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lang w:val="en-GB"/>
              </w:rPr>
              <w:t>п. Николаевка, ул. Шевчука, д. 29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ПС-110/35/6кВ «КРС» и здание гаража «Биробиджанского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  <w:lang w:val="en-GB"/>
              </w:rPr>
              <w:t>с. Бирофельд, ул.  Садовая, д. 22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16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ПС-35/10кВ «Валдгейм»  «Биробиджанского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с. Валдгейм, ул.  Полевая, д. 2А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-109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ПС-35/10кВ «Венцелево» «Ленинского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sz w:val="24"/>
                <w:szCs w:val="24"/>
              </w:rPr>
              <w:t>с. Венцелево, ул. Горная</w:t>
            </w:r>
            <w:r>
              <w:rPr>
                <w:rFonts w:eastAsia="Times New Roman" w:ascii="Liberation Serif" w:hAnsi="Liberation Serif"/>
                <w:sz w:val="24"/>
                <w:szCs w:val="24"/>
              </w:rPr>
              <w:t>, д. 41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18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ПС-110/35/10кВ «Благословенное» и монтерский пункт «Октябрьского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851" w:leader="none"/>
              </w:tabs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sz w:val="24"/>
                <w:szCs w:val="24"/>
              </w:rPr>
              <w:t>с. Благословенное, ул. Ленина, ½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19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ПС-35/6кВ «Хинганск»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 «Облученского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sz w:val="24"/>
                <w:szCs w:val="24"/>
                <w:highlight w:val="white"/>
              </w:rPr>
              <w:t>п. Хинганск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ПС-35/10кВ       «Пашково»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 «Облученского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с. Пашково, шоссе «Пашково-Башурово» 2км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21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Монтёрский пункт Бираканского участка «Теплоозёрского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п. Биракан, пер. Высокий, д.43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22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110/35/10 кВ «Ленинское» «Лениского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ст. Ленинск, ул. Вокзальная, д.20 А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сигнализации, дежурное освещение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23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110/35/10 кВ «ПС Биджан» и Монтёрский пункт «Ленинского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с. Биджан, пер. Тихий, д.3А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24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ПС-110/35/10кВ «Бабстово» «Ленинского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с. Бабстово, ул. Горная, д.1А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25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ПС-35/10кВ «Известковое», «Теплоозёрского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 w:left="142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sz w:val="24"/>
                <w:szCs w:val="24"/>
              </w:rPr>
              <w:t>п. Известковое, ул. Железнодорожная, д.18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26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ПС- 35/10кВ «МК»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г. Биробиджан, ул. Стяжкина, 74П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27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ПС-35/10кВ «ЧТФ» «Городского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г. Биробиджан, Пионерская, 62П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28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Монтёрский пункт Бирского участка  «Теплоозёрского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п. Бира, ул. 40 лет Победы, 7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29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Монтёрский пункт и гараж Дубовского участка «Биробиджанского РЭС»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с. Дубовое ул. Зеленая 21А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Системы:  пожароохранной сигнализации</w:t>
            </w:r>
          </w:p>
        </w:tc>
      </w:tr>
      <w:tr>
        <w:trPr/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30</w:t>
            </w:r>
          </w:p>
        </w:tc>
        <w:tc>
          <w:tcPr>
            <w:tcW w:w="3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ПС-35/10кВ «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Воскресеновка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 xml:space="preserve">», 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Ленинского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 xml:space="preserve"> РЭС.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с. 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Воскресеновка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 ул. 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Новая,д.6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 xml:space="preserve">Системы:  охранной сигнализации </w:t>
            </w: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</w:rPr>
              <w:t>и видео наблюдения.</w:t>
            </w:r>
          </w:p>
        </w:tc>
      </w:tr>
      <w:tr>
        <w:trPr/>
        <w:tc>
          <w:tcPr>
            <w:tcW w:w="8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</w:rPr>
              <w:t>31</w:t>
            </w:r>
          </w:p>
        </w:tc>
        <w:tc>
          <w:tcPr>
            <w:tcW w:w="35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 xml:space="preserve">ПС 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110/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35/10 кВ «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Дежнёво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 xml:space="preserve">», 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Ленинского РЭС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b w:val="false"/>
                <w:bCs w:val="false"/>
                <w:sz w:val="24"/>
                <w:szCs w:val="24"/>
                <w:highlight w:val="yellow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  <w:highlight w:val="yellow"/>
              </w:rPr>
            </w:r>
          </w:p>
        </w:tc>
        <w:tc>
          <w:tcPr>
            <w:tcW w:w="26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 xml:space="preserve">с. </w:t>
            </w: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>Дежнёво</w:t>
            </w: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 xml:space="preserve">, ул. </w:t>
            </w: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>Мира</w:t>
            </w: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>, д.</w:t>
            </w: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>5</w:t>
            </w:r>
            <w:r>
              <w:rPr>
                <w:rFonts w:cs="Times New Roman" w:ascii="Liberation Serif" w:hAnsi="Liberation Serif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  <w:highlight w:val="white"/>
              </w:rPr>
              <w:t xml:space="preserve">Системы:  охранной сигнализации </w:t>
            </w: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  <w:highlight w:val="white"/>
              </w:rPr>
              <w:t>и видео наблюдение</w:t>
            </w:r>
            <w:r>
              <w:rPr>
                <w:rFonts w:eastAsia="Times New Roman" w:ascii="Liberation Serif" w:hAnsi="Liberation Serif"/>
                <w:bCs/>
                <w:iCs/>
                <w:sz w:val="24"/>
                <w:szCs w:val="24"/>
                <w:highlight w:val="white"/>
              </w:rPr>
              <w:t>.</w:t>
            </w:r>
          </w:p>
        </w:tc>
      </w:tr>
    </w:tbl>
    <w:p>
      <w:pPr>
        <w:pStyle w:val="Normal"/>
        <w:rPr>
          <w:rFonts w:ascii="Liberation Serif" w:hAnsi="Liberation Serif"/>
          <w:sz w:val="24"/>
          <w:szCs w:val="24"/>
          <w:lang w:val="x-none" w:eastAsia="x-none"/>
        </w:rPr>
      </w:pPr>
      <w:r>
        <w:rPr>
          <w:rFonts w:ascii="Liberation Serif" w:hAnsi="Liberation Serif"/>
          <w:sz w:val="24"/>
          <w:szCs w:val="24"/>
          <w:lang w:val="x-none" w:eastAsia="x-none"/>
        </w:rPr>
      </w:r>
    </w:p>
    <w:p>
      <w:pPr>
        <w:pStyle w:val="Heading4"/>
        <w:numPr>
          <w:ilvl w:val="0"/>
          <w:numId w:val="0"/>
        </w:numPr>
        <w:ind w:hanging="0" w:left="142"/>
        <w:jc w:val="both"/>
        <w:rPr>
          <w:rFonts w:ascii="Liberation Serif" w:hAnsi="Liberation Serif"/>
          <w:sz w:val="24"/>
          <w:szCs w:val="24"/>
        </w:rPr>
      </w:pPr>
      <w:bookmarkStart w:id="14" w:name="_Toc46743509"/>
      <w:bookmarkStart w:id="15" w:name="_Toc54643700"/>
      <w:bookmarkStart w:id="16" w:name="_Hlk49857604"/>
      <w:r>
        <w:rPr>
          <w:rFonts w:ascii="Liberation Serif" w:hAnsi="Liberation Serif"/>
          <w:sz w:val="24"/>
          <w:szCs w:val="24"/>
          <w:lang w:val="ru-RU"/>
        </w:rPr>
        <w:t xml:space="preserve">1.5. </w:t>
      </w:r>
      <w:r>
        <w:rPr>
          <w:rFonts w:ascii="Liberation Serif" w:hAnsi="Liberation Serif"/>
          <w:sz w:val="24"/>
          <w:szCs w:val="24"/>
        </w:rPr>
        <w:t xml:space="preserve">Информация в отношении исполнения договора, </w:t>
      </w:r>
      <w:bookmarkStart w:id="17" w:name="_Hlk46492347"/>
      <w:r>
        <w:rPr>
          <w:rFonts w:ascii="Liberation Serif" w:hAnsi="Liberation Serif"/>
          <w:sz w:val="24"/>
          <w:szCs w:val="24"/>
        </w:rPr>
        <w:t xml:space="preserve">которая должна быть учтена при подготовке заявки </w:t>
      </w:r>
      <w:bookmarkEnd w:id="17"/>
      <w:r>
        <w:rPr>
          <w:rFonts w:ascii="Liberation Serif" w:hAnsi="Liberation Serif"/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rFonts w:ascii="Liberation Serif" w:hAnsi="Liberation Serif"/>
          <w:sz w:val="24"/>
          <w:szCs w:val="24"/>
          <w:lang w:val="ru-RU"/>
        </w:rPr>
        <w:t>Заказчиком</w:t>
      </w:r>
      <w:bookmarkEnd w:id="14"/>
      <w:bookmarkEnd w:id="15"/>
      <w:bookmarkEnd w:id="16"/>
      <w:r>
        <w:rPr>
          <w:rFonts w:ascii="Liberation Serif" w:hAnsi="Liberation Serif"/>
          <w:sz w:val="24"/>
          <w:szCs w:val="24"/>
        </w:rPr>
        <w:t xml:space="preserve"> на этапе исполнения договора)</w:t>
      </w:r>
    </w:p>
    <w:p>
      <w:pPr>
        <w:pStyle w:val="Normal"/>
        <w:ind w:firstLine="43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Заказчик предоставляет Исполнителю следующие виды ресурсов: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 Электроэнергия.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 Вода (при наличии центрального водоснабжения).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Доступом к установленным в пределах объектов средствам связи и пожаротушения, а также к местам общего пользования.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bookmarkStart w:id="18" w:name="_Toc54643701"/>
      <w:bookmarkStart w:id="19" w:name="_Toc50125126"/>
      <w:bookmarkStart w:id="20" w:name="_Hlk482097611"/>
      <w:bookmarkEnd w:id="19"/>
      <w:bookmarkEnd w:id="20"/>
      <w:r>
        <w:rPr>
          <w:rFonts w:ascii="Liberation Serif" w:hAnsi="Liberation Serif"/>
          <w:b/>
          <w:sz w:val="24"/>
          <w:szCs w:val="24"/>
        </w:rPr>
        <w:t>1.6.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sz w:val="24"/>
          <w:szCs w:val="24"/>
        </w:rPr>
        <w:t>Иные требования и сведения общего характера</w:t>
      </w:r>
      <w:bookmarkEnd w:id="18"/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 xml:space="preserve">Передаваемые на техническое обслуживание Объекты находятся в процессе эксплуатации. </w:t>
      </w:r>
    </w:p>
    <w:p>
      <w:pPr>
        <w:pStyle w:val="Heading1"/>
        <w:numPr>
          <w:ilvl w:val="0"/>
          <w:numId w:val="0"/>
        </w:numPr>
        <w:ind w:firstLine="708" w:left="2832"/>
        <w:rPr>
          <w:rFonts w:ascii="Liberation Serif" w:hAnsi="Liberation Serif"/>
          <w:sz w:val="24"/>
          <w:szCs w:val="24"/>
        </w:rPr>
      </w:pPr>
      <w:bookmarkStart w:id="21" w:name="_Toc54643702"/>
      <w:bookmarkStart w:id="22" w:name="_Toc51339693"/>
      <w:r>
        <w:rPr>
          <w:rFonts w:ascii="Liberation Serif" w:hAnsi="Liberation Serif"/>
          <w:sz w:val="24"/>
          <w:szCs w:val="24"/>
          <w:lang w:val="ru-RU"/>
        </w:rPr>
        <w:t>2.  Требования</w:t>
      </w:r>
      <w:bookmarkEnd w:id="21"/>
      <w:bookmarkEnd w:id="22"/>
      <w:r>
        <w:rPr>
          <w:rFonts w:ascii="Liberation Serif" w:hAnsi="Liberation Serif"/>
          <w:sz w:val="24"/>
          <w:szCs w:val="24"/>
        </w:rPr>
        <w:t xml:space="preserve"> к продукции</w:t>
      </w:r>
    </w:p>
    <w:p>
      <w:pPr>
        <w:pStyle w:val="Heading4"/>
        <w:numPr>
          <w:ilvl w:val="0"/>
          <w:numId w:val="0"/>
        </w:numPr>
        <w:ind w:hanging="0" w:left="142"/>
        <w:rPr>
          <w:rFonts w:ascii="Liberation Serif" w:hAnsi="Liberation Serif"/>
          <w:sz w:val="24"/>
          <w:szCs w:val="24"/>
        </w:rPr>
      </w:pPr>
      <w:bookmarkStart w:id="23" w:name="_Toc54643703"/>
      <w:r>
        <w:rPr>
          <w:rFonts w:ascii="Liberation Serif" w:hAnsi="Liberation Serif"/>
          <w:sz w:val="24"/>
          <w:szCs w:val="24"/>
          <w:lang w:val="ru-RU"/>
        </w:rPr>
        <w:t xml:space="preserve">2.1. </w:t>
      </w:r>
      <w:r>
        <w:rPr>
          <w:rFonts w:ascii="Liberation Serif" w:hAnsi="Liberation Serif"/>
          <w:sz w:val="24"/>
          <w:szCs w:val="24"/>
        </w:rPr>
        <w:t xml:space="preserve">Требования к объемам и срокам </w:t>
      </w:r>
      <w:bookmarkEnd w:id="23"/>
      <w:r>
        <w:rPr>
          <w:rFonts w:ascii="Liberation Serif" w:hAnsi="Liberation Serif"/>
          <w:sz w:val="24"/>
          <w:szCs w:val="24"/>
          <w:lang w:val="ru-RU"/>
        </w:rPr>
        <w:t>оказания услуг.</w:t>
      </w:r>
    </w:p>
    <w:p>
      <w:pPr>
        <w:pStyle w:val="Heading4"/>
        <w:numPr>
          <w:ilvl w:val="0"/>
          <w:numId w:val="0"/>
        </w:numPr>
        <w:ind w:hanging="0" w:left="142"/>
        <w:rPr>
          <w:rFonts w:ascii="Liberation Serif" w:hAnsi="Liberation Serif"/>
          <w:sz w:val="24"/>
          <w:szCs w:val="24"/>
        </w:rPr>
      </w:pPr>
      <w:bookmarkStart w:id="24" w:name="_Toc54643704"/>
      <w:r>
        <w:rPr>
          <w:rFonts w:ascii="Liberation Serif" w:hAnsi="Liberation Serif"/>
          <w:sz w:val="24"/>
          <w:szCs w:val="24"/>
          <w:lang w:val="ru-RU"/>
        </w:rPr>
        <w:t xml:space="preserve">2.1.1. </w:t>
      </w:r>
      <w:bookmarkEnd w:id="24"/>
      <w:r>
        <w:rPr>
          <w:rFonts w:ascii="Liberation Serif" w:hAnsi="Liberation Serif"/>
          <w:sz w:val="24"/>
          <w:szCs w:val="24"/>
        </w:rPr>
        <w:t>Требования к перечню и объему услуг</w:t>
      </w:r>
    </w:p>
    <w:p>
      <w:pPr>
        <w:pStyle w:val="Heading4"/>
        <w:numPr>
          <w:ilvl w:val="0"/>
          <w:numId w:val="0"/>
        </w:numPr>
        <w:ind w:hanging="0" w:left="142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</w:t>
      </w:r>
      <w:bookmarkStart w:id="25" w:name="_Toc54643705"/>
      <w:bookmarkStart w:id="26" w:name="_Toc51339695"/>
      <w:r>
        <w:rPr>
          <w:rFonts w:ascii="Liberation Serif" w:hAnsi="Liberation Serif"/>
          <w:sz w:val="24"/>
          <w:szCs w:val="24"/>
        </w:rPr>
        <w:t xml:space="preserve">Таблица 2. Перечень </w:t>
      </w:r>
      <w:bookmarkEnd w:id="26"/>
      <w:r>
        <w:rPr>
          <w:rFonts w:ascii="Liberation Serif" w:hAnsi="Liberation Serif"/>
          <w:sz w:val="24"/>
          <w:szCs w:val="24"/>
        </w:rPr>
        <w:t>и объем оказываемых услуг</w:t>
      </w:r>
      <w:bookmarkEnd w:id="25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13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81"/>
        <w:gridCol w:w="5161"/>
        <w:gridCol w:w="4118"/>
      </w:tblGrid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Оборудование</w:t>
            </w:r>
          </w:p>
        </w:tc>
      </w:tr>
      <w:tr>
        <w:trPr>
          <w:trHeight w:val="398" w:hRule="atLeast"/>
        </w:trPr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510" w:left="737" w:right="56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1..1.1...1.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>Центральна база филиала «ЭС ЕАО»</w:t>
            </w:r>
          </w:p>
        </w:tc>
        <w:tc>
          <w:tcPr>
            <w:tcW w:w="41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соответствии с «Перечнем объектов и оборудования, передаваемого на техническое обслуживание»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(Приложение №1  к настоящим Техническим требованиям)</w:t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«Смидовичского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«Ленинского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                             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«Октябрьского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«Облучеснкого 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мантёрского пункта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«Теплоозёрского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«Теплоозёрского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iCs/>
                <w:sz w:val="24"/>
                <w:szCs w:val="24"/>
              </w:rPr>
              <w:t xml:space="preserve">Центральная база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ПС-110/35/6 кВ «СК»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ПС-110/6 кВ «АРЗ»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>
          <w:trHeight w:val="323" w:hRule="atLeast"/>
        </w:trPr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-16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 кВ «Центр»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 кВ «ГЗУ»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ПС-35/6кВ«ЖБИ»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ПС-35/6 кВ «ДСК» «Смидовичского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ПС-110/35/6 кВ «КРС» «Биробиджанского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16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ПС-35/10 кВ «Валдгейм»  «Биробиджанского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-109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ПС-35/10 кВ «Венцелево» «Ленинского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18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ПС-110/35/10 кВ «Благословенное», «Ленинского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19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35/6 кВ «Хинганск»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 «Облученского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35/10 кВ       «Пашково»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 «Облученского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21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Монтёрский пункт Бираканского участка «Теплоозёрского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22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110/35/10 кВ «Ленинское» «Лениского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23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110/35/10 кВ «ПС Биджан» и Монтёрский пункт «Ленинского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24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110/35/10 кВ «Бабстово» «Ленинского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25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35/10 кВ «Известковое», «Теплоозёрского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26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35/10 кВ «МК»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27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35/10 кВ «ЧТФ» «Городского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28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Монтёрский пункт Бирского участка  «Теплоозёрского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29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Монтёрский пункт и гараж Дубовского участка «Биробиджанского РЭС»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30</w:t>
            </w:r>
          </w:p>
        </w:tc>
        <w:tc>
          <w:tcPr>
            <w:tcW w:w="5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ПС 35/10 кВ «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Воскресеновка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»</w:t>
            </w:r>
          </w:p>
        </w:tc>
        <w:tc>
          <w:tcPr>
            <w:tcW w:w="41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51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 xml:space="preserve">ПС 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110/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35/10 кВ «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Дежнёво</w:t>
            </w:r>
            <w:r>
              <w:rPr>
                <w:rFonts w:cs="Times New Roman" w:ascii="Liberation Serif" w:hAnsi="Liberation Serif"/>
                <w:b w:val="false"/>
                <w:bCs w:val="false"/>
                <w:sz w:val="24"/>
                <w:szCs w:val="24"/>
              </w:rPr>
              <w:t>»</w:t>
            </w:r>
          </w:p>
        </w:tc>
        <w:tc>
          <w:tcPr>
            <w:tcW w:w="41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  <w:highlight w:val="red"/>
              </w:rPr>
            </w:r>
          </w:p>
        </w:tc>
      </w:tr>
    </w:tbl>
    <w:p>
      <w:pPr>
        <w:pStyle w:val="Normal"/>
        <w:rPr>
          <w:rFonts w:ascii="Liberation Serif" w:hAnsi="Liberation Serif" w:eastAsia="Calibri"/>
          <w:bCs/>
          <w:sz w:val="24"/>
          <w:szCs w:val="24"/>
        </w:rPr>
      </w:pPr>
      <w:r>
        <w:rPr>
          <w:rFonts w:eastAsia="Calibri" w:ascii="Liberation Serif" w:hAnsi="Liberation Serif"/>
          <w:bCs/>
          <w:sz w:val="24"/>
          <w:szCs w:val="24"/>
        </w:rPr>
      </w:r>
    </w:p>
    <w:p>
      <w:pPr>
        <w:pStyle w:val="Heading3"/>
        <w:numPr>
          <w:ilvl w:val="0"/>
          <w:numId w:val="0"/>
        </w:numPr>
        <w:ind w:hanging="0" w:left="0"/>
        <w:rPr>
          <w:rFonts w:ascii="Liberation Serif" w:hAnsi="Liberation Serif"/>
          <w:sz w:val="24"/>
          <w:szCs w:val="24"/>
        </w:rPr>
      </w:pPr>
      <w:bookmarkStart w:id="27" w:name="_Toc54643706"/>
      <w:bookmarkStart w:id="28" w:name="_Toc51339696"/>
      <w:r>
        <w:rPr>
          <w:rFonts w:ascii="Liberation Serif" w:hAnsi="Liberation Serif"/>
          <w:sz w:val="24"/>
          <w:szCs w:val="24"/>
          <w:lang w:val="ru-RU"/>
        </w:rPr>
        <w:t xml:space="preserve">2.1.2. </w:t>
      </w:r>
      <w:r>
        <w:rPr>
          <w:rFonts w:ascii="Liberation Serif" w:hAnsi="Liberation Serif"/>
          <w:sz w:val="24"/>
          <w:szCs w:val="24"/>
        </w:rPr>
        <w:t xml:space="preserve">Требования </w:t>
      </w:r>
      <w:bookmarkEnd w:id="27"/>
      <w:bookmarkEnd w:id="28"/>
      <w:r>
        <w:rPr>
          <w:rFonts w:ascii="Liberation Serif" w:hAnsi="Liberation Serif"/>
          <w:sz w:val="24"/>
          <w:szCs w:val="24"/>
        </w:rPr>
        <w:t>к срокам оказания</w:t>
      </w:r>
    </w:p>
    <w:p>
      <w:pPr>
        <w:pStyle w:val="Heading3"/>
        <w:numPr>
          <w:ilvl w:val="0"/>
          <w:numId w:val="0"/>
        </w:numPr>
        <w:ind w:hanging="0" w:left="0"/>
        <w:rPr>
          <w:rFonts w:ascii="Liberation Serif" w:hAnsi="Liberation Serif"/>
          <w:sz w:val="24"/>
          <w:szCs w:val="24"/>
        </w:rPr>
      </w:pPr>
      <w:bookmarkStart w:id="29" w:name="_Toc501251261"/>
      <w:bookmarkEnd w:id="29"/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</w:t>
      </w:r>
      <w:bookmarkStart w:id="30" w:name="_Toc54643707"/>
      <w:bookmarkStart w:id="31" w:name="_Toc51339697"/>
      <w:bookmarkStart w:id="32" w:name="_Toc501251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</w:t>
      </w:r>
      <w:bookmarkStart w:id="33" w:name="_Hlk50465284"/>
      <w:r>
        <w:rPr>
          <w:rFonts w:ascii="Liberation Serif" w:hAnsi="Liberation Serif"/>
          <w:sz w:val="24"/>
          <w:szCs w:val="24"/>
        </w:rPr>
        <w:t xml:space="preserve">Требования </w:t>
      </w:r>
      <w:r>
        <w:rPr>
          <w:rFonts w:ascii="Liberation Serif" w:hAnsi="Liberation Serif"/>
          <w:sz w:val="24"/>
          <w:szCs w:val="24"/>
          <w:lang w:val="ru-RU"/>
        </w:rPr>
        <w:t>к</w:t>
      </w:r>
      <w:r>
        <w:rPr>
          <w:rFonts w:ascii="Liberation Serif" w:hAnsi="Liberation Serif"/>
          <w:sz w:val="24"/>
          <w:szCs w:val="24"/>
        </w:rPr>
        <w:t xml:space="preserve"> срокам </w:t>
      </w:r>
      <w:bookmarkEnd w:id="30"/>
      <w:bookmarkEnd w:id="31"/>
      <w:bookmarkEnd w:id="32"/>
      <w:bookmarkEnd w:id="33"/>
      <w:r>
        <w:rPr>
          <w:rFonts w:ascii="Liberation Serif" w:hAnsi="Liberation Serif"/>
          <w:sz w:val="24"/>
          <w:szCs w:val="24"/>
          <w:lang w:val="ru-RU"/>
        </w:rPr>
        <w:t>оказания услуг:</w:t>
      </w:r>
    </w:p>
    <w:p>
      <w:pPr>
        <w:pStyle w:val="Normal"/>
        <w:rPr>
          <w:rFonts w:ascii="Liberation Serif" w:hAnsi="Liberation Serif"/>
          <w:sz w:val="24"/>
          <w:szCs w:val="24"/>
          <w:lang w:eastAsia="x-none"/>
        </w:rPr>
      </w:pPr>
      <w:r>
        <w:rPr>
          <w:rFonts w:ascii="Liberation Serif" w:hAnsi="Liberation Serif"/>
          <w:sz w:val="24"/>
          <w:szCs w:val="24"/>
          <w:lang w:eastAsia="x-none"/>
        </w:rPr>
      </w:r>
    </w:p>
    <w:tbl>
      <w:tblPr>
        <w:tblW w:w="10035" w:type="dxa"/>
        <w:jc w:val="left"/>
        <w:tblInd w:w="13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4"/>
        <w:gridCol w:w="2945"/>
        <w:gridCol w:w="3054"/>
        <w:gridCol w:w="3301"/>
      </w:tblGrid>
      <w:tr>
        <w:trPr>
          <w:trHeight w:val="915" w:hRule="atLeast"/>
        </w:trPr>
        <w:tc>
          <w:tcPr>
            <w:tcW w:w="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услуг/ этапа услуг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Техническое обслуживание ИТСО объектов  </w:t>
            </w:r>
            <w:r>
              <w:rPr>
                <w:rFonts w:eastAsia="Calibri"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eastAsia="x-none"/>
              </w:rPr>
              <w:t>филиала "Электрические сети ЕАО"</w:t>
            </w:r>
          </w:p>
        </w:tc>
        <w:tc>
          <w:tcPr>
            <w:tcW w:w="3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с 00.00 час. 01.01.202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7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г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ода</w:t>
            </w:r>
          </w:p>
        </w:tc>
        <w:tc>
          <w:tcPr>
            <w:tcW w:w="3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до 24.00 час. 31.12.202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7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 года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0"/>
          <w:numId w:val="0"/>
        </w:numPr>
        <w:ind w:hanging="0" w:left="142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   </w:t>
      </w:r>
      <w:bookmarkStart w:id="34" w:name="_Toc54643709"/>
      <w:bookmarkStart w:id="35" w:name="_Toc51339698"/>
      <w:bookmarkStart w:id="36" w:name="_Toc54643708"/>
      <w:bookmarkStart w:id="37" w:name="_Toc46743511"/>
      <w:r>
        <w:rPr>
          <w:rFonts w:ascii="Liberation Serif" w:hAnsi="Liberation Serif"/>
          <w:sz w:val="24"/>
          <w:szCs w:val="24"/>
          <w:lang w:val="ru-RU"/>
        </w:rPr>
        <w:t xml:space="preserve">2.2. </w:t>
      </w:r>
      <w:r>
        <w:rPr>
          <w:rFonts w:ascii="Liberation Serif" w:hAnsi="Liberation Serif"/>
          <w:sz w:val="24"/>
          <w:szCs w:val="24"/>
        </w:rPr>
        <w:t xml:space="preserve">Требования к </w:t>
      </w:r>
      <w:bookmarkEnd w:id="36"/>
      <w:bookmarkEnd w:id="37"/>
      <w:r>
        <w:rPr>
          <w:rFonts w:ascii="Liberation Serif" w:hAnsi="Liberation Serif"/>
          <w:sz w:val="24"/>
          <w:szCs w:val="24"/>
          <w:lang w:val="ru-RU"/>
        </w:rPr>
        <w:t>качеству услуг</w:t>
      </w:r>
    </w:p>
    <w:p>
      <w:pPr>
        <w:pStyle w:val="Heading1"/>
        <w:numPr>
          <w:ilvl w:val="0"/>
          <w:numId w:val="0"/>
        </w:numPr>
        <w:ind w:hanging="0" w:left="5038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</w:t>
      </w:r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4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bookmarkEnd w:id="34"/>
      <w:bookmarkEnd w:id="35"/>
      <w:r>
        <w:rPr>
          <w:rFonts w:ascii="Liberation Serif" w:hAnsi="Liberation Serif"/>
          <w:sz w:val="24"/>
          <w:szCs w:val="24"/>
          <w:lang w:val="ru-RU"/>
        </w:rPr>
        <w:t>качеству услуг</w:t>
      </w:r>
    </w:p>
    <w:tbl>
      <w:tblPr>
        <w:tblStyle w:val="af"/>
        <w:tblW w:w="14765" w:type="dxa"/>
        <w:jc w:val="center"/>
        <w:tblInd w:w="0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84"/>
        <w:gridCol w:w="3059"/>
        <w:gridCol w:w="6126"/>
        <w:gridCol w:w="2172"/>
        <w:gridCol w:w="2224"/>
      </w:tblGrid>
      <w:tr>
        <w:trPr>
          <w:trHeight w:val="820" w:hRule="atLeast"/>
        </w:trPr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п/п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396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704" w:hRule="atLeast"/>
        </w:trPr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42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Наименование параметра</w:t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Требование заказчика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13" w:hRule="atLeast"/>
        </w:trPr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4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5</w:t>
            </w:r>
          </w:p>
        </w:tc>
      </w:tr>
      <w:tr>
        <w:trPr>
          <w:trHeight w:val="658" w:hRule="atLeast"/>
        </w:trPr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2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>
          <w:trHeight w:val="658" w:hRule="atLeast"/>
        </w:trPr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1.1.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>
          <w:trHeight w:val="658" w:hRule="atLeast"/>
        </w:trPr>
        <w:tc>
          <w:tcPr>
            <w:tcW w:w="1184" w:type="dxa"/>
            <w:tcBorders/>
            <w:shd w:fill="auto" w:val="clea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751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При оказании услуг Исполнитель должен руководствоваться нормативными документами в последней редакции: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53704-2009 «Системы безопасности комплексные и интегрированные. Общие технические требования».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52435-2015 «Технические средства охранной сигнализации. Классификация. Общие технические требования и методы испытаний».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50776-95 (МЭК 60839-1-4:1989) «Системы тревожной сигнализации. Часть 1. Общие требования. Раздел 4. Руководство по проектированию, монтажу и техническому обслуживанию (с изменением № 1, 2. Изменение № 1, утвержденное и введенное в действие Приказом Федерального агентства по техническому регулированию и метрологии от 27.12.2006 N 367-ст с 01.01.2008; Изменение N 2, утвержденное и введенное в действие Приказом Федерального агентства по техническому регулированию и метрологии от 13.12.2011 N 1226-ст c 01.07.2012).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56102.1-2014 «Системы централизованного наблюдения. Часть 1. Общие положения».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51241-2008 «Средства и системы контроля и управления доступом. Классификация. Общие технические требования. Методы испытаний».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51558-2014 «Средства и системы охранные телевизионные. Классификация. Общие технические требования. Методы испытаний».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52907-2008 «Источники электропитания радиоэлектронной аппаратуры. Термины и определения».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ГОСТ Р 53195.2 – 2008 «Безопасность функциональная связанных с безопасностью зданий и сооружений систем. Часть 2. Общие требования».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-ГОСТ Р 54101-2010 «Средства автоматизации и системы управления. Средства и системы обеспечения безопасности. Техническое обслуживание и текущий ремонт».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Федеральный закон от 27.12.2002 г. № 184-ФЗ «О техническом регулировании».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Федеральный закон от 30.12.2009 г. № 384-ФЗ «Технический регламент о безопасности зданий и сооружений».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Федеральный закон от 27 июля 2006 года № 152-ФЗ «О персональных данных».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Постановление Правительства РФ от 16.09.2020 № 1479 «Об утверждении Правил противопожарного режима в Российской Федерации».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Правила пожарной безопасности для энергетических предприятий (РД 153-34.0-03.301-00 (ВППБ 01-02-95*), СО 34.03.301-00 (утв. РАО «ЕЭС России» 09.03.2000).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Правила по охране труда при эксплуатации электроустановок, утвержденных приказом Министерства труда и социальной защиты РФ от 15.12.202- № 903 н.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Приказ Минэнерго РФ от 13.12.2011 № 587 «Об утверждении перечня работ, непосредственно связанных с обеспечением безопасности объектов ТЭК.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- Техническая политика Группы РусГидро.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Р 078-2019 «Методические рекомендации «Инженерно-техническая укрепленность и оснащение техническими средствами охраны объектов и мест проживания и хранения имущества граждан, принимаемых под централизованную охрану подразделениями вневедомственной охраны Войск национальной гвардии Российской Федерации».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-Федеральный закон от 21.07.2011 № 256-ФЗ «О безопасности объектов топливно-энергетического комплекса».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- иными нормативно-правовыми и нормативно-техническими документами Российской Федерации, содержащих экологические нормы, санитарно-гигиенические правила, требования промышленной и противопожарной безопасности, производства работ и охраны труда персонала, относящиеся к оказанию услуг по техническому обслуживанию.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>
          <w:trHeight w:val="658" w:hRule="atLeast"/>
        </w:trPr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751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Осуществление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-Осуществление   услуг по техническому обслуживанию допускается силами обслуживающей организации без передачи прав (полностью или частично) персоналу другой организации.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-Охранная организация должна иметь </w:t>
            </w: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u w:val="single"/>
                <w:lang w:val="ru-RU" w:eastAsia="ru-RU" w:bidi="ar-SA"/>
              </w:rPr>
              <w:t>постоянное</w:t>
            </w: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обособленное Представительство или Филиал в Хабаровском крае или ЕАО для оперативного решения вопросов по охране объектов Заказчика (для иногородних организаций).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172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>
          <w:trHeight w:val="658" w:hRule="atLeast"/>
        </w:trPr>
        <w:tc>
          <w:tcPr>
            <w:tcW w:w="1184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751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0" w:leader="none"/>
                <w:tab w:val="left" w:pos="709" w:leader="none"/>
              </w:tabs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</w:rPr>
              <w:t xml:space="preserve">Требования к </w:t>
            </w:r>
            <w:r>
              <w:rPr>
                <w:rFonts w:eastAsia="Times New Roman" w:ascii="Liberation Serif" w:hAnsi="Liberation Serif"/>
                <w:b w:val="false"/>
                <w:bCs w:val="false"/>
                <w:spacing w:val="-1"/>
                <w:kern w:val="0"/>
                <w:sz w:val="24"/>
                <w:szCs w:val="24"/>
              </w:rPr>
              <w:t>документам, предоставляемым Победителем закупочной процедуры.</w:t>
            </w:r>
          </w:p>
        </w:tc>
        <w:tc>
          <w:tcPr>
            <w:tcW w:w="6126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kern w:val="0"/>
                <w:sz w:val="24"/>
                <w:szCs w:val="24"/>
              </w:rPr>
              <w:t xml:space="preserve">Участник, признанным победителем закупочной процедуры, в течение </w:t>
            </w: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10 (десяти) рабочих дней после рассмотрения итогового протокола по выбору победителя, должен предоставить в адрес «Заказчика»: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- Информацию по форме установленной  «Заказчиком» (Приложение № 6 к Договору) в отношении всей цепочки собственников, учредителей, участников, а также бенефициантов, в том числе конечных с подтверждением соответствующими документами;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- Ф.И.О. (полностью) задействованных работников по техническому  обслуживанию ИТСО, (копия)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 удостоверения группы по электробезопасности с указанием дат трудовых договоров или приказов о приёме на работу согласно требованиям указанным в пункте 1.5.2. Таблице 4 настоящего технического требования;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kern w:val="0"/>
                <w:sz w:val="24"/>
                <w:szCs w:val="24"/>
              </w:rPr>
              <w:t xml:space="preserve">- </w:t>
            </w: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В случае непредставления документов, указанных в пункте 1.1.3. Таблице 4 настоящего технического требования Участник признается уклонившимся от подписания Договора, следовательно  право на заключение условий договора переходит к следующему  участнику закупки.</w:t>
            </w:r>
          </w:p>
        </w:tc>
        <w:tc>
          <w:tcPr>
            <w:tcW w:w="2172" w:type="dxa"/>
            <w:vMerge w:val="continue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2224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Осуществление пропускного режима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Услуги  по ТО на всех объектах, включенных в Договор, подлежат выполнению обслуживающей организацией в строгом соответствии с требованиями нормативных документов указанных в п. 1.1.1 настоящей таблице.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Периодичность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Объем услуг регламентных мероприятий технического обслуживания с указанием периодичности и состава приведён в Перечне регламентных работ (Приложение № 2 к ТТ).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Консультативные услуги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оказывает консультативные услуги по вопросам эксплуатации ИТСО, проведение инструктажа, составление инструкций по эксплуатации Систем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Аналитическая информация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по запросу Заказчика  предоставляет аналитическую информацию о состоянии систем ИТСО на Объектах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Мероприятия по допуску персонала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Для допуска персонала на объекты Исполнитель обязан направить в адрес Заказчика пакет </w:t>
            </w:r>
            <w:r>
              <w:rPr>
                <w:rFonts w:ascii="Liberation Serif" w:hAnsi="Liberation Serif"/>
                <w:kern w:val="0"/>
                <w:sz w:val="24"/>
                <w:szCs w:val="24"/>
                <w:highlight w:val="white"/>
              </w:rPr>
              <w:t>документов указанный в конкурсной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Ответственность за качество предоставляемых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Заказчик вправе ссылаться и предъявлять претензии по недостаткам Услуг, в том числе при их обнаружении после приемки результатов Услуг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Прием заявок на ТО при неисправности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обязан обеспечить круглосуточное принятие заявок об отказах в работе и неисправностях, беспричинных срабатываниях ИТСО и реагирование для оказания услуг по их техническому обслуживанию.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 случае возникновения неисправностей в работе ИТСО Заказчик уведомляет Исполнителя заявкой в электронной форме или по телефону. Работник Исполнителя, получив заявку, должен подтвердить ее прием ответным сообщением с указанием своих ФИО и номера заявки (при наличии).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Время оказания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>Время оказания услуг: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-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с 8.00 до 17.00 по рабочим дням – для проведения запланированных мероприятий технического обслуживания (за исключением аварийных работ)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круглосуточно – в аварийном режиме (устранение неисправностей, восстановление работоспособности, штатного режима работы ИТСО и т.п.).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Иное время проведения работ должно быть согласовано с Заказчиком.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suppressAutoHyphens w:val="true"/>
              <w:spacing w:before="60" w:after="60"/>
              <w:ind w:hanging="646" w:left="788"/>
              <w:contextualSpacing/>
              <w:jc w:val="center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Ликвидация отказов ИТСО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Для ликвидации отказов и неисправностей оборудования, беспричинного срабатывания ИТСО Исполнитель обязан обеспечить прибытие своего персонала не позднее, чем через 48 часов  после вызова Заказчиком. Неисправности должны устраняться в максимально короткие сроки. При невозможности устранить неисправность непосредственно при ее обнаружении, представитель Исполнителя в течении 72 часов с момента обнаружения неисправности, должен установить аналогичное не новое совместимое оборудование из собственного обменного фонда, на срок до 3-х месяцев с даты составления Акта демонтажа (Приложении № 5 к Т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Т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) и в присутствии представителя Заказчика составляет Дефектную ведомость (2 экз.) на неисправное оборудование ИТСО по форме, указанной в </w:t>
            </w:r>
            <w:r>
              <w:rPr>
                <w:rFonts w:ascii="Liberation Serif" w:hAnsi="Liberation Serif"/>
                <w:kern w:val="0"/>
                <w:sz w:val="24"/>
                <w:szCs w:val="24"/>
                <w:highlight w:val="white"/>
              </w:rPr>
              <w:t>Приложении № 4 к Т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Т, предоставив ее на утверждение Заказчику нарочно в течении 3 (трех) рабочих дней с даты составления Дефектной ведомости.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1.2.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1.2.1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Качество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- В процессе оказания услуг соблюдать требования Правил противопожарного режима в РФ (утверждены Постановлением Правительства РФ от 16.09.2020 №1479 «</w:t>
            </w:r>
            <w:r>
              <w:rPr>
                <w:rFonts w:eastAsia="Calibri" w:ascii="Liberation Serif" w:hAnsi="Liberation Serif" w:eastAsiaTheme="minorHAnsi"/>
                <w:kern w:val="0"/>
                <w:sz w:val="24"/>
                <w:szCs w:val="24"/>
                <w:lang w:eastAsia="en-US"/>
              </w:rPr>
              <w:t>О противопожарном режиме</w:t>
            </w:r>
            <w:r>
              <w:rPr>
                <w:rFonts w:eastAsia="Calibri" w:cs="Arial" w:ascii="Liberation Serif" w:hAnsi="Liberation Serif" w:eastAsiaTheme="minorHAnsi"/>
                <w:kern w:val="0"/>
                <w:sz w:val="24"/>
                <w:szCs w:val="24"/>
                <w:lang w:eastAsia="en-US"/>
              </w:rPr>
              <w:t>»</w:t>
            </w: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), правила внутреннего трудового распорядка «Заказчика», правила пропускного и внутриобъектового режимов, проводить соответствующие мероприятия со своими работниками.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Исполнитель должен обеспечить исправное состояние ИТСО объекта путём проведения  ТО (ежеквартально и по заказам Заказчика при аварийных отключениях).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- </w:t>
            </w: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Персонал Участника, из числа штатных работников, обязан обладать необходимыми профессиональными навыками, знать назначение и уметь пользоваться инженерно-технических средств охраны, установленных на объектах, при необходимости обеспечить обучение своих работников.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- При обнаружении признаков неисправности или аварийного состояния ИТСО, в кратчайшие сроки проинформировать об этом «Заказчика» и приступить к их восстановлению в работе.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- Персонал Участника обязан быть обученным к действиям при возникновении чрезвычайной ситуации (пожар, и т.п.).</w:t>
            </w:r>
          </w:p>
        </w:tc>
        <w:tc>
          <w:tcPr>
            <w:tcW w:w="2172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 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1.2.2.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Принятие мер по предупреждению террористических актов</w:t>
            </w:r>
          </w:p>
        </w:tc>
        <w:tc>
          <w:tcPr>
            <w:tcW w:w="6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услуг обязан принимать меры в пределах своей компетенции по предупреждению попыток осуществления террористических актов, обнаружению подозрительных предметов при проведении ТО ИТСО.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1.3.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1.3.1.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Обследование объектов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Перед оказанием услуг по ТО, в течение 15 (пятнадцати) рабочих дней с даты заключения договора, Исполнитель должен провести первичное обследование всех систем и средств ИТСО и оформить «Акт первичного обследования системы» по форме согласно </w:t>
            </w:r>
            <w:r>
              <w:rPr>
                <w:rFonts w:ascii="Liberation Serif" w:hAnsi="Liberation Serif"/>
                <w:kern w:val="0"/>
                <w:sz w:val="24"/>
                <w:szCs w:val="24"/>
                <w:highlight w:val="white"/>
              </w:rPr>
              <w:t>Приложению № 3 к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ТТ в 2-х экземплярах.</w:t>
            </w:r>
          </w:p>
        </w:tc>
        <w:tc>
          <w:tcPr>
            <w:tcW w:w="2172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1.3.2.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График проведения ТО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 течение 15 (пятнадцати) рабочих дней после подписания Заказчиком Договора на оказание услуг по техническому обслуживанию, Исполнитель должен разработать и представить на согласование Заказчику График проведения технического обслуживания систем и средств ИТСО, разработанный на основании Регламента ТО, в котором должны быть подробно отражены мероприятия по техническому обслуживанию. (После подписания График ТО передается Заказчику и хранится на Объекте в месте, установленном Заказчиком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1.3.3.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Контактные лица для проведения ТО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 течение 2 (двух) рабочих дней после заключения Договора на оказание услуг по техническому обслуживанию ИТСО предоставить контактную информацию для принятия заявок (телефон, адрес электронной почты, почтовый адрес), переписки;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1.4.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1.4.1.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Использование МТР, инструмента. оборудования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- Все услуги оказываются c использованием материалов, инструмента и оборудования Исполнителя. Оборудование должно быть новым товаром (товаром, который не был в употреблении, в ремонте, не был восстановлен, у которого не была осуществлена замена составных частей, не были восстановлены потребительские свойства).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0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kern w:val="0"/>
                <w:sz w:val="24"/>
                <w:szCs w:val="24"/>
                <w:lang w:val="ru-RU"/>
              </w:rPr>
              <w:t>-</w:t>
            </w:r>
            <w:r>
              <w:rPr>
                <w:rFonts w:eastAsia="Times New Roman" w:ascii="Liberation Serif" w:hAnsi="Liberation Serif"/>
                <w:kern w:val="0"/>
                <w:sz w:val="24"/>
                <w:szCs w:val="24"/>
              </w:rPr>
              <w:t>Участник должен иметь в наличии автотранспортное средство для исполнения требований договора (на праве собственности и/или аренды или ином законном праве владения), в количестве не менее -1 ед.</w:t>
            </w:r>
            <w:r>
              <w:rPr>
                <w:rFonts w:eastAsia="Times New Roman" w:ascii="Liberation Serif" w:hAnsi="Liberation Serif"/>
                <w:bCs/>
                <w:i/>
                <w:kern w:val="0"/>
                <w:sz w:val="24"/>
                <w:szCs w:val="24"/>
              </w:rPr>
              <w:t xml:space="preserve">  - Соответствие установленному требованию подтверждается путем предоставления участником закупки в составе заявки «Справки о материально-технических ресурсах», с обязательным приложением копий подтверждающих документов.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1.5.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1.5.1.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Общие требования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-Сотрудники Исполнителя при оказании услуг на территории Заказчика должны соблюдать установленные законодательством требования охраны труда и техники безопасности, пожарной безопасности;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kern w:val="0"/>
                <w:sz w:val="24"/>
                <w:szCs w:val="24"/>
                <w:lang w:val="ru-RU"/>
              </w:rPr>
              <w:t>-Исполнитель производит регламентные работы, отражённые в Приложении 2 Технических требований.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kern w:val="0"/>
                <w:sz w:val="24"/>
                <w:szCs w:val="24"/>
                <w:lang w:val="ru-RU"/>
              </w:rPr>
              <w:t>-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kern w:val="0"/>
                <w:sz w:val="24"/>
                <w:szCs w:val="24"/>
              </w:rPr>
              <w:t>-Оказание услуг производятся в действующих электроустановках, вследствие чего Участнику необходимо проводить согласованные действия и мероприятия по охране труда, согласно требованиям «Правил по охране труда при эксплуатации электроустановок», утвержденных приказом Министерства труда и социальной защиты РФ от 15.12.2020 № 903н.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kern w:val="0"/>
                <w:sz w:val="24"/>
                <w:szCs w:val="24"/>
              </w:rPr>
              <w:t>-Оказывать услуги по техническому обслуживанию ИТСО объектов Заказчика только силами своей организации,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/>
                <w:i/>
                <w:kern w:val="0"/>
                <w:sz w:val="24"/>
                <w:szCs w:val="24"/>
              </w:rPr>
              <w:t>без передачи права на обслуживание объектов Заказчика персоналу другой организации.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При оценке предпочтительности заявок участников будет учитываться наличие у Участника </w:t>
            </w:r>
            <w:r>
              <w:rPr>
                <w:rFonts w:ascii="Liberation Serif" w:hAnsi="Liberation Serif"/>
                <w:bCs/>
                <w:color w:val="000000"/>
                <w:kern w:val="0"/>
                <w:sz w:val="24"/>
                <w:szCs w:val="24"/>
              </w:rPr>
              <w:t>опыта оказания аналогичных предмету (</w:t>
            </w: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заключенных в соответствии с Федеральным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законом</w:t>
            </w: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 ФЗ-44 «О контрактной системе в сфере закупок товаров, работ, услуг для обеспечения государственных и муниципальных нужд» или Федеральным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законом</w:t>
            </w: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  ФЗ-223 «О закупках товаров, работ, услуг отдельными видами юридических лиц» на оказание услуг по обеспечению технического обслуживания ИТСО </w:t>
            </w:r>
            <w:r>
              <w:rPr>
                <w:rFonts w:ascii="Liberation Serif" w:hAnsi="Liberation Serif"/>
                <w:bCs/>
                <w:color w:val="000000"/>
                <w:kern w:val="0"/>
                <w:sz w:val="24"/>
                <w:szCs w:val="24"/>
              </w:rPr>
              <w:t>за последние 3 (три) года до подачи заявки</w:t>
            </w:r>
            <w:r>
              <w:rPr>
                <w:rFonts w:eastAsia="Times New Roman" w:ascii="Liberation Serif" w:hAnsi="Liberation Serif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Cs/>
                <w:color w:val="000000"/>
                <w:kern w:val="0"/>
                <w:sz w:val="24"/>
                <w:szCs w:val="24"/>
              </w:rPr>
              <w:t>в общем/совокупном объеме не менее 50% от начальной (максимальной) цены договора (лота), указанной в Извещении.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0" w:leader="none"/>
                <w:tab w:val="left" w:pos="709" w:leader="none"/>
              </w:tabs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-Соответствие установленному требованию подтверждается путем предоставления участником закупки в составе заявки по форме «Справки об опыте Участника», оформленной по форме, а также с обязательным предоставлением документов: копии исполненных контрактов (договоров), без применения к исполнителю неустоек (штрафов, пеней) на оказание услуг  и копий актов выполненных работ, содержащего (содержащих) все обязательные реквизиты, установленные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частью 2 статьи 9</w:t>
            </w: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 Федерального закона «О бухгалтерском учете», и подтверждающего (подтверждающих) стоимость исполненного контракта (договора)</w:t>
            </w:r>
            <w:r>
              <w:rPr>
                <w:rFonts w:ascii="Liberation Serif" w:hAnsi="Liberation Serif"/>
                <w:b/>
                <w:bCs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</w:rPr>
              <w:t xml:space="preserve"> подписанных с обеих сторон</w:t>
            </w:r>
            <w:r>
              <w:rPr>
                <w:rFonts w:ascii="Liberation Serif" w:hAnsi="Liberation Serif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>-Сведения, не позволяющие явно/однозначно определить опыт Участника, не оцениваются.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1.5.2.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Квалификация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kern w:val="0"/>
                <w:sz w:val="24"/>
                <w:szCs w:val="24"/>
                <w:lang w:val="ru-RU"/>
              </w:rPr>
              <w:t>Осуществление услуг, допускается только организациям, специально учреждаемым для их выполнения и имеющим право на оказание услуг по техническому обслуживанию ИТСО (должен обладать действующей лицензией, выданную Министерством РФ по делам гражданской обороны, чрезвычайных ситуаций и ликвидации последствий стихийных бедствий на производство работ по монтажу, ремонту и обслуживанию средств обеспечения пожарной безопасности зданий и сооружений, являющейся действующей на момент подачи заявки).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0" w:leader="none"/>
                <w:tab w:val="left" w:pos="709" w:leader="none"/>
              </w:tabs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>Участник для оказания услуг должен иметь следующий квалифицированный кадровый ресурс: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>- персонал (оформленн</w:t>
            </w:r>
            <w:r>
              <w:rPr>
                <w:rFonts w:eastAsia="Times New Roman"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>ый</w:t>
            </w:r>
            <w:r>
              <w:rPr>
                <w:rFonts w:eastAsia="Times New Roman"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 xml:space="preserve"> в соответствии с Гражданским Кодексом Российской Федерации или привлекаемого по трудовым либо гражданско-правовым договорам, либо планируемого к привлечению):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>1. Электромонтер ОПС 3 или 4 разряда -  3 ед.;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>2. Инженер по слаботочным сетям – 1 ед.;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color w:val="000000"/>
                <w:kern w:val="0"/>
                <w:sz w:val="24"/>
                <w:szCs w:val="24"/>
                <w:lang w:val="ru-RU"/>
              </w:rPr>
              <w:t>3. Руководитель – 1 ед.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>Итого: 5 ед.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- </w:t>
            </w: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>подготов</w:t>
            </w: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>ка</w:t>
            </w: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 для выполнения работ на высоте в соответствии с требованиями п. 7. 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Правила по охране труда при работе на высоте (утверждённых приказом Минтруда России от 16.11.2020 № 782н «Об утверждении правил по охране труда при работе на высоте») . 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Д</w:t>
            </w: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анные сведения должны быть подтверждены копиями протоколов, удостоверений по проверке знаний по охране труда </w:t>
            </w: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специалистов </w:t>
            </w:r>
            <w:r>
              <w:rPr>
                <w:rFonts w:eastAsia="Times New Roman" w:ascii="Liberation Serif" w:hAnsi="Liberation Serif"/>
                <w:bCs/>
                <w:color w:val="000000"/>
                <w:kern w:val="0"/>
                <w:sz w:val="24"/>
                <w:szCs w:val="24"/>
                <w:lang w:val="ru-RU"/>
              </w:rPr>
              <w:t>при работе на высоте.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/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результатам услуг</w:t>
            </w:r>
          </w:p>
        </w:tc>
        <w:tc>
          <w:tcPr>
            <w:tcW w:w="21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2.1.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2.1.1.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kern w:val="0"/>
                <w:sz w:val="24"/>
                <w:szCs w:val="24"/>
              </w:rPr>
              <w:t>Результат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Продление предельного состояния установок 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eastAsia="ar-SA"/>
              </w:rPr>
              <w:t>охранной и тревожной сигнализации, системы видеонаблюдения и системы контроля управления доступа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, путем проведения технического обслуживания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2.1.1.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kern w:val="0"/>
                <w:sz w:val="24"/>
                <w:szCs w:val="24"/>
              </w:rPr>
              <w:t>Состав услуг на ТО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Техническое обслуживанию включает в себя: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регламентные мероприятия (в т.ч. испытания) в соответствии с регламентом, указанным в Приложении № 2 к ТТ;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 внеплановые мероприятия (аварийно-восстановительные) по заявкам Заказчика в соответствии с порядком, указанным в Приложении № 2 к ТТ.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2.2.</w:t>
            </w:r>
          </w:p>
        </w:tc>
        <w:tc>
          <w:tcPr>
            <w:tcW w:w="9185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2.2.1.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Общие требования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Отсутствие фактов неисправности передаваемого на ТО оборудования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284" w:right="-105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2.3.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приемке результата оказания услуг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2.3.1.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Предоставление отчета о результатах проделанной работы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услуг обязан, по требованию Заказчика, предоставлять письменный отчет о результатах проделанной работы; интересующие вопросы Заказчика должны быть оформлены в письменном виде.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2.4.</w:t>
            </w:r>
          </w:p>
        </w:tc>
        <w:tc>
          <w:tcPr>
            <w:tcW w:w="9185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2.4.1.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Журналы на ТО систем ИТСО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 течение 30 (тридцати) рабочих дней после заключения Договора на оказание услуг по техническому обслуживанию ИТСО, Иполнитель заводит Журналы эксплуатации (далее – Журнал ИТСО) на каждом объекте. Страницы журнала ИТСО должны быть пронумерованы, прошнурованы и скреплены печатями Исполнителя (при наличии).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Журналы ИТСО передаются Заказчику и являются его собственностью. Они должны хранится, вестись на Объекте в месте, установленном Заказчиком.</w:t>
            </w:r>
          </w:p>
          <w:p>
            <w:pPr>
              <w:pStyle w:val="ListParagraph"/>
              <w:widowControl w:val="false"/>
              <w:suppressAutoHyphens w:val="true"/>
              <w:ind w:hanging="0"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Записи, выполненные в Журналах ИТСО после оказания услуг по техническому обслуживанию должны содержать перечень проведенных мероприятий, указанных в Регламенте ТО и Графике ТО, а также дополнительно фразу: «Система находится в работоспособном состоянии».</w:t>
            </w:r>
          </w:p>
          <w:p>
            <w:pPr>
              <w:pStyle w:val="ListParagraph"/>
              <w:widowControl w:val="false"/>
              <w:suppressAutoHyphens w:val="true"/>
              <w:ind w:hanging="0"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 случае неисправности систем, Исполнитель принимает меры по их приведению в работоспособное состояние, по окончанию производится запись в журнале ИТСО, а также указывается: «Система находится в работоспособном состоянии».</w:t>
            </w:r>
          </w:p>
        </w:tc>
        <w:tc>
          <w:tcPr>
            <w:tcW w:w="2172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2.4.2.</w:t>
            </w:r>
          </w:p>
        </w:tc>
        <w:tc>
          <w:tcPr>
            <w:tcW w:w="30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ежемесячно в течение 3 рабочих дней (не позднее  5 числа  месяца, следующего за отчетным ) представляет заказчику в 2-х (двух) экз. Акт выполненных работ (УПД) в бумажном варианте или электронного документа в ЭДО (Диадок),  счёт на оплату услуг.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3.</w:t>
            </w:r>
          </w:p>
        </w:tc>
        <w:tc>
          <w:tcPr>
            <w:tcW w:w="9185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3.1.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Общие требования к персоналу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kern w:val="0"/>
                <w:sz w:val="24"/>
                <w:szCs w:val="24"/>
              </w:rPr>
              <w:t>Персонал организации в целях обеспечения безопасных условий труда, обязан соблюдать свод правил по охране труда на объектах исполнителя в случае выявления нарушений незамедлительно сообщать руководителю объекта, проявлять нулевой порог терпимости к нарушителях условий охраны труда на объектах Заказчика.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4.</w:t>
            </w:r>
          </w:p>
        </w:tc>
        <w:tc>
          <w:tcPr>
            <w:tcW w:w="91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4.1.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Требования к конфиденциальности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Исполнитель обязуется обеспечить конфиденциальность сведений, относящихся к  системам ИТСО, и ставших ему известными в ходе оказания услуг способам охраны объектов</w:t>
            </w:r>
          </w:p>
        </w:tc>
        <w:tc>
          <w:tcPr>
            <w:tcW w:w="2172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 xml:space="preserve">Согласие с </w:t>
            </w:r>
            <w:bookmarkStart w:id="38" w:name="_GoBack"/>
            <w:bookmarkEnd w:id="38"/>
            <w:r>
              <w:rPr>
                <w:rFonts w:ascii="Liberation Serif" w:hAnsi="Liberation Serif"/>
                <w:i/>
                <w:kern w:val="0"/>
                <w:sz w:val="24"/>
                <w:szCs w:val="24"/>
              </w:rPr>
              <w:t>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4.3.</w:t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Гарантии Исполнителя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ConsPlusNormal1"/>
              <w:widowControl w:val="false"/>
              <w:suppressAutoHyphens w:val="true"/>
              <w:spacing w:before="0" w:after="0"/>
              <w:ind w:hanging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kern w:val="0"/>
                <w:sz w:val="24"/>
                <w:szCs w:val="24"/>
              </w:rPr>
              <w:t>Исполнитель гарантирует качество оказываемых услуг в соответствии с ТТ.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 w:ascii="Liberation Serif" w:hAnsi="Liberation Serif"/>
                <w:kern w:val="0"/>
                <w:sz w:val="24"/>
                <w:szCs w:val="24"/>
              </w:rPr>
              <w:t>Гарантии не распространяются на случаи,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и/или сторонней организацией ремонта.</w:t>
            </w:r>
          </w:p>
        </w:tc>
        <w:tc>
          <w:tcPr>
            <w:tcW w:w="2172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5.</w:t>
            </w:r>
          </w:p>
        </w:tc>
        <w:tc>
          <w:tcPr>
            <w:tcW w:w="9185" w:type="dxa"/>
            <w:gridSpan w:val="2"/>
            <w:tcBorders/>
            <w:shd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both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Прочие требования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left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             </w:t>
            </w: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left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             </w:t>
            </w: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84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9" w:type="dxa"/>
            <w:tcBorders/>
            <w:shd w:fill="auto" w:val="clear"/>
          </w:tcPr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left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kern w:val="0"/>
                <w:sz w:val="24"/>
                <w:szCs w:val="24"/>
                <w:lang w:val="ru-RU" w:eastAsia="ru-RU" w:bidi="ar-SA"/>
              </w:rPr>
              <w:t>Наличие  удостоверяющих документов</w:t>
            </w:r>
          </w:p>
        </w:tc>
        <w:tc>
          <w:tcPr>
            <w:tcW w:w="6126" w:type="dxa"/>
            <w:tcBorders/>
            <w:shd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both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kern w:val="0"/>
                <w:sz w:val="24"/>
                <w:szCs w:val="24"/>
                <w:lang w:val="ru-RU" w:eastAsia="ru-RU" w:bidi="ar-SA"/>
              </w:rPr>
              <w:t>Сотрудники, осуществляющие техническое обслуживание ИТСО на объектах филиала должны иметь при себе документы, удостоверяющие личность, и другие разрешительные документы, дающие право на  выполнение запрашиваемых видов услуг.</w:t>
            </w:r>
          </w:p>
        </w:tc>
        <w:tc>
          <w:tcPr>
            <w:tcW w:w="2172" w:type="dxa"/>
            <w:tcBorders/>
            <w:shd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both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4" w:type="dxa"/>
            <w:tcBorders/>
            <w:shd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jc w:val="left"/>
              <w:outlineLvl w:val="2"/>
              <w:rPr>
                <w:rFonts w:ascii="Liberation Serif" w:hAnsi="Liberation Serif" w:eastAsia="Times New Roman" w:cs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  <w:lang w:eastAsia="en-US"/>
        </w:rPr>
        <w:t>3. Требования к документации по ценообразованию на этапе заключения (исполнения) договора:</w:t>
      </w:r>
    </w:p>
    <w:p>
      <w:pPr>
        <w:pStyle w:val="Normal"/>
        <w:ind w:firstLine="720"/>
        <w:jc w:val="both"/>
        <w:rPr>
          <w:rFonts w:ascii="Liberation Serif" w:hAnsi="Liberation Serif" w:eastAsia="Calibri"/>
          <w:b/>
          <w:sz w:val="24"/>
          <w:szCs w:val="24"/>
          <w:lang w:eastAsia="en-US"/>
        </w:rPr>
      </w:pPr>
      <w:r>
        <w:rPr>
          <w:rFonts w:eastAsia="Calibri" w:ascii="Liberation Serif" w:hAnsi="Liberation Serif"/>
          <w:b/>
          <w:sz w:val="24"/>
          <w:szCs w:val="24"/>
          <w:lang w:eastAsia="en-US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bCs/>
          <w:iCs/>
          <w:sz w:val="24"/>
          <w:szCs w:val="24"/>
          <w:lang w:eastAsia="en-US"/>
        </w:rPr>
        <w:t xml:space="preserve">    </w:t>
      </w:r>
      <w:r>
        <w:rPr>
          <w:rFonts w:eastAsia="Calibri" w:ascii="Liberation Serif" w:hAnsi="Liberation Serif"/>
          <w:bCs/>
          <w:iCs/>
          <w:sz w:val="24"/>
          <w:szCs w:val="24"/>
          <w:lang w:eastAsia="en-US"/>
        </w:rPr>
        <w:tab/>
        <w:tab/>
        <w:t>3</w:t>
      </w:r>
      <w:r>
        <w:rPr>
          <w:rFonts w:eastAsia="Times New Roman" w:ascii="Liberation Serif" w:hAnsi="Liberation Serif"/>
          <w:bCs/>
          <w:iCs/>
          <w:sz w:val="24"/>
          <w:szCs w:val="24"/>
          <w:lang w:eastAsia="en-US"/>
        </w:rPr>
        <w:t>.1. В обоснование стоимости заявки «Участник» представляет коммерческое предложение. Сметная документация в состав заявки «Участника» не включается.</w:t>
      </w:r>
    </w:p>
    <w:p>
      <w:pPr>
        <w:pStyle w:val="Normal"/>
        <w:numPr>
          <w:ilvl w:val="0"/>
          <w:numId w:val="0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ascii="Liberation Serif" w:hAnsi="Liberation Serif"/>
          <w:bCs/>
          <w:iCs/>
          <w:sz w:val="24"/>
          <w:szCs w:val="24"/>
          <w:lang w:eastAsia="en-US"/>
        </w:rPr>
        <w:t xml:space="preserve">  </w:t>
      </w:r>
      <w:r>
        <w:rPr>
          <w:rFonts w:eastAsia="Times New Roman" w:ascii="Liberation Serif" w:hAnsi="Liberation Serif"/>
          <w:bCs/>
          <w:iCs/>
          <w:sz w:val="24"/>
          <w:szCs w:val="24"/>
          <w:lang w:eastAsia="en-US"/>
        </w:rPr>
        <w:tab/>
        <w:tab/>
        <w:t>3.2. Разработка сметной документации осуществляется при заключении договора в соответствии с договорными условиями в рамках ценового предложения с разбивкой по нахождению объектов обслуживания, согласно Перечню объектов, передаваемых под охрану (Приложение 1 к Техническим требованиям).</w:t>
      </w:r>
    </w:p>
    <w:p>
      <w:pPr>
        <w:pStyle w:val="Normal"/>
        <w:ind w:firstLine="720"/>
        <w:jc w:val="both"/>
        <w:rPr>
          <w:rFonts w:ascii="Liberation Serif" w:hAnsi="Liberation Serif" w:eastAsia="Calibri"/>
          <w:sz w:val="24"/>
          <w:szCs w:val="24"/>
          <w:lang w:eastAsia="en-US"/>
        </w:rPr>
      </w:pPr>
      <w:r>
        <w:rPr>
          <w:rFonts w:eastAsia="Calibri" w:ascii="Liberation Serif" w:hAnsi="Liberation Serif"/>
          <w:sz w:val="24"/>
          <w:szCs w:val="24"/>
          <w:lang w:eastAsia="en-US"/>
        </w:rPr>
      </w:r>
    </w:p>
    <w:p>
      <w:pPr>
        <w:pStyle w:val="Normal"/>
        <w:ind w:firstLine="720"/>
        <w:jc w:val="both"/>
        <w:rPr>
          <w:rFonts w:ascii="Liberation Serif" w:hAnsi="Liberation Serif"/>
          <w:sz w:val="24"/>
          <w:szCs w:val="24"/>
        </w:rPr>
      </w:pPr>
      <w:bookmarkStart w:id="39" w:name="_Toc542812281"/>
      <w:bookmarkStart w:id="40" w:name="_Toc546437111"/>
      <w:bookmarkEnd w:id="39"/>
      <w:bookmarkEnd w:id="40"/>
      <w:r>
        <w:rPr>
          <w:rFonts w:eastAsia="Calibri" w:ascii="Liberation Serif" w:hAnsi="Liberation Serif"/>
          <w:sz w:val="24"/>
          <w:szCs w:val="24"/>
          <w:lang w:eastAsia="en-US"/>
        </w:rPr>
        <w:tab/>
      </w:r>
    </w:p>
    <w:p>
      <w:pPr>
        <w:pStyle w:val="Heading1"/>
        <w:numPr>
          <w:ilvl w:val="0"/>
          <w:numId w:val="0"/>
        </w:numPr>
        <w:ind w:hanging="0" w:left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 xml:space="preserve">4.  </w:t>
      </w:r>
      <w:r>
        <w:rPr>
          <w:rFonts w:ascii="Liberation Serif" w:hAnsi="Liberation Serif"/>
          <w:sz w:val="24"/>
          <w:szCs w:val="24"/>
        </w:rPr>
        <w:t>Приложения</w:t>
      </w:r>
    </w:p>
    <w:p>
      <w:pPr>
        <w:pStyle w:val="Normal"/>
        <w:rPr>
          <w:rFonts w:ascii="Liberation Serif" w:hAnsi="Liberation Serif"/>
          <w:sz w:val="24"/>
          <w:szCs w:val="24"/>
          <w:lang w:val="x-none" w:eastAsia="x-none"/>
        </w:rPr>
      </w:pPr>
      <w:r>
        <w:rPr>
          <w:rFonts w:ascii="Liberation Serif" w:hAnsi="Liberation Serif"/>
          <w:sz w:val="24"/>
          <w:szCs w:val="24"/>
          <w:lang w:val="x-none" w:eastAsia="x-none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 1:  Перечень объектов и  оборудования ИТСО передаваемого на ТО</w:t>
      </w:r>
    </w:p>
    <w:p>
      <w:pPr>
        <w:pStyle w:val="Normal"/>
        <w:widowControl w:val="false"/>
        <w:tabs>
          <w:tab w:val="clear" w:pos="286"/>
          <w:tab w:val="left" w:pos="0" w:leader="none"/>
        </w:tabs>
        <w:spacing w:lineRule="auto" w:line="240" w:before="0" w:after="0"/>
        <w:contextualSpacing/>
        <w:jc w:val="center"/>
        <w:rPr>
          <w:rFonts w:ascii="Liberation Serif" w:hAnsi="Liberation Serif" w:eastAsia="Times New Roman" w:cs="Times New Roman"/>
          <w:b/>
          <w:sz w:val="24"/>
          <w:szCs w:val="24"/>
          <w:lang w:eastAsia="ar-SA"/>
        </w:rPr>
      </w:pPr>
      <w:r>
        <w:rPr>
          <w:rFonts w:eastAsia="Times New Roman" w:cs="Times New Roman" w:ascii="Liberation Serif" w:hAnsi="Liberation Serif"/>
          <w:b/>
          <w:sz w:val="24"/>
          <w:szCs w:val="24"/>
          <w:lang w:eastAsia="ar-SA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 2:  Типовой перечень регламентных работ по ТО ИТСО</w:t>
      </w:r>
    </w:p>
    <w:p>
      <w:pPr>
        <w:pStyle w:val="Normal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 3:  Акт первичного  обследования системы (Форма)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 4:  Дефектная ведомость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i/>
          <w:sz w:val="24"/>
          <w:szCs w:val="24"/>
        </w:rPr>
        <w:t>на неисправное оборудование ИТСО (Форма)</w:t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 5:  Акт демонтажа (Форма)</w:t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№6: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i/>
          <w:sz w:val="24"/>
          <w:szCs w:val="24"/>
        </w:rPr>
        <w:t>Порядок проведения внеплановых мероприятий (аварийно-восстановительных), порядок подачи заявок и их исполнение.</w:t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>Начальник службы безопасности                                 п/п                                             Е.В. Жоров</w:t>
      </w:r>
    </w:p>
    <w:p>
      <w:pPr>
        <w:pStyle w:val="ListParagraph"/>
        <w:ind w:hanging="0" w:left="0"/>
        <w:rPr>
          <w:rFonts w:ascii="Liberation Serif" w:hAnsi="Liberation Serif"/>
          <w:b/>
          <w:bCs/>
          <w:i/>
          <w:i/>
          <w:iCs/>
          <w:sz w:val="24"/>
          <w:szCs w:val="24"/>
        </w:rPr>
      </w:pPr>
      <w:r>
        <w:rPr>
          <w:rFonts w:ascii="Liberation Serif" w:hAnsi="Liberation Serif"/>
          <w:b/>
          <w:bCs/>
          <w:i/>
          <w:iCs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ListParagraph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hanging="0" w:left="5670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Приложение № 1 к ТТ</w:t>
      </w:r>
    </w:p>
    <w:p>
      <w:pPr>
        <w:pStyle w:val="Normal"/>
        <w:ind w:firstLine="708" w:left="0" w:right="0"/>
        <w:jc w:val="center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b/>
          <w:i/>
          <w:iCs/>
          <w:sz w:val="24"/>
          <w:szCs w:val="24"/>
          <w:lang w:eastAsia="ar-SA"/>
        </w:rPr>
        <w:t>Перечень объектов и оборудования ИТСО филиала «ЭС ЕАО», передаваемого на техническое обслуживание</w:t>
      </w:r>
      <w:r>
        <w:rPr>
          <w:rFonts w:eastAsia="Times New Roman" w:cs="Times New Roman" w:ascii="Liberation Serif" w:hAnsi="Liberation Serif"/>
          <w:i/>
          <w:iCs/>
          <w:sz w:val="24"/>
          <w:szCs w:val="24"/>
          <w:lang w:eastAsia="ar-SA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b/>
          <w:i/>
          <w:iCs/>
          <w:sz w:val="24"/>
          <w:szCs w:val="24"/>
          <w:lang w:eastAsia="ru-RU"/>
        </w:rPr>
        <w:t xml:space="preserve">       </w:t>
      </w:r>
    </w:p>
    <w:tbl>
      <w:tblPr>
        <w:tblW w:w="10275" w:type="dxa"/>
        <w:jc w:val="left"/>
        <w:tblInd w:w="151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8"/>
        <w:gridCol w:w="2730"/>
        <w:gridCol w:w="2267"/>
        <w:gridCol w:w="2440"/>
        <w:gridCol w:w="2150"/>
      </w:tblGrid>
      <w:tr>
        <w:trPr/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Обслуживаемые объекты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Перечень установленного оборудования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6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1.1.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Центральная база филиала «ЭС ЕАО», расположенная по адресу: ул. Черноморская, д.6,                        г. Биробиджан, ЕАО.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в черте г. Биробиджан, рядом расположен частный жилой сектор).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Административное здание 4-х этажное, выполнено из железобетонного строения, перекрытие здания ж/б.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34" w:righ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1. Камеры видеонаблюдения: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ОДС (вывод сигнала на дежурного ОДС);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коридор 1-го этажа;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коридор 3-го этажа;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коридор 4-го этажа;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«Серверная» (вывод сигнала на КПП-1, КПП-2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2. Система контроля управления доступом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(турникет, помещение ОДС , «Серверная») с выводом сигнала на ПЭВМ начальника СБ – каб. 111;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Служебные помещения 1 этажа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оборудованы пожароохранной сигнализацией.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 w:val="false"/>
                <w:sz w:val="24"/>
                <w:szCs w:val="24"/>
                <w:lang w:eastAsia="ru-RU"/>
              </w:rPr>
              <w:t xml:space="preserve">3.1. Служебные помещения 2,3,4 этажа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оборудованы пожарной сигнализацией.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sz w:val="24"/>
                <w:szCs w:val="24"/>
                <w:lang w:eastAsia="ru-RU"/>
              </w:rPr>
              <w:t xml:space="preserve">3.2.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Вывод сигнала пожароохранной сигнализации на пост охраны КПП №2;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4. Помещение «Серверной»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оборудовано системой автоматического пожаротушения, с выводом сигнала на дежурного ОДС филиала и на световое табло входной двери в «Серверную»;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5. Лестничные марши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оборудованы охранной сигнализацией с выводом сигнала на пост охраны КПП №2.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- 8 штук</w:t>
            </w:r>
            <w:r>
              <w:rPr>
                <w:rFonts w:eastAsia="Times New Roman" w:cs="Times New Roman" w:ascii="Liberation Serif" w:hAnsi="Liberation Serif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камер видеонаблюдения</w:t>
            </w:r>
            <w:r>
              <w:rPr>
                <w:rFonts w:eastAsia="Times New Roman" w:cs="Times New Roman" w:ascii="Liberation Serif" w:hAnsi="Liberation Serif"/>
                <w:i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- 1штука (внутренняя)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- 3 штуки (внутренняя)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- 2 штук (внутренняя)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- 1 штука (внутренняя)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- 1 штука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Учебный корпус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Двухэтажное строение, выполненное из кирпича, перекрытие ж/б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Служебные помещения 2 этажа оборудованы пожарной сигнализацией с выводом сигнала на пост охраны КПП-2;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Служебные помещения 1 этажа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оборудованы пожароохранной сигнализацией с выводом сигнала на пост охраны КПП-2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Лестничный марш оборудован охранной сигнализацией с выводом сигнала на пост охраны КПП-2.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- 23 штуки</w:t>
            </w:r>
          </w:p>
        </w:tc>
      </w:tr>
      <w:tr>
        <w:trPr/>
        <w:tc>
          <w:tcPr>
            <w:tcW w:w="6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1.2.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1.3.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1.4.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1.5.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1.6.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1.7.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Административное здание АТО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Одноэтажное строение, выполненное из кирпича, перекрытие ж/б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Служебные помещения оборудованы пожароохранной сигнализацией с выводом сигнала на пост охраны КПП-2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- 5 штук</w:t>
            </w:r>
          </w:p>
        </w:tc>
      </w:tr>
      <w:tr>
        <w:trPr>
          <w:trHeight w:val="2096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Автомобильные боксы (10 ед.)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Одноэтажное строение, выполненное из кирпича, перекрытие ж/б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Стояночные боксы для  автотранспорта оборудованы  пожароохранной  сигнализацией с выводом сигнала на пост охраны КПП-2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- 10 штук</w:t>
            </w:r>
          </w:p>
        </w:tc>
      </w:tr>
      <w:tr>
        <w:trPr>
          <w:trHeight w:val="2320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Центральный склад филиала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Одноэтажное строение. Служебное помещение выполнено из кирпича, склад выполнен из металлических конструкций.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3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Служебное помещение и склад оборудованы пожароохранной сигнализацией с выводом сигнала на пост охраны КПП-2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- 7 штук</w:t>
            </w:r>
          </w:p>
        </w:tc>
      </w:tr>
      <w:tr>
        <w:trPr/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Периметральное ограждение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Выполнено из ж/б плит высотой 2,5 м.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Дополнительно оборудовано инженерными средствами охраны: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Армированная колючая лента типа «Егоза» (в верхней части периметра ограждения);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Система контроля действий персонала охраны с выводом сигнала на ПЭВМ начальника СБ филиала, (каб. 111);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Система периметральной охранной сигнализации «Годограф» с выводом сигнала на пост охраны КПП–2 и каб. начальника СБ филиала (каб. 111);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 Охранное телевидение с выводом сигнала на пост охраны КПП-2.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-11 штук камер видеонаблюдения (уличные)</w:t>
            </w:r>
          </w:p>
        </w:tc>
      </w:tr>
      <w:tr>
        <w:trPr>
          <w:trHeight w:val="1643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 с электроприводом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Управление при помощи кнопки, установленной  в помещении охраны КПП-2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 штук</w:t>
            </w:r>
          </w:p>
        </w:tc>
      </w:tr>
      <w:tr>
        <w:trPr>
          <w:trHeight w:val="1493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Ворота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-Въездные  ворота с  электроприводом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-Ворота для аварийного выезда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Управление при помощи кнопки, установленной в помещении охраны КПП-2 и снаружи помещения.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Управление при помощи кнопки, установленной на внешнем периметре забора 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-2 штук</w:t>
            </w:r>
          </w:p>
        </w:tc>
      </w:tr>
      <w:tr>
        <w:trPr/>
        <w:tc>
          <w:tcPr>
            <w:tcW w:w="1027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Объекты центральной базы филиала «ЭС ЕАО» расположены в окружении жилого частного сектора и разделены от центральной части города Биробиджан Федеральной  железнодорожной линией.</w:t>
            </w:r>
          </w:p>
        </w:tc>
      </w:tr>
      <w:tr>
        <w:trPr/>
        <w:tc>
          <w:tcPr>
            <w:tcW w:w="1027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Районные электрические сети</w:t>
            </w:r>
          </w:p>
        </w:tc>
      </w:tr>
      <w:tr>
        <w:trPr>
          <w:trHeight w:val="5121" w:hRule="atLeast"/>
        </w:trPr>
        <w:tc>
          <w:tcPr>
            <w:tcW w:w="6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Центральная база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Смидовичского 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, расположена по адресу: ул. Энергетическая, д.3, пос. Приамурский, Смидовичский район, ЕАО.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в черте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-административное здание двухэтажное, выполнено из кирпича, перекрытие здания ж/б;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мастерский пункт одно этажное здание, выполнено из кирпича, перекрытие здания деревянное.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Объекты находится на окраине п. Приамурский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(Оборудованы пожароохранной сигнализацией и охранным  телевидением)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Служебные помещения оборудованы пожароохранной сигнализацией с выводом сигнала на пост охраны КПП (отдельное помещение в административном здании),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в административном  здании установлено Охранное телевидение с выводом сигнала на пост охраны КПП,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 система контрольного управления доступом (на  входе в здание)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-28 помещений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-12 штук камер видеонаблюдения: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(3-штук камер внутренние, 9- штук камер уличные).</w:t>
            </w:r>
          </w:p>
        </w:tc>
      </w:tr>
      <w:tr>
        <w:trPr>
          <w:trHeight w:val="1324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 с электроприводом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Управление при помощи кнопки, установленной  в помещении охраны КПП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 штука</w:t>
            </w:r>
          </w:p>
        </w:tc>
      </w:tr>
      <w:tr>
        <w:trPr>
          <w:trHeight w:val="1136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Центральная база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Ленинского 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, расположена по адресу: ул. Милицейская, д.3, с. Ленинское, Ленинский район, ЕАО.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 xml:space="preserve"> (Объект находится в черте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-Административное здание двухэтажное, выполнено из кирпича, перекрытие здания ж/б;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Служебные помещения оборудованы пожароохранной сигнализацией.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Охранным телевидением с выводом сигнала на пост охраны КПП  (вагончик охраны),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Автомобильные боксы оборудованы пожароохранной сигнализацией.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bookmarkStart w:id="41" w:name="__DdeLink__5187_7310717"/>
            <w:bookmarkEnd w:id="41"/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white"/>
                <w:lang w:eastAsia="ru-RU"/>
              </w:rPr>
              <w:t>-18 помещений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yellow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yellow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yellow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-7 штук камер видеонаблюдения: уличные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( 2 штук камер внутренние,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5 штук камер уличные).</w:t>
            </w:r>
          </w:p>
        </w:tc>
      </w:tr>
      <w:tr>
        <w:trPr>
          <w:trHeight w:val="1190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 с электроприводом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Управление при помощи кнопки, установленной  в помещении охраны КПП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-1штука.</w:t>
            </w:r>
          </w:p>
        </w:tc>
      </w:tr>
      <w:tr>
        <w:trPr>
          <w:trHeight w:val="3837" w:hRule="atLeast"/>
        </w:trPr>
        <w:tc>
          <w:tcPr>
            <w:tcW w:w="6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4.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Центральная база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Октябрьского 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, расположена по адресу: ул. Крупской, д.24, с. Амурзет, Октябрьский район, ЕАО (Объект находится в черте с. Амурзет, рядом расположен жилой сектор.)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Двухэтажное здание, выполнено из кирпича, перекрытие здания ж/б.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Гаражные боксы, одно этажное здание, выполнены из кирпича, перекрытие здания ж/б.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Служебные помещения оборудованы пожароохранной сигнализацией с выводом сигнала на пост охраны КПП;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-Автомобильный бокс и склад, оборудован пожароохранной сигнализацией,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Камеры видеонаблюдения с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вывод сигнала на пост охраны КПП,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white"/>
                <w:lang w:eastAsia="ru-RU"/>
              </w:rPr>
              <w:t>-18 помещений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- 4 помещения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-7 штук камер видеонаблюдения: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( 1 штук камеры внутренние,                        6 штук камеры уличные).</w:t>
            </w:r>
          </w:p>
        </w:tc>
      </w:tr>
      <w:tr>
        <w:trPr>
          <w:trHeight w:val="488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 с электроприводом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Управление при помощи кнопки, установленной  в помещении охраны КПП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-1штук</w:t>
            </w:r>
          </w:p>
        </w:tc>
      </w:tr>
      <w:tr>
        <w:trPr/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Центральная база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Облученского 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, расположена по адресу: ул. Тварковского, д.125, г. Облучье, Облученский район, ЕАО (Объект находится в черте города, рядом расположен жилой сектор).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Двухэтажное здание, выполнено из кирпича, перекрытие здания ж/б.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Все служебные помещения оборудованы пожарной сигнализацией с выводом сигнала на пост охраны КПП;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 Камеры видеонаблюдения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с вывод сигнала на пост охраны КПП.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white"/>
                <w:lang w:eastAsia="ru-RU"/>
              </w:rPr>
              <w:t>-16 помещений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-7 штук камер видеонаблюдения,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(2 штук камеры внутренние,                       - 5 штук камер уличные).</w:t>
            </w:r>
          </w:p>
        </w:tc>
      </w:tr>
      <w:tr>
        <w:trPr>
          <w:trHeight w:val="273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Монтёрский пункт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Теплоозёрского 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, расположена по адресу: ул. Лазо, д.7, п. Теплоозёрск, Облученский район, ЕАО (Объект находится на окраине п.Теплоозёрск, рядом расположен жилой сектор).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Одно этажное здание, выполнено из кирпича, перекрытие здания ж/б.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Все служебные помещения оборудованы пожарной сигнализацией с выводом  сигнала на пост охраны КПП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white"/>
                <w:lang w:eastAsia="ru-RU"/>
              </w:rPr>
              <w:t>-9 помещений</w:t>
            </w:r>
          </w:p>
        </w:tc>
      </w:tr>
      <w:tr>
        <w:trPr>
          <w:trHeight w:val="463" w:hRule="atLeast"/>
        </w:trPr>
        <w:tc>
          <w:tcPr>
            <w:tcW w:w="6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7.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Центральная база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Теплоозёрского 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, расположена по адресу: ул. 60 лет Октября, д.8А, п. Теплоозёрск, Облученский район, ЕАО (Объект находится на окраине п. Теплоозёрск, рядом расположен жилой сектор)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Двухэтажное здание, выполнено из кирпича, перекрытие здания ж/б.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Все служебные помещения оборудованы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пожароохранной сигнализацией с выводом сигнала на пост охраны КПП;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Охранное телевидение с выводом сигнала на пост охраны КПП.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Система контроля управления доступом (на входе в здание)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white"/>
                <w:lang w:eastAsia="ru-RU"/>
              </w:rPr>
              <w:t>-28 помещений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-12 штук камер видеонаблюдения, уличные,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(5 штук камер видеонаблюдения, внутренние).</w:t>
            </w:r>
          </w:p>
        </w:tc>
      </w:tr>
      <w:tr>
        <w:trPr>
          <w:trHeight w:val="606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 с электроприводом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Управление при помощи кнопки, установленной  в помещении охраны КПП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- 2 штук</w:t>
            </w:r>
          </w:p>
        </w:tc>
      </w:tr>
      <w:tr>
        <w:trPr>
          <w:trHeight w:val="3887" w:hRule="atLeast"/>
        </w:trPr>
        <w:tc>
          <w:tcPr>
            <w:tcW w:w="6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8.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8.1.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Центральная база Городского РЭС,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расположена по адресу: ул. Димитрова, д.6, г. Биробиджан, ЕАО (Объект находится в черте г. Биробиджан,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Двухэтажное здание, выполнено из кирпича, перекрытие здания ж/б.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Гаражные боксы, одно этажное здание, выполнено из кирпича, перекрытие здания ж/б.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Все служебные помещения оборудованы пожарной сигнализацией с выводом сигнала на пост охраны КПП;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-Автомобильный бокс  оборудован пожарной сигнализацией с выводом сигнала на пост охраны КПП;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Охранное телевидение с выводом сигнала на пост охраны КПП,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системой контрольного управления доступом на центральном  ( на входе в помещение охраны)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highlight w:val="white"/>
                <w:lang w:eastAsia="ru-RU"/>
              </w:rPr>
              <w:t>-27 помещений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-5 помещений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- 9 штук камер видеонаблюдения, уличные.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 шт. на посту охраны</w:t>
            </w:r>
          </w:p>
        </w:tc>
      </w:tr>
      <w:tr>
        <w:trPr>
          <w:trHeight w:val="763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Шлагбаум с электроприводом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Управление при помощи кнопки, установленной  в помещении охраны КПП и  снаружи помещения.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-1штук</w:t>
            </w:r>
          </w:p>
        </w:tc>
      </w:tr>
      <w:tr>
        <w:trPr>
          <w:trHeight w:val="1583" w:hRule="atLeast"/>
        </w:trPr>
        <w:tc>
          <w:tcPr>
            <w:tcW w:w="6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Въездные  ворота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Въездные  ворота с  электроприводом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Управление при помощи кнопки, установленной  в помещении охраны КПП и снаружи помещения.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- 1штук</w:t>
            </w:r>
          </w:p>
        </w:tc>
      </w:tr>
      <w:tr>
        <w:trPr/>
        <w:tc>
          <w:tcPr>
            <w:tcW w:w="1027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                                                                   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Подстанции</w:t>
            </w:r>
          </w:p>
        </w:tc>
      </w:tr>
      <w:tr>
        <w:trPr/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ПС-110/35/6 кВ «СК»,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расположена по адресу: ул. Индустриальная, д.1П, г. Биробиджан, ЕАО (Объект находится на окраине г. Биробиджан, вне жилого сектора).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ПС состоит из трёх модульных металлических блоков, каждый индивидуальный.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Снабжены пожароохранной сигнализацией с выводом сигнала на дежурного диспетчера ОДС филиала;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160" w:left="160" w:right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571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10.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ПС-110/6 кВ «АРЗ»,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расположена по адресу: ул. Индустриальная, д. 4, г. Биробиджан, ЕАО (Объект находится на окраине города, вне жилого сектора).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28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Одноэтажное здание, выполнено из кирпича, состоит из производственного помещения ГЩУ и ЗРУ.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ж/б ограждение, дополнительно установлена АКЛ «Егоза»,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699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11.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-16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ПС-35/6 кВ «Центр»,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расположена по адресу: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 xml:space="preserve"> ул. Красноармейская, д.19П, г. Биробиджан,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ЕАО (Объект находится в черте города,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Модульное металлическое строение. Служебное помещение контейнерного типа - 4,0м2 (строение металлическое);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ж/б ограждение, дополнительно установлена АКЛ «Егоза».                                       -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131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12.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ПС-35/6 кВ «ДСК»,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расположена по адресу: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 xml:space="preserve"> ул.  Шевчука, д.29, п. Николаевка, Смидовичский район, ЕАО.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(Объект находится в черте посёлка, рядом расположен жилой сектор).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Здания представляют собой, одноэтажное кирпичное строение.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-Имеет 2 подсобных помещения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ограждение.                -Калитка периметра ограждения ПС оборудована сигнализаций на открытие (закрытие) с выводом  сигнала на дежурного диспетчера ОДС филиала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021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13.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ПС-35/6 кВ «ГЗУ»,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расположена по адресу: ул.   Черноморская, д. 51, 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 xml:space="preserve">г. Биробиджан, ЕАО.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(Объект находится в черте города, рядом расположен жилой сектор).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Модульное металлическое строение. Служебное помещение контейнерного типа - 4,0 м 2 (строение металлическое).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ж/б ограждение, дополнительно установлена АКЛ «Егоза»,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796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14.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ПС-110/35/6 кВ «КРС»,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расположена по адресу: 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>ул.   Садовая, д. 22, с. Бирофельд,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Биробиджанский район, ЕАО (Объект находится в черте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Здания представляют собой, одноэтажное кирпичное строение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Имеет 2 подсобных помещения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ограждение,            -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534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ПС-35/6 кВ «ЖБИ»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расположена по адресу: 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>ул.   Физкультурная, д. 24П,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 xml:space="preserve">г. Биробиджан, ЕАО.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(Объект находится в черте города, рядом расположен жилой сектор).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Здание ЗРУ-6кВ представляет собой, одноэтажное кирпичное строение-184м2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ограждение. Калитка периметра ограждения ПС оборудована сигнализаций на открытие (закрытие) с выводом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100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16.</w:t>
            </w:r>
          </w:p>
          <w:p>
            <w:pPr>
              <w:pStyle w:val="Normal"/>
              <w:widowControl w:val="false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>ПС-35/10 кВ «Валдгейм»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расположена по адресу: </w:t>
            </w:r>
            <w:r>
              <w:rPr>
                <w:rFonts w:cs="Times New Roman" w:ascii="Liberation Serif" w:hAnsi="Liberation Serif"/>
                <w:sz w:val="24"/>
                <w:szCs w:val="24"/>
                <w:lang w:eastAsia="ru-RU"/>
              </w:rPr>
              <w:t>ул. Полевая, д. 2а,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с. Валдгейм, Биробиджанский район, ЕАО.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(Объект находится в черте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Помещение контейнерного типа-16,0м2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ограждение, дополнительно установлена АКЛ «Егоза».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Калитка периметра ограждения ПС оборудована сигнализаций на открытие (закрытие) с выводом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266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-10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  <w:t xml:space="preserve">ПС-35/10 кВ «Венцелево»,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расположена по адресу:</w:t>
            </w:r>
          </w:p>
          <w:p>
            <w:pPr>
              <w:pStyle w:val="Normal"/>
              <w:widowControl w:val="false"/>
              <w:overflowPunct w:val="true"/>
              <w:spacing w:lineRule="auto" w:line="240" w:before="6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ул. Горная, 41, с. Венцелево, Ленинский район, ЕАО. (Объект находится на окраине села, рядом расположен жилой сектор).</w:t>
            </w:r>
          </w:p>
          <w:p>
            <w:pPr>
              <w:pStyle w:val="Normal"/>
              <w:widowControl w:val="false"/>
              <w:overflowPunct w:val="true"/>
              <w:spacing w:lineRule="auto" w:line="240" w:before="60" w:after="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Помещение контейнерного типа-18,9м2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ограждение, дополнительно установлена АКЛ «Егоза».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400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 xml:space="preserve">ПС-110/35/10 кВ «Благословенное»,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расположена по адресу: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 xml:space="preserve"> ул. Ленина, 1/2,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с. Благословенное,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1140" w:leader="none"/>
              </w:tabs>
              <w:overflowPunct w:val="true"/>
              <w:spacing w:lineRule="auto" w:line="240" w:before="6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Октябрьский район, ЕАО. (Объект находится в черте села, рядом расположен жилой сектор).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1140" w:leader="none"/>
              </w:tabs>
              <w:overflowPunct w:val="true"/>
              <w:spacing w:lineRule="auto" w:line="240" w:before="60" w:after="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-Помещение монтёрского пункта-154 м 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-Помещение контейнерного типа - (вагончике связи)-16,0 м2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51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35/6 кВ «Хинганск»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расположена по адресу: п. Хинганск, Облученский район, ЕАО.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 xml:space="preserve"> (Объект находится в черте посёлка,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Помещение монтёрского пункта – 296,0 м.2 (одноэтажное, кирпичное строение)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ограждение, дополнительно установлена АКЛ «Егоза». 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99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35/10 кВ       «Пашково»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расположена по адресу: шоссе «Пашково-Башурово» 2км, с. Пашково, Облученский район, ЕАО. 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в черте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контейнерного типа(2,7м.*8,8м.) - 23,7 кв.м., (обшито металлом).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ОДИАС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сетчатое ограждение, дополнительно установлена АКЛ «Егоза».  Калитка периметра ограждения ПС оборудована сигнализаций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Монтёрский пункт Бираканского участка ТРЭС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расположена по адресу: пер. Высокий, д.43, п. Биракан, Облучинский район, ЕАО. 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в черте п. Бира, рядом расположен жилой сектор).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Помещение монтёрского пункта – 102,0 м.2 (одноэтажное, строение, сборное щитовое)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МУ имеет ограждение из проф.листа (метал.), дополнительно установлена АКЛ «Егоза».  Калитка, ворота, оборудованы сигнализацией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110/35/10 кВ «Ленинское»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расположена по адресу: ул. Вокзальная, 20 а,              ст. Ленинск, Облученский район, ЕАО. 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на окраине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Liberation Serif" w:hAnsi="Liberation Serif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здания ОПУ-50,1 м2,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здания ЗРУ-86,3 м2,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-Вагон связи-34,2 м2.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Камеры видеонаблюдения по периметру ограждения ПС. Информация с камер хранится в сервере на ПС.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ПС имеет ж/б ограждение, дополнительно установлена АКЛ «Егоза».  Калитка, ворота, периметра ограждения ПС оборудованы сигнализаций на открытие (закрытие)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по периметру ограждения ПС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монтировано охранное освещение.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-8 штук камер видеонаблюдения, уличные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-22штук светильника</w:t>
            </w:r>
          </w:p>
        </w:tc>
      </w:tr>
      <w:tr>
        <w:trPr>
          <w:trHeight w:val="375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110/35/10 кВ «ПС Биджан» и Монтёрский пункт.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расположена по адресу: пер. Тихий, д.3А, с. Биджан Ленинский район, ЕАО. 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на окраине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Общее помещение монтёрского пункта – 182,1м. 2 (одноэтажное, строение, кирпичное)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вагончика связи -35,0 м2 9                     (метал.);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вагончика ОПУ -84,0 м.2 (метал.);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вагончика дежурного – 18,0 м.2. (метал.)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имеет сетчатое ограждение, дополнительно установлена АКЛ «Егоза».  Калитка, ворота, оборудованы сигнализацией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3690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110/35/10 кВ «Бабстово»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расположена по адресу: ул.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</w:rPr>
              <w:t>Горная, 1А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, с. Бабстово, Ленинский район, ЕАО. </w:t>
            </w:r>
            <w:r>
              <w:rPr>
                <w:rFonts w:eastAsia="Times New Roman" w:cs="Times New Roman" w:ascii="Liberation Serif" w:hAnsi="Liberation Serif"/>
                <w:bCs/>
                <w:sz w:val="24"/>
                <w:szCs w:val="24"/>
                <w:lang w:eastAsia="ru-RU"/>
              </w:rPr>
              <w:t>(Объект находится на окраине села,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вагончика связи – 18,0 м.2 (контейнерного типа, метал.)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имеет сетчатое ограждение, дополнительно установлена АКЛ «Егоза».  Калитка, ворота, оборудованы сигнализацией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916" w:hRule="atLeast"/>
        </w:trPr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35/10 кВ «Известковое»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расположена по адресу: ул. Железнодорожная, 18, п. Известковый, район, Облученский район, ЕАО. </w:t>
            </w:r>
            <w:r>
              <w:rPr>
                <w:rFonts w:cs="Times New Roman" w:ascii="Liberation Serif" w:hAnsi="Liberation Serif"/>
                <w:bCs/>
                <w:sz w:val="24"/>
                <w:szCs w:val="24"/>
              </w:rPr>
              <w:t>(Объект находится в черте населённого пункта рядом расположен жилой сектор).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- Помещение вагончика связи – 18,0 м.2 (контейнерного типа, метал.)</w:t>
            </w:r>
          </w:p>
        </w:tc>
        <w:tc>
          <w:tcPr>
            <w:tcW w:w="2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Периметр имеет сетчатое ограждение, дополнительно установлена АКЛ «Егоза».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 Калитка, ворота, оборудованы сигнализацией на открытие (закрытие) с выводом  сигнала на дежурного диспетчера ОДС филиала.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641" w:hRule="atLeast"/>
        </w:trPr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35/10 кВ «МК»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ЗРУ 10 кВ,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ЕАО, г. Биробиджан, ул. Стяжкина, 74П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Здание ЗРУ 10 кВ – 114,4 м2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Капитальное, кирпичное</w:t>
            </w:r>
          </w:p>
        </w:tc>
        <w:tc>
          <w:tcPr>
            <w:tcW w:w="24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</w:t>
            </w:r>
          </w:p>
        </w:tc>
        <w:tc>
          <w:tcPr>
            <w:tcW w:w="2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75" w:hRule="atLeast"/>
        </w:trPr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35/10 кВ «ЧТФ»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ЗРУ 6 кВ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ЕАО, г. Биробиджан, Пионерская, 62П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Здание ЗРУ 6 кВ – 207,2 м2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Капитальное строение, кирпичное</w:t>
            </w:r>
          </w:p>
        </w:tc>
        <w:tc>
          <w:tcPr>
            <w:tcW w:w="24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</w:t>
            </w:r>
          </w:p>
        </w:tc>
        <w:tc>
          <w:tcPr>
            <w:tcW w:w="2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550" w:hRule="atLeast"/>
        </w:trPr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Монтёрский пункт Бирского участка.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Расположены по адресу: ЕАО, п. Бира, ул. 40 лет Победы, 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Монтерский пункт – 18 м2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Помещение гаража – 36 м2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(контейнерного типа, металл)</w:t>
            </w:r>
          </w:p>
        </w:tc>
        <w:tc>
          <w:tcPr>
            <w:tcW w:w="24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на дежурного диспетчера ОДС филиала</w:t>
            </w:r>
          </w:p>
        </w:tc>
        <w:tc>
          <w:tcPr>
            <w:tcW w:w="2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66" w:hRule="atLeast"/>
        </w:trPr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Монтёрский пункт и гараж Дубовского участка.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Расположены по адресу: ЕАО, с. Дубовое ул. Зеленая 21А</w:t>
            </w:r>
          </w:p>
        </w:tc>
        <w:tc>
          <w:tcPr>
            <w:tcW w:w="2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Монтерский пункт – 36 м2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Помещение гаража – 60 м2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(контейнерного типа из сэндвич-панелей)</w:t>
            </w:r>
          </w:p>
        </w:tc>
        <w:tc>
          <w:tcPr>
            <w:tcW w:w="24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Объект снабжён системой пожароохранной сигнализацией с выводом сигнала по СМС на тел. мастера и нач.РЭС</w:t>
            </w:r>
          </w:p>
        </w:tc>
        <w:tc>
          <w:tcPr>
            <w:tcW w:w="2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66" w:hRule="atLeast"/>
        </w:trPr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ПС 35/10 кВ «</w:t>
            </w: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Воскресеновка</w:t>
            </w: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 xml:space="preserve">ЕАО,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Ленинский район, с.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Воскресенока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ул. Новая,д.6</w:t>
            </w:r>
          </w:p>
        </w:tc>
        <w:tc>
          <w:tcPr>
            <w:tcW w:w="2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- Помещение вагончика связи 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(помещение дежурного)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 – 18,0 м.2 (контейнерного типа, метал.)</w:t>
            </w:r>
          </w:p>
        </w:tc>
        <w:tc>
          <w:tcPr>
            <w:tcW w:w="24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- Объект снабжён системой охранной сигнализацией 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и видео наблюдением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с выводом сигнала на дежурного диспетчера ОДС филиала</w:t>
            </w:r>
          </w:p>
        </w:tc>
        <w:tc>
          <w:tcPr>
            <w:tcW w:w="2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  <w:tr>
        <w:trPr>
          <w:trHeight w:val="466" w:hRule="atLeast"/>
        </w:trPr>
        <w:tc>
          <w:tcPr>
            <w:tcW w:w="688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 xml:space="preserve">ПС </w:t>
            </w: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110/</w:t>
            </w: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35/10 кВ «</w:t>
            </w: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Дежнёво</w:t>
            </w:r>
            <w:r>
              <w:rPr>
                <w:rFonts w:cs="Times New Roman" w:ascii="Liberation Serif" w:hAnsi="Liberation Serif"/>
                <w:b/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 xml:space="preserve">ЕАО,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Ленинский район, с.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Дежнёво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sz w:val="24"/>
                <w:szCs w:val="24"/>
                <w:lang w:eastAsia="ru-RU"/>
              </w:rPr>
              <w:t>ул. Мира, д.5</w:t>
            </w:r>
          </w:p>
        </w:tc>
        <w:tc>
          <w:tcPr>
            <w:tcW w:w="2267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- Помещение здания 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ОП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У-86,3 м2,</w:t>
            </w:r>
          </w:p>
        </w:tc>
        <w:tc>
          <w:tcPr>
            <w:tcW w:w="2440" w:type="dxa"/>
            <w:tcBorders>
              <w:left w:val="single" w:sz="2" w:space="0" w:color="000001"/>
              <w:bottom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- Объект снабжён системой охранной сигнализацией 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и видео наблюдением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с выводом сигнала на дежурного диспетчера ОДС филиала</w:t>
            </w:r>
          </w:p>
        </w:tc>
        <w:tc>
          <w:tcPr>
            <w:tcW w:w="21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tcMar>
              <w:left w:w="87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9746" w:type="dxa"/>
        <w:jc w:val="left"/>
        <w:tblInd w:w="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0"/>
        <w:gridCol w:w="4785"/>
      </w:tblGrid>
      <w:tr>
        <w:trPr/>
        <w:tc>
          <w:tcPr>
            <w:tcW w:w="4960" w:type="dxa"/>
            <w:tcBorders/>
            <w:shd w:fill="auto" w:val="clear"/>
          </w:tcPr>
          <w:p>
            <w:pPr>
              <w:pStyle w:val="Normal"/>
              <w:widowControl w:val="false"/>
              <w:ind w:hanging="0" w:right="-53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м.п.</w:t>
            </w:r>
          </w:p>
        </w:tc>
        <w:tc>
          <w:tcPr>
            <w:tcW w:w="478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__________________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/>
              <w:t>м.п.</w:t>
            </w:r>
          </w:p>
        </w:tc>
      </w:tr>
    </w:tbl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       </w:t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Приложение № 2 к ТТ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>Типовой перечень регламентных работ по ТО ИТСО</w:t>
      </w:r>
      <w:r>
        <w:rPr>
          <w:rFonts w:eastAsia="Times New Roman" w:cs="Times New Roman" w:ascii="Liberation Serif" w:hAnsi="Liberation Serif"/>
          <w:b/>
          <w:bCs/>
          <w:i/>
          <w:iCs/>
          <w:sz w:val="24"/>
          <w:szCs w:val="24"/>
          <w:lang w:eastAsia="ar-SA"/>
        </w:rPr>
        <w:t xml:space="preserve"> филиала «ЭС ЕАО»</w:t>
      </w:r>
    </w:p>
    <w:p>
      <w:pPr>
        <w:pStyle w:val="Normal"/>
        <w:spacing w:lineRule="auto" w:line="240" w:before="0" w:after="0"/>
        <w:ind w:firstLine="709"/>
        <w:jc w:val="center"/>
        <w:rPr>
          <w:rFonts w:ascii="Liberation Serif" w:hAnsi="Liberation Serif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Liberation Serif" w:hAnsi="Liberation Serif"/>
          <w:b/>
          <w:color w:val="000000"/>
          <w:sz w:val="24"/>
          <w:szCs w:val="24"/>
          <w:lang w:eastAsia="ru-RU"/>
        </w:rPr>
      </w:r>
    </w:p>
    <w:tbl>
      <w:tblPr>
        <w:tblW w:w="9915" w:type="dxa"/>
        <w:jc w:val="left"/>
        <w:tblInd w:w="43" w:type="dxa"/>
        <w:tblLayout w:type="fixed"/>
        <w:tblCellMar>
          <w:top w:w="0" w:type="dxa"/>
          <w:left w:w="73" w:type="dxa"/>
          <w:bottom w:w="0" w:type="dxa"/>
          <w:right w:w="108" w:type="dxa"/>
        </w:tblCellMar>
      </w:tblPr>
      <w:tblGrid>
        <w:gridCol w:w="816"/>
        <w:gridCol w:w="6071"/>
        <w:gridCol w:w="3"/>
        <w:gridCol w:w="3"/>
        <w:gridCol w:w="3022"/>
      </w:tblGrid>
      <w:tr>
        <w:trPr/>
        <w:tc>
          <w:tcPr>
            <w:tcW w:w="99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Техническое обслуживание систем пожароохранной сигнализации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i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88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1.                                                     </w:t>
            </w:r>
            <w:r>
              <w:rPr>
                <w:rFonts w:eastAsia="Times New Roman" w:cs="Times New Roman" w:ascii="Liberation Serif" w:hAnsi="Liberation Serif"/>
                <w:b/>
                <w:i/>
                <w:color w:val="000000"/>
                <w:sz w:val="24"/>
                <w:szCs w:val="24"/>
                <w:lang w:eastAsia="ru-RU"/>
              </w:rPr>
              <w:t>Перечень работ</w:t>
            </w:r>
          </w:p>
        </w:tc>
        <w:tc>
          <w:tcPr>
            <w:tcW w:w="302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Периодичность   обслуживания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-Внешний осмотр пультов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-Внешний осмотр детекторов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-Внешний осмотр распределительных коробок (модулей расширения)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-Работы по п.1.1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-Тестирование срабатывания каждой зоны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работоспособности пультов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-Замер величины питающего напряжения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правильности установки, исправности монтажа и внешних проводок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крепления, подтяжка разъемных механических и электрических соединений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1. 3.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-Работы по п.п. 1.1.,1.2.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работоспособности всех компонентов сигнализации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-Очистка, притирка, смазка, подпайка, замена или восстановление элементов, выработавших ресурс или пришедших в негодность (или по мере необходимости)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выходного сигнала, настройка параметров чувствительности элементов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работоспособности источников бесперебойного питания и параметров аккумуляторов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-Обезжиривание, очистка коммутационных соединений, мест спайки спиртом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-Чистка контактов компонентов охранной сигнализации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программного обеспечения системы, корректировка, исправление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-Продувка детекторов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Раз в полгода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25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При необходимости, по вызову «Заказчика»</w:t>
            </w:r>
          </w:p>
        </w:tc>
      </w:tr>
      <w:tr>
        <w:trPr/>
        <w:tc>
          <w:tcPr>
            <w:tcW w:w="99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color w:val="000000"/>
                <w:sz w:val="24"/>
                <w:szCs w:val="24"/>
                <w:lang w:eastAsia="ru-RU"/>
              </w:rPr>
              <w:t>2. Техническое обслуживание систем видеонаблюдения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i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-Внешний осмотр коммутационных центров, видеорегистраторов, мониторов и источников питания, видеокамер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режимов работы мультиплексоров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правильности функционирования видеорегистраторов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-Чистка, протирка от пыли, грязи, коррозии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-Работы по п. 2.1.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-Замер величины питающего напряжения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правильности установки, исправности монтажа и внешних проводок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крепления, подтяжка разъемных механических и электрических соединений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-Работы по п.п. 2.1., 2.2.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-Обезжиривание, очистка оптической системы спиртом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работы устройства обогрева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выходного сигнала с помощью осциллографа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работоспособности источников бесперебойного питания и параметров аккумуляторов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-Смазка механических редукторов поворотных устройств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-Чистка контактов системы видеонаблюдения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Раз в полгода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 Работы по п.п. 2.1., 2.2., 2.3.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-Подготовка к использованию в осенне-зимних условиях: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герметичности и корректировка гермокожухов, блоков управления, поворотных устройств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работы и настройка системы обогрева гермокожухов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-Смазка редукторов поворотных устройств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заземления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 xml:space="preserve">-Проверка целостности </w:t>
            </w: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val="en-US" w:eastAsia="ru-RU"/>
              </w:rPr>
              <w:t>TV</w:t>
            </w: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-кабелей методом «прозвона»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Раз в год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67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При необходимости, по вызову «Заказчика»</w:t>
            </w:r>
          </w:p>
        </w:tc>
      </w:tr>
      <w:tr>
        <w:trPr/>
        <w:tc>
          <w:tcPr>
            <w:tcW w:w="99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color w:val="000000"/>
                <w:sz w:val="24"/>
                <w:szCs w:val="24"/>
                <w:lang w:eastAsia="ru-RU"/>
              </w:rPr>
              <w:t>3.  Техническое обслуживание системы контроля управления доступом персонала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b/>
                <w:bCs/>
                <w:i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356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3.1.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-Очистка от пыли проверка работоспособности считывателей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-Проверка, настройка замков и дверных доводчиков дверей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работоспособности основных и резервных источников питания, осуществление контроля рабочих напряжений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работоспособности программного обеспечения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-В случае выхода оборудования из строя оно заменяется аналогичным (по тех. характеристикам) на время ремонта.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776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 Устранение неисправностей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 Оказание помощи «Заказчику» в регистрации, замене    индивидуальных ключей (карт) персонала в СКУД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По   мере необходимости, по вызову «Заказчика»</w:t>
            </w:r>
          </w:p>
        </w:tc>
      </w:tr>
      <w:tr>
        <w:trPr>
          <w:trHeight w:val="376" w:hRule="atLeast"/>
        </w:trPr>
        <w:tc>
          <w:tcPr>
            <w:tcW w:w="99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color w:val="000000"/>
                <w:sz w:val="24"/>
                <w:szCs w:val="24"/>
                <w:lang w:eastAsia="ru-RU"/>
              </w:rPr>
              <w:t xml:space="preserve">4. Техническое  обслуживание системы  </w:t>
            </w: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Times New Roman" w:cs="Times New Roman" w:ascii="Liberation Serif" w:hAnsi="Liberation Serif"/>
                <w:b/>
                <w:i/>
                <w:sz w:val="24"/>
                <w:szCs w:val="24"/>
                <w:lang w:eastAsia="ru-RU"/>
              </w:rPr>
              <w:t>автоматического  пожаротушения   в серверной</w:t>
            </w:r>
          </w:p>
        </w:tc>
      </w:tr>
      <w:tr>
        <w:trPr>
          <w:trHeight w:val="278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0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Очистка от пыли проверка работоспособности считывателей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 Проверка, настройка замков и дверных доводчиков дверей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-Проверка работоспособности основных и резервных источников питания, осуществление контроля рабочих напряжений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-Проверка работоспособности программного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-В случае выхода оборудования из строя оно заменяется аналогичным (по тех. характеристикам) на время ремонта.</w:t>
            </w:r>
          </w:p>
        </w:tc>
        <w:tc>
          <w:tcPr>
            <w:tcW w:w="3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Ежеквартально</w:t>
            </w:r>
          </w:p>
        </w:tc>
      </w:tr>
      <w:tr>
        <w:trPr>
          <w:trHeight w:val="789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26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При необходимости, по вызову Заказчика</w:t>
            </w:r>
          </w:p>
        </w:tc>
      </w:tr>
      <w:tr>
        <w:trPr>
          <w:trHeight w:val="363" w:hRule="atLeast"/>
        </w:trPr>
        <w:tc>
          <w:tcPr>
            <w:tcW w:w="991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Cs/>
                <w:color w:val="000000"/>
                <w:sz w:val="24"/>
                <w:szCs w:val="24"/>
                <w:lang w:eastAsia="ru-RU"/>
              </w:rPr>
              <w:t>5. Техническое обслуживание  шлагбаума с электроприводом и въездных ворот с электроприводом</w:t>
            </w:r>
          </w:p>
        </w:tc>
      </w:tr>
      <w:tr>
        <w:trPr>
          <w:trHeight w:val="1402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268" w:left="26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Внешний осмотр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правильности установки, исправности монтажа и внешних проводок;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-Проверка крепления, подтяжка разъемных механических и электрических соединений;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-Проведение  регулировочных  работ механизмов и оборудования</w:t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sz w:val="24"/>
                <w:szCs w:val="24"/>
                <w:lang w:eastAsia="ru-RU"/>
              </w:rPr>
              <w:t>Ежеквартально</w:t>
            </w:r>
          </w:p>
        </w:tc>
      </w:tr>
      <w:tr>
        <w:trPr>
          <w:trHeight w:val="517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607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Устранение неисправностей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268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/>
                <w:iCs/>
                <w:color w:val="000000"/>
                <w:sz w:val="24"/>
                <w:szCs w:val="24"/>
                <w:lang w:eastAsia="ru-RU"/>
              </w:rPr>
              <w:t>При необходимости, по вызову Заказчика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Liberation Serif" w:hAnsi="Liberation Serif"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Liberation Serif" w:hAnsi="Liberation Serif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tbl>
      <w:tblPr>
        <w:tblW w:w="9746" w:type="dxa"/>
        <w:jc w:val="left"/>
        <w:tblInd w:w="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1"/>
        <w:gridCol w:w="4784"/>
      </w:tblGrid>
      <w:tr>
        <w:trPr/>
        <w:tc>
          <w:tcPr>
            <w:tcW w:w="4961" w:type="dxa"/>
            <w:tcBorders/>
            <w:shd w:fill="auto" w:val="clear"/>
          </w:tcPr>
          <w:p>
            <w:pPr>
              <w:pStyle w:val="Normal"/>
              <w:widowControl w:val="false"/>
              <w:ind w:hanging="0" w:right="-53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м.п.</w:t>
            </w:r>
          </w:p>
        </w:tc>
        <w:tc>
          <w:tcPr>
            <w:tcW w:w="478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__________________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/>
              <w:t>м.п.</w:t>
            </w:r>
          </w:p>
        </w:tc>
      </w:tr>
    </w:tbl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Приложение № 3 </w:t>
      </w:r>
      <w:r>
        <w:rPr>
          <w:rFonts w:ascii="Liberation Serif" w:hAnsi="Liberation Serif"/>
          <w:sz w:val="24"/>
          <w:szCs w:val="24"/>
        </w:rPr>
        <w:t>к ТТ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Акт первичного обследования системы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(ФОРМА)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 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</w:t>
      </w:r>
      <w:r>
        <w:rPr>
          <w:rFonts w:ascii="Liberation Serif" w:hAnsi="Liberation Serif"/>
          <w:sz w:val="24"/>
          <w:szCs w:val="24"/>
        </w:rPr>
        <w:t>(наименование, адрес объекта, в/на котором установлена система)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          "____" _________ 20__ г.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>(наименование населенного пункта)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Мы, нижеподписавшиеся, представитель Исполнителя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</w:t>
      </w:r>
      <w:r>
        <w:rPr>
          <w:rFonts w:ascii="Liberation Serif" w:hAnsi="Liberation Serif"/>
          <w:sz w:val="24"/>
          <w:szCs w:val="24"/>
        </w:rPr>
        <w:t>(должность, фамилия, имя, отчество полностью)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представитель независимой организации (независимый эксперт)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лице ___________________________________________________________________,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</w:t>
      </w:r>
      <w:r>
        <w:rPr>
          <w:rFonts w:ascii="Liberation Serif" w:hAnsi="Liberation Serif"/>
          <w:sz w:val="24"/>
          <w:szCs w:val="24"/>
        </w:rPr>
        <w:t>(должность, фамилия, имя, отчество полностью)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составили настоящий акт о том, что при обследовании системы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__________________________________________________________________________,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</w:t>
      </w:r>
      <w:r>
        <w:rPr>
          <w:rFonts w:ascii="Liberation Serif" w:hAnsi="Liberation Serif"/>
          <w:sz w:val="24"/>
          <w:szCs w:val="24"/>
        </w:rPr>
        <w:t>(наименование систем и технических средств)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смонтированных 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</w:t>
      </w:r>
      <w:r>
        <w:rPr>
          <w:rFonts w:ascii="Liberation Serif" w:hAnsi="Liberation Serif"/>
          <w:sz w:val="24"/>
          <w:szCs w:val="24"/>
        </w:rPr>
        <w:t>(наименование наладочных организаций, дата монтажа)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 проекту (акту обследования), выполненному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__________________________________________________________________________,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налаженной _______________________________________________________________,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</w:t>
      </w:r>
      <w:r>
        <w:rPr>
          <w:rFonts w:ascii="Liberation Serif" w:hAnsi="Liberation Serif"/>
          <w:sz w:val="24"/>
          <w:szCs w:val="24"/>
        </w:rPr>
        <w:t>(наименование наладочной организации)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УСТАНОВЛЕНО: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Техническое состояние системы (технических средств)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</w:t>
      </w:r>
      <w:r>
        <w:rPr>
          <w:rFonts w:ascii="Liberation Serif" w:hAnsi="Liberation Serif"/>
          <w:sz w:val="24"/>
          <w:szCs w:val="24"/>
        </w:rPr>
        <w:t>(указать дефекты, неисправности технических средств и системы в целом)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проектная и техническая документация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>(указать наличие, отсутствие документации, дать замечания по ней)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Выводы, предложения: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>Исполнитель        Представитель независимой организации</w:t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</w:t>
      </w:r>
      <w:r>
        <w:rPr>
          <w:rFonts w:ascii="Liberation Serif" w:hAnsi="Liberation Serif"/>
          <w:sz w:val="24"/>
          <w:szCs w:val="24"/>
        </w:rPr>
        <w:t>(независимый эксперт), завода-изготовителя и т.п.</w:t>
      </w:r>
      <w:r>
        <w:rPr>
          <w:rStyle w:val="FootnoteReference"/>
          <w:rFonts w:ascii="Liberation Serif" w:hAnsi="Liberation Serif"/>
          <w:sz w:val="24"/>
          <w:szCs w:val="24"/>
        </w:rPr>
        <w:footnoteReference w:id="2"/>
      </w:r>
    </w:p>
    <w:p>
      <w:pPr>
        <w:pStyle w:val="Normal"/>
        <w:tabs>
          <w:tab w:val="clear" w:pos="286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</w:t>
      </w:r>
      <w:r>
        <w:rPr>
          <w:rFonts w:ascii="Liberation Serif" w:hAnsi="Liberation Serif"/>
          <w:sz w:val="24"/>
          <w:szCs w:val="24"/>
        </w:rPr>
        <w:t>___________        _____________________________________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  <w:r>
        <w:br w:type="page"/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Приложение № 4</w:t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 Техническому заданию </w:t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Дефектная ведомость на неисправное оборудование ИТСО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(форма)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60"/>
        <w:gridCol w:w="4861"/>
      </w:tblGrid>
      <w:tr>
        <w:trPr/>
        <w:tc>
          <w:tcPr>
            <w:tcW w:w="4860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(наименование населенного пункта)</w:t>
            </w:r>
          </w:p>
        </w:tc>
        <w:tc>
          <w:tcPr>
            <w:tcW w:w="4861" w:type="dxa"/>
            <w:tcBorders/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0"/>
              <w:contextualSpacing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«_____»________________20_____г.</w:t>
            </w:r>
          </w:p>
        </w:tc>
      </w:tr>
      <w:tr>
        <w:trPr>
          <w:trHeight w:val="1006" w:hRule="atLeast"/>
        </w:trPr>
        <w:tc>
          <w:tcPr>
            <w:tcW w:w="9721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(наименование, адрес объекта, в/на котором установлена система)</w:t>
            </w:r>
          </w:p>
        </w:tc>
      </w:tr>
      <w:tr>
        <w:trPr/>
        <w:tc>
          <w:tcPr>
            <w:tcW w:w="9721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9721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системы______________________________________________________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Место установки системы ____________________________________________________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tbl>
            <w:tblPr>
              <w:tblW w:w="9478" w:type="dxa"/>
              <w:jc w:val="left"/>
              <w:tblInd w:w="40" w:type="dxa"/>
              <w:tblLayout w:type="fixed"/>
              <w:tblCellMar>
                <w:top w:w="0" w:type="dxa"/>
                <w:left w:w="10" w:type="dxa"/>
                <w:bottom w:w="0" w:type="dxa"/>
                <w:right w:w="22" w:type="dxa"/>
              </w:tblCellMar>
              <w:tblLook w:val="04a0" w:noHBand="0" w:noVBand="1" w:firstColumn="1" w:lastRow="0" w:lastColumn="0" w:firstRow="1"/>
            </w:tblPr>
            <w:tblGrid>
              <w:gridCol w:w="1198"/>
              <w:gridCol w:w="2764"/>
              <w:gridCol w:w="2756"/>
              <w:gridCol w:w="2759"/>
            </w:tblGrid>
            <w:tr>
              <w:trPr>
                <w:trHeight w:val="283" w:hRule="atLeast"/>
              </w:trPr>
              <w:tc>
                <w:tcPr>
                  <w:tcW w:w="1198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Liberation Serif" w:hAnsi="Liberation Serif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764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  <w:t>Наименование системы, технических средств, их состояние</w:t>
                  </w:r>
                </w:p>
              </w:tc>
              <w:tc>
                <w:tcPr>
                  <w:tcW w:w="2756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  <w:t>Неисправный узел, деталь, элемент, средство</w:t>
                  </w:r>
                </w:p>
              </w:tc>
              <w:tc>
                <w:tcPr>
                  <w:tcW w:w="2759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  <w:t>Проявление дефекта</w:t>
                  </w:r>
                </w:p>
              </w:tc>
            </w:tr>
            <w:tr>
              <w:trPr>
                <w:trHeight w:val="283" w:hRule="atLeast"/>
              </w:trPr>
              <w:tc>
                <w:tcPr>
                  <w:tcW w:w="1198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</w:r>
                </w:p>
              </w:tc>
              <w:tc>
                <w:tcPr>
                  <w:tcW w:w="2764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</w:r>
                </w:p>
              </w:tc>
              <w:tc>
                <w:tcPr>
                  <w:tcW w:w="2756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</w:r>
                </w:p>
              </w:tc>
              <w:tc>
                <w:tcPr>
                  <w:tcW w:w="2759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before="0" w:after="0"/>
                    <w:contextualSpacing/>
                    <w:jc w:val="center"/>
                    <w:rPr>
                      <w:rFonts w:ascii="Liberation Serif" w:hAnsi="Liberation Serif"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Выводы и предложения: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___________________________________________________________________________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___________________________________________________________________________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Представитель Исполнителя __________________________________________________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Liberation Serif" w:hAnsi="Liberation Serif"/>
                <w:sz w:val="24"/>
                <w:szCs w:val="24"/>
              </w:rPr>
              <w:t>(должность, ф.и.о., подпись)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Представитель Заказчика _____________________________________________________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Liberation Serif" w:hAnsi="Liberation Serif"/>
                <w:sz w:val="24"/>
                <w:szCs w:val="24"/>
              </w:rPr>
              <w:t>(должность, ф.и.о., подпись)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  <w:r>
        <w:br w:type="page"/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Приложение № 5</w:t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 Техническому заданию </w:t>
      </w:r>
    </w:p>
    <w:p>
      <w:pPr>
        <w:pStyle w:val="Normal"/>
        <w:spacing w:before="0" w:after="0"/>
        <w:contextualSpacing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Акт демонтажа</w:t>
      </w:r>
    </w:p>
    <w:p>
      <w:pPr>
        <w:pStyle w:val="Normal"/>
        <w:spacing w:before="0" w:after="0"/>
        <w:contextualSpacing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(Форма)</w:t>
      </w:r>
    </w:p>
    <w:p>
      <w:pPr>
        <w:pStyle w:val="Normal"/>
        <w:spacing w:before="0" w:after="0"/>
        <w:contextualSpacing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Style w:val="af"/>
        <w:tblW w:w="9747" w:type="dxa"/>
        <w:jc w:val="left"/>
        <w:tblInd w:w="158" w:type="dxa"/>
        <w:tblLayout w:type="fixed"/>
        <w:tblCellMar>
          <w:top w:w="0" w:type="dxa"/>
          <w:left w:w="15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51"/>
        <w:gridCol w:w="2569"/>
        <w:gridCol w:w="128"/>
        <w:gridCol w:w="848"/>
        <w:gridCol w:w="2851"/>
      </w:tblGrid>
      <w:tr>
        <w:trPr/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___________________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«____» _______________ 20__г.</w:t>
            </w:r>
          </w:p>
        </w:tc>
      </w:tr>
      <w:tr>
        <w:trPr/>
        <w:tc>
          <w:tcPr>
            <w:tcW w:w="6048" w:type="dxa"/>
            <w:gridSpan w:val="3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9747" w:type="dxa"/>
            <w:gridSpan w:val="5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(наименование объекта, адрес объекта)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Представитель Исполнителя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6048" w:type="dxa"/>
            <w:gridSpan w:val="3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Представитель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В результате проведенных работ демонтировано</w:t>
            </w:r>
          </w:p>
        </w:tc>
        <w:tc>
          <w:tcPr>
            <w:tcW w:w="3827" w:type="dxa"/>
            <w:gridSpan w:val="3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(указывается демонтированное оборудование,</w:t>
            </w:r>
          </w:p>
        </w:tc>
      </w:tr>
      <w:tr>
        <w:trPr>
          <w:trHeight w:val="429" w:hRule="atLeast"/>
        </w:trPr>
        <w:tc>
          <w:tcPr>
            <w:tcW w:w="9747" w:type="dxa"/>
            <w:gridSpan w:val="5"/>
            <w:tcBorders>
              <w:top w:val="nil"/>
              <w:left w:val="nil"/>
              <w:right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429" w:hRule="atLeast"/>
        </w:trPr>
        <w:tc>
          <w:tcPr>
            <w:tcW w:w="9747" w:type="dxa"/>
            <w:gridSpan w:val="5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его наименование, марка, модель, инв. №)</w:t>
            </w:r>
          </w:p>
        </w:tc>
      </w:tr>
      <w:tr>
        <w:trPr>
          <w:trHeight w:val="426" w:hRule="atLeast"/>
        </w:trPr>
        <w:tc>
          <w:tcPr>
            <w:tcW w:w="6048" w:type="dxa"/>
            <w:gridSpan w:val="3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418" w:hRule="atLeast"/>
        </w:trPr>
        <w:tc>
          <w:tcPr>
            <w:tcW w:w="6048" w:type="dxa"/>
            <w:gridSpan w:val="3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418" w:hRule="atLeast"/>
        </w:trPr>
        <w:tc>
          <w:tcPr>
            <w:tcW w:w="6048" w:type="dxa"/>
            <w:gridSpan w:val="3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409" w:hRule="atLeast"/>
        </w:trPr>
        <w:tc>
          <w:tcPr>
            <w:tcW w:w="6048" w:type="dxa"/>
            <w:gridSpan w:val="3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415" w:hRule="atLeast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Демонтированное оборудование систем ИТСО передано:</w:t>
            </w:r>
          </w:p>
        </w:tc>
      </w:tr>
      <w:tr>
        <w:trPr>
          <w:trHeight w:val="415" w:hRule="atLeast"/>
        </w:trPr>
        <w:tc>
          <w:tcPr>
            <w:tcW w:w="6048" w:type="dxa"/>
            <w:gridSpan w:val="3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511" w:hRule="atLeast"/>
        </w:trPr>
        <w:tc>
          <w:tcPr>
            <w:tcW w:w="9747" w:type="dxa"/>
            <w:gridSpan w:val="5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(указывается кому передано оборудование)</w:t>
            </w:r>
          </w:p>
        </w:tc>
      </w:tr>
      <w:tr>
        <w:trPr>
          <w:trHeight w:val="415" w:hRule="atLeast"/>
        </w:trPr>
        <w:tc>
          <w:tcPr>
            <w:tcW w:w="6048" w:type="dxa"/>
            <w:gridSpan w:val="3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415" w:hRule="atLeast"/>
        </w:trPr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Сдал:</w:t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3351" w:type="dxa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Представитель Исполнителя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45" w:type="dxa"/>
            <w:gridSpan w:val="3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/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(подпись)</w:t>
            </w:r>
          </w:p>
        </w:tc>
        <w:tc>
          <w:tcPr>
            <w:tcW w:w="3545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(ФИО)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/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Принял:</w:t>
            </w:r>
          </w:p>
        </w:tc>
        <w:tc>
          <w:tcPr>
            <w:tcW w:w="3699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3351" w:type="dxa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Представитель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545" w:type="dxa"/>
            <w:gridSpan w:val="3"/>
            <w:tcBorders>
              <w:top w:val="nil"/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/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(подпись)</w:t>
            </w:r>
          </w:p>
        </w:tc>
        <w:tc>
          <w:tcPr>
            <w:tcW w:w="3545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М.П.                            (ФИО)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kern w:val="0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contextualSpacing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i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Приложение № 6 к ТТ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Порядок проведения внеплановых мероприятий (аварийно-восстановительных),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порядок подачи заявок и их исполнение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7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Общие сведения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 xml:space="preserve">Внеплановые мероприятия (аварийно-восстановительные) (в том числе проверки) – мероприятия, выполняемые по заявкам, для восстановления работоспособности систем, и проводимые, когда причина сбоя не может быть устранена проведением ТО. Данные мероприятия осуществляются путем выезда сотрудника Исполнителя на объектах Заказчика при возникновении аварийной и/или нештатной ситуации и включают в себя выявление и устранение неисправностей, в том числе замену вышедших из строя запасных частей. </w:t>
      </w:r>
    </w:p>
    <w:p>
      <w:pPr>
        <w:pStyle w:val="Normal"/>
        <w:numPr>
          <w:ilvl w:val="0"/>
          <w:numId w:val="7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Внеплановые мероприятия (аварийно-восстановительные) (в том числе проверки) систем ИТСО проводится:</w:t>
      </w:r>
    </w:p>
    <w:p>
      <w:pPr>
        <w:pStyle w:val="Normal"/>
        <w:numPr>
          <w:ilvl w:val="0"/>
          <w:numId w:val="6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приемно-контрольных приборов, установленных на объектах, при возникновении сбоев в работе оборудования, когда их причина не может быть устранена проведением Технического обслуживания (Исполнитель производит замену оборудования на время проведения работ, если сроки устранения сбоев в работе оборудования превышают сроки, определенные условиями договора);</w:t>
      </w:r>
    </w:p>
    <w:p>
      <w:pPr>
        <w:pStyle w:val="Normal"/>
        <w:numPr>
          <w:ilvl w:val="0"/>
          <w:numId w:val="6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систем охранной и тревожной сигнализации, системы видеонаблюдения и системы контроля управления доступа, установленных на объекте, в объеме ТО.</w:t>
      </w:r>
    </w:p>
    <w:p>
      <w:pPr>
        <w:pStyle w:val="Normal"/>
        <w:numPr>
          <w:ilvl w:val="0"/>
          <w:numId w:val="6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 поступлении с объекта двух и более ложных срабатываний в течение 30 (тридцати) календарных дней, а также в случаях ликвидации последствий воздействия на системы охранной и тревожной сигнализации, системы видеонаблюдения и системы контроля управления доступа неблагоприятных климатических или производственных условий;</w:t>
      </w:r>
    </w:p>
    <w:p>
      <w:pPr>
        <w:pStyle w:val="Normal"/>
        <w:numPr>
          <w:ilvl w:val="0"/>
          <w:numId w:val="6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 поступлении заявки о не работоспособности, систем охранной и тревожной сигнализации, системы видеонаблюдения и системы контроля управления доступа, объем работ и срок их выполнения определяется специалистом Исполнителя (срок восстановления работоспособности сигнализации не должен превышать сроков, указанных в договоре);</w:t>
      </w:r>
    </w:p>
    <w:p>
      <w:pPr>
        <w:pStyle w:val="Normal"/>
        <w:numPr>
          <w:ilvl w:val="0"/>
          <w:numId w:val="6"/>
        </w:numPr>
        <w:ind w:hanging="0"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систем охранной и тревожной сигнализации, системы видеонаблюдения и системы контроля управления доступа, установленных на Объекте Заказчика за 5 (пять) рабочих дней до предстоящих праздничных дней, которые в совокупности календарно составляют 3 (три) дня и более в объеме Технического обслуживания.</w:t>
      </w:r>
    </w:p>
    <w:p>
      <w:pPr>
        <w:pStyle w:val="Normal"/>
        <w:numPr>
          <w:ilvl w:val="0"/>
          <w:numId w:val="7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Порядок подачи заявок и их исполнение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</w:t>
      </w:r>
      <w:r>
        <w:rPr>
          <w:rFonts w:ascii="Liberation Serif" w:hAnsi="Liberation Serif"/>
          <w:sz w:val="24"/>
          <w:szCs w:val="24"/>
        </w:rPr>
        <w:t>При возникновении сбоев в работе оборудования систем для проведения внеплановых работ (проверок), представителем Заказчика подается заявка Исполнителю по телефону, указанному в Журнале ИТСО с обязательной отметкой даты, времени и характера неисправности в данном журнале или путем направления заявки на электронный адрес Исполнителя.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>При прибытии на объект сотрудника Исполнителя по заявке (в течении двух часов с момента подачи заявки), допуск сотрудника на объект производится в соответствии с установленным Порядком.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После восстановления работоспособности оборудования, о причинах подачи заявки и объеме проведенных работ производится запись в Журнале ИТСО.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</w:t>
      </w:r>
      <w:r>
        <w:rPr>
          <w:rFonts w:ascii="Liberation Serif" w:hAnsi="Liberation Serif"/>
          <w:sz w:val="24"/>
          <w:szCs w:val="24"/>
        </w:rPr>
        <w:t xml:space="preserve">При невозможности устранения сбоев в работе оборудования в сроки, регламентированные Договором между Исполнителем и Заказчиком (4 часа с момента подачи заявки), Исполнитель производит замену оборудования на время проведения работ по устранению неисправностей.    По данному факту сотрудником Исполнителя и представителем Заказчика составляется соответствующий Акт установленного оборудования и производится запись в Журнале ИТСО.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Время приема заявок – круглосуточно. Время оказания услуг – по режиму работы объекта.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sectPr>
      <w:headerReference w:type="default" r:id="rId6"/>
      <w:headerReference w:type="first" r:id="rId7"/>
      <w:footnotePr>
        <w:numFmt w:val="decimal"/>
      </w:footnotePr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"/>
        </w:rPr>
        <w:footnoteRef/>
      </w:r>
      <w:r>
        <w:rPr>
          <w:rStyle w:val="Style"/>
        </w:rPr>
        <w:tab/>
      </w:r>
      <w:r>
        <w:rPr/>
        <w:t xml:space="preserve"> Необязательная позиция, в случае необходимости привлечения дополнительных специалистов, согласованной представителями Исполнителя и Заказчика.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41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Heading4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355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34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6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7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7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7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88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34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6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7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7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7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88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8"/>
  <w:defaultTabStop w:val="286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e3d6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"/>
    <w:qFormat/>
    <w:rsid w:val="00353a27"/>
    <w:pPr>
      <w:numPr>
        <w:ilvl w:val="0"/>
        <w:numId w:val="1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numPr>
        <w:ilvl w:val="0"/>
        <w:numId w:val="0"/>
      </w:numPr>
      <w:ind w:hanging="0" w:left="432"/>
    </w:pPr>
    <w:rPr/>
  </w:style>
  <w:style w:type="paragraph" w:styleId="Heading3">
    <w:name w:val="Heading 3"/>
    <w:basedOn w:val="Normal"/>
    <w:autoRedefine/>
    <w:qFormat/>
    <w:rsid w:val="00b06f0e"/>
    <w:pPr>
      <w:keepNext w:val="true"/>
      <w:numPr>
        <w:ilvl w:val="2"/>
        <w:numId w:val="1"/>
      </w:numPr>
      <w:spacing w:before="120" w:after="60"/>
      <w:ind w:hanging="0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qFormat/>
    <w:rsid w:val="006629c9"/>
    <w:pPr>
      <w:numPr>
        <w:ilvl w:val="1"/>
        <w:numId w:val="1"/>
      </w:numPr>
      <w:ind w:hanging="0" w:left="432"/>
      <w:outlineLvl w:val="1"/>
    </w:pPr>
    <w:rPr>
      <w:bCs/>
    </w:rPr>
  </w:style>
  <w:style w:type="paragraph" w:styleId="Heading5">
    <w:name w:val="Heading 5"/>
    <w:basedOn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06f0e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3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Без интервала Знак"/>
    <w:uiPriority w:val="1"/>
    <w:qFormat/>
    <w:rsid w:val="0096057c"/>
    <w:rPr>
      <w:rFonts w:eastAsia="Calibri"/>
      <w:sz w:val="24"/>
      <w:szCs w:val="24"/>
    </w:rPr>
  </w:style>
  <w:style w:type="character" w:styleId="ConsPlusNormal" w:customStyle="1">
    <w:name w:val="ConsPlusNormal Знак"/>
    <w:qFormat/>
    <w:locked/>
    <w:rsid w:val="0096057c"/>
    <w:rPr>
      <w:rFonts w:ascii="Arial" w:hAnsi="Arial" w:cs="Arial"/>
    </w:rPr>
  </w:style>
  <w:style w:type="character" w:styleId="Style15">
    <w:name w:val="Ссылка указателя"/>
    <w:qFormat/>
    <w:rPr/>
  </w:style>
  <w:style w:type="character" w:styleId="Style16">
    <w:name w:val="Символы концевой сноск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ucida Sans Unicode" w:cs="Lohit Devanagari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qFormat/>
    <w:rsid w:val="00d561d9"/>
    <w:pPr/>
    <w:rPr/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286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qFormat/>
    <w:rsid w:val="0076353a"/>
    <w:pPr>
      <w:tabs>
        <w:tab w:val="clear" w:pos="286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qFormat/>
    <w:rsid w:val="0076353a"/>
    <w:pPr>
      <w:keepNext w:val="true"/>
      <w:tabs>
        <w:tab w:val="clear" w:pos="286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6b6b70"/>
    <w:pPr>
      <w:tabs>
        <w:tab w:val="clear" w:pos="286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1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numPr>
        <w:ilvl w:val="0"/>
        <w:numId w:val="0"/>
      </w:numPr>
      <w:spacing w:before="480" w:after="60"/>
      <w:ind w:hanging="0" w:left="5038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286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286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[РГ] Текст"/>
    <w:basedOn w:val="Normal"/>
    <w:qFormat/>
    <w:rsid w:val="00334111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36" w:customStyle="1">
    <w:name w:val="Стиль3"/>
    <w:basedOn w:val="BodyTextIndent2"/>
    <w:qFormat/>
    <w:rsid w:val="00ac0d4d"/>
    <w:pPr>
      <w:widowControl w:val="false"/>
      <w:spacing w:lineRule="auto" w:line="240" w:before="0" w:after="0"/>
      <w:jc w:val="both"/>
      <w:textAlignment w:val="baseline"/>
    </w:pPr>
    <w:rPr>
      <w:sz w:val="24"/>
      <w:szCs w:val="20"/>
      <w:lang w:val="x-none" w:eastAsia="x-none"/>
    </w:rPr>
  </w:style>
  <w:style w:type="paragraph" w:styleId="-1" w:customStyle="1">
    <w:name w:val="Контракт-пункт"/>
    <w:basedOn w:val="Normal"/>
    <w:qFormat/>
    <w:rsid w:val="00ac0d4d"/>
    <w:pPr>
      <w:jc w:val="both"/>
    </w:pPr>
    <w:rPr>
      <w:sz w:val="24"/>
      <w:szCs w:val="24"/>
    </w:rPr>
  </w:style>
  <w:style w:type="paragraph" w:styleId="-2" w:customStyle="1">
    <w:name w:val="Контракт-раздел"/>
    <w:basedOn w:val="Normal"/>
    <w:qFormat/>
    <w:rsid w:val="00ac0d4d"/>
    <w:pPr>
      <w:keepNext w:val="true"/>
      <w:tabs>
        <w:tab w:val="clear" w:pos="286"/>
        <w:tab w:val="left" w:pos="540" w:leader="none"/>
      </w:tabs>
      <w:suppressAutoHyphens w:val="true"/>
      <w:spacing w:before="360" w:after="120"/>
      <w:jc w:val="center"/>
      <w:outlineLvl w:val="3"/>
    </w:pPr>
    <w:rPr>
      <w:b/>
      <w:bCs/>
      <w:smallCaps/>
      <w:sz w:val="24"/>
      <w:szCs w:val="24"/>
    </w:rPr>
  </w:style>
  <w:style w:type="paragraph" w:styleId="-3" w:customStyle="1">
    <w:name w:val="Контракт-подподпункт"/>
    <w:basedOn w:val="Normal"/>
    <w:qFormat/>
    <w:rsid w:val="00ac0d4d"/>
    <w:pPr>
      <w:jc w:val="both"/>
    </w:pPr>
    <w:rPr>
      <w:sz w:val="24"/>
      <w:szCs w:val="24"/>
    </w:rPr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BD5B2-6455-412E-AF8C-877B6D4C8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Application>AlterOffice/2026.2.0.0$Linux_X86_64 LibreOffice_project/bc4ef1adf80b36c7a6365f8ed6cbf29021361edd</Application>
  <AppVersion>15.0000</AppVersion>
  <Pages>41</Pages>
  <Words>7794</Words>
  <Characters>54782</Characters>
  <CharactersWithSpaces>63029</CharactersWithSpaces>
  <Paragraphs>1086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2023-10-20T05:38:00Z</dcterms:created>
  <dc:creator>Быстров Олег Геннадьевич</dc:creator>
  <dc:description/>
  <dc:language>ru-RU</dc:language>
  <cp:lastModifiedBy>zhorov_ev</cp:lastModifiedBy>
  <cp:lastPrinted>2024-10-10T11:40:20Z</cp:lastPrinted>
  <dcterms:modified xsi:type="dcterms:W3CDTF">2026-09-24T15:12:17Z</dcterms:modified>
  <cp:revision>271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