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fff7"/>
        <w:tblW w:w="49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/>
            <w:vAlign w:val="center"/>
          </w:tcPr>
          <w:p>
            <w:pPr>
              <w:pStyle w:val="Normal"/>
              <w:keepNext w:val="true"/>
              <w:keepLines/>
              <w:widowControl w:val="false"/>
              <w:ind w:hanging="0"/>
              <w:jc w:val="left"/>
              <w:rPr>
                <w:bCs/>
              </w:rPr>
            </w:pPr>
            <w:r>
              <w:rPr/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b/>
          <w:i/>
          <w:i/>
          <w:sz w:val="26"/>
          <w:szCs w:val="26"/>
        </w:rPr>
      </w:pPr>
      <w:r>
        <w:rPr>
          <w:rFonts w:eastAsia="Calibri"/>
          <w:b/>
          <w:i/>
        </w:rPr>
        <w:t xml:space="preserve">ОКПД2: 20.59.41.000 Поставка смазочных материалов и технических жидкостей в Хабаровский край, Приморский край, Амурскую область, Магаданскую область, Сахалинскую область для нужд Дальневосточного филиала АО ТК «РусГидро» </w:t>
      </w:r>
    </w:p>
    <w:p>
      <w:pPr>
        <w:pStyle w:val="Normal"/>
        <w:jc w:val="center"/>
        <w:rPr>
          <w:b/>
          <w:i/>
          <w:i/>
          <w:sz w:val="26"/>
          <w:szCs w:val="26"/>
        </w:rPr>
      </w:pPr>
      <w:r>
        <w:rPr>
          <w:b/>
          <w:i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i/>
          <w:i/>
          <w:color w:val="auto"/>
          <w:kern w:val="0"/>
          <w:sz w:val="28"/>
          <w:szCs w:val="28"/>
          <w:lang w:val="ru-RU" w:eastAsia="ru-RU" w:bidi="ar-SA"/>
        </w:rPr>
      </w:pPr>
      <w:r>
        <w:rPr/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6"/>
              <w:szCs w:val="26"/>
            </w:rPr>
          </w:pPr>
          <w:r>
            <w:fldChar w:fldCharType="begin"/>
          </w:r>
          <w:r>
            <w:rPr>
              <w:webHidden/>
              <w:rStyle w:val="Style14"/>
              <w:sz w:val="26"/>
              <w:szCs w:val="26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6"/>
              <w:szCs w:val="26"/>
              <w:vanish w:val="false"/>
            </w:rPr>
            <w:fldChar w:fldCharType="separate"/>
          </w:r>
          <w:hyperlink w:anchor="_Toc75446566">
            <w:r>
              <w:rPr>
                <w:webHidden/>
                <w:rStyle w:val="Style14"/>
                <w:vanish w:val="false"/>
                <w:sz w:val="26"/>
                <w:szCs w:val="26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Общие сведения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6"/>
              <w:szCs w:val="26"/>
            </w:rPr>
          </w:pPr>
          <w:hyperlink w:anchor="_Toc75446568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Наименование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6"/>
              <w:szCs w:val="26"/>
            </w:rPr>
          </w:pPr>
          <w:hyperlink w:anchor="_Toc75446569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Цель использования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6"/>
              <w:szCs w:val="26"/>
            </w:rPr>
          </w:pPr>
          <w:hyperlink w:anchor="_Toc75446573">
            <w:r>
              <w:rPr>
                <w:webHidden/>
                <w:rStyle w:val="Style14"/>
                <w:vanish w:val="false"/>
                <w:sz w:val="26"/>
                <w:szCs w:val="26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6"/>
                <w:szCs w:val="26"/>
              </w:rPr>
              <w:tab/>
            </w:r>
            <w:r>
              <w:rPr>
                <w:rStyle w:val="Style14"/>
                <w:iCs/>
                <w:sz w:val="26"/>
                <w:szCs w:val="26"/>
              </w:rPr>
              <w:t>Требования к продукции</w:t>
            </w:r>
            <w:r>
              <w:rPr>
                <w:rStyle w:val="Style14"/>
                <w:sz w:val="26"/>
                <w:szCs w:val="2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6"/>
              <w:szCs w:val="26"/>
            </w:rPr>
          </w:pPr>
          <w:hyperlink w:anchor="_Toc75446574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Требования к объемам и срокам поставки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6"/>
              <w:szCs w:val="26"/>
            </w:rPr>
          </w:pPr>
          <w:hyperlink w:anchor="_Toc75446575">
            <w:r>
              <w:rPr>
                <w:webHidden/>
                <w:rStyle w:val="Style14"/>
                <w:vanish w:val="false"/>
                <w:sz w:val="26"/>
                <w:szCs w:val="26"/>
              </w:rPr>
              <w:t>2.1.1.Перечень и объем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sz w:val="26"/>
              <w:szCs w:val="26"/>
              <w:lang w:val="en-US"/>
            </w:rPr>
          </w:pPr>
          <w:hyperlink w:anchor="_Toc75446576"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 1.1 Перечень и объем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Heading3"/>
            <w:tabs>
              <w:tab w:val="clear" w:pos="0"/>
            </w:tabs>
            <w:spacing w:before="0" w:after="0"/>
            <w:jc w:val="right"/>
            <w:rPr>
              <w:sz w:val="26"/>
              <w:szCs w:val="26"/>
              <w:lang w:val="ru-RU"/>
            </w:rPr>
          </w:pPr>
          <w:r>
            <w:rPr>
              <w:sz w:val="26"/>
              <w:szCs w:val="26"/>
              <w:lang w:val="ru-RU"/>
            </w:rPr>
            <w:t>2.1.2</w:t>
          </w:r>
          <w:r>
            <w:rPr>
              <w:sz w:val="26"/>
              <w:szCs w:val="26"/>
            </w:rPr>
            <w:t>Требования к срокам поставки продукции и оказания сопутствующих услуг</w:t>
          </w:r>
          <w:r>
            <w:rPr>
              <w:sz w:val="26"/>
              <w:szCs w:val="26"/>
              <w:lang w:val="ru-RU"/>
            </w:rPr>
            <w:t>...5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sz w:val="26"/>
              <w:szCs w:val="26"/>
            </w:rPr>
          </w:pPr>
          <w:hyperlink w:anchor="_Toc75446579"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 2.1 Требования по срокам поставки продукции………………………………</w:t>
            </w:r>
          </w:hyperlink>
          <w:r>
            <w:rPr>
              <w:vanish w:val="false"/>
              <w:sz w:val="26"/>
              <w:szCs w:val="26"/>
            </w:rPr>
            <w:t>5</w:t>
          </w:r>
        </w:p>
        <w:p>
          <w:pPr>
            <w:pStyle w:val="Normal"/>
            <w:ind w:firstLine="709"/>
            <w:rPr>
              <w:rFonts w:eastAsia="" w:eastAsiaTheme="minorEastAsia"/>
              <w:sz w:val="26"/>
              <w:szCs w:val="26"/>
            </w:rPr>
          </w:pPr>
          <w:r>
            <w:rPr>
              <w:rFonts w:eastAsia="" w:eastAsiaTheme="minorEastAsia"/>
              <w:sz w:val="26"/>
              <w:szCs w:val="26"/>
            </w:rPr>
            <w:t>2.2 Требования к качеству продукции………………………………………..……….6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jc w:val="both"/>
            <w:rPr>
              <w:sz w:val="26"/>
              <w:szCs w:val="26"/>
            </w:rPr>
          </w:pPr>
          <w:hyperlink w:anchor="_Toc75446582"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 3. Требования к продукции………………………………………………………</w:t>
            </w:r>
          </w:hyperlink>
          <w:r>
            <w:rPr>
              <w:vanish w:val="false"/>
              <w:sz w:val="26"/>
              <w:szCs w:val="26"/>
            </w:rPr>
            <w:t>6</w:t>
          </w:r>
        </w:p>
        <w:p>
          <w:pPr>
            <w:pStyle w:val="ListParagraph"/>
            <w:numPr>
              <w:ilvl w:val="0"/>
              <w:numId w:val="7"/>
            </w:numPr>
            <w:jc w:val="both"/>
            <w:rPr>
              <w:b/>
              <w:color w:val="000000" w:themeColor="text1"/>
              <w:sz w:val="26"/>
              <w:szCs w:val="26"/>
            </w:rPr>
          </w:pPr>
          <w:r>
            <w:rPr>
              <w:b/>
              <w:color w:val="000000" w:themeColor="text1"/>
              <w:sz w:val="26"/>
              <w:szCs w:val="26"/>
            </w:rPr>
            <w:t>Требования к документации по ценообразования на этапе закупки………………………………………………………………………………..…..28</w:t>
          </w:r>
        </w:p>
        <w:p>
          <w:pPr>
            <w:pStyle w:val="ListParagraph"/>
            <w:numPr>
              <w:ilvl w:val="0"/>
              <w:numId w:val="7"/>
            </w:numPr>
            <w:jc w:val="both"/>
            <w:rPr>
              <w:b/>
              <w:color w:val="000000" w:themeColor="text1"/>
              <w:sz w:val="26"/>
              <w:szCs w:val="26"/>
            </w:rPr>
          </w:pPr>
          <w:r>
            <w:rPr>
              <w:b/>
              <w:color w:val="000000" w:themeColor="text1"/>
              <w:sz w:val="26"/>
              <w:szCs w:val="26"/>
            </w:rPr>
            <w:t>Приложения……………………………………………………………………………...29</w:t>
          </w:r>
          <w:r>
            <w:rPr>
              <w:sz w:val="26"/>
              <w:b/>
              <w:szCs w:val="26"/>
              <w:color w:val="000000"/>
            </w:rPr>
            <w:fldChar w:fldCharType="end"/>
          </w:r>
        </w:p>
      </w:sdtContent>
    </w:sdt>
    <w:p>
      <w:pPr>
        <w:pStyle w:val="ListParagraph"/>
        <w:ind w:hanging="0" w:left="10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before="0" w:after="0"/>
        <w:ind w:hanging="0" w:left="0"/>
        <w:jc w:val="center"/>
        <w:rPr>
          <w:b/>
          <w:bCs/>
        </w:rPr>
      </w:pPr>
      <w:bookmarkStart w:id="0" w:name="_Toc75446566"/>
      <w:bookmarkStart w:id="1" w:name="_Toc51339692"/>
      <w:r>
        <w:rPr>
          <w:b/>
          <w:bCs/>
          <w:sz w:val="26"/>
          <w:szCs w:val="26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851" w:leader="none"/>
          <w:tab w:val="left" w:pos="1134" w:leader="none"/>
        </w:tabs>
        <w:spacing w:before="0" w:after="0"/>
        <w:ind w:firstLine="567" w:left="0"/>
        <w:rPr>
          <w:b/>
          <w:bCs/>
        </w:rPr>
      </w:pPr>
      <w:bookmarkStart w:id="2" w:name="_Toc75446568"/>
      <w:bookmarkStart w:id="3" w:name="_Toc46743506"/>
      <w:r>
        <w:rPr>
          <w:b/>
          <w:bCs/>
        </w:rPr>
        <w:t>Наименование закупаемой продукции</w:t>
      </w:r>
      <w:bookmarkEnd w:id="2"/>
      <w:bookmarkEnd w:id="3"/>
    </w:p>
    <w:p>
      <w:pPr>
        <w:pStyle w:val="Normal"/>
        <w:jc w:val="both"/>
        <w:rPr/>
      </w:pPr>
      <w:r>
        <w:rPr>
          <w:rStyle w:val="Style8"/>
          <w:rFonts w:eastAsia="Calibri"/>
          <w:b w:val="false"/>
          <w:bCs/>
          <w:color w:val="000000"/>
          <w:sz w:val="24"/>
          <w:szCs w:val="24"/>
          <w:shd w:fill="auto" w:val="clear"/>
        </w:rPr>
        <w:tab/>
      </w:r>
      <w:r>
        <w:rPr>
          <w:rStyle w:val="Style8"/>
          <w:rFonts w:eastAsia="Calibri"/>
          <w:b w:val="false"/>
          <w:bCs/>
          <w:i w:val="false"/>
          <w:color w:val="000000"/>
          <w:sz w:val="24"/>
          <w:szCs w:val="24"/>
          <w:shd w:fill="auto" w:val="clear"/>
        </w:rPr>
        <w:t xml:space="preserve">ОКПД2: 20.59.41.000 Поставка смазочных материалов и технических жидкостей в Хабаровский край, Приморский край, Амурскую область, Магаданскую область, Сахалинскую область для нужд Дальневосточного филиала АО ТК «РусГидро» </w:t>
      </w: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134" w:leader="none"/>
        </w:tabs>
        <w:ind w:firstLine="567" w:left="0"/>
        <w:rPr/>
      </w:pPr>
      <w:bookmarkStart w:id="4" w:name="_Toc75446569"/>
      <w:bookmarkStart w:id="5" w:name="_Toc46743507"/>
      <w:r>
        <w:rPr>
          <w:b/>
          <w:bCs/>
        </w:rPr>
        <w:t xml:space="preserve">Цель </w:t>
      </w:r>
      <w:bookmarkEnd w:id="5"/>
      <w:r>
        <w:rPr>
          <w:b/>
          <w:bCs/>
        </w:rPr>
        <w:t xml:space="preserve">использования закупаемой продукции </w:t>
      </w:r>
      <w:bookmarkEnd w:id="4"/>
      <w:r>
        <w:rPr/>
        <w:t xml:space="preserve"> </w:t>
      </w:r>
    </w:p>
    <w:p>
      <w:pPr>
        <w:pStyle w:val="Heading4"/>
        <w:tabs>
          <w:tab w:val="clear" w:pos="0"/>
        </w:tabs>
        <w:spacing w:before="0" w:after="0"/>
        <w:ind w:firstLine="567" w:left="0"/>
        <w:jc w:val="both"/>
        <w:rPr>
          <w:lang w:val="ru-RU" w:eastAsia="ru-RU"/>
        </w:rPr>
      </w:pPr>
      <w:bookmarkStart w:id="6" w:name="_Toc75446572"/>
      <w:bookmarkStart w:id="7" w:name="_Toc50125126"/>
      <w:bookmarkEnd w:id="7"/>
      <w:r>
        <w:rPr>
          <w:lang w:val="ru-RU" w:eastAsia="ru-RU"/>
        </w:rPr>
        <w:t>Обеспечение проведения текущего ремонта и технического обслуживания транспортных средств Дальневосточного филиала АО «ТК «РусГидро» с использованием моторных масел, смазочных материалов.</w:t>
      </w:r>
      <w:bookmarkStart w:id="8" w:name="_Toc75446573"/>
      <w:bookmarkStart w:id="9" w:name="_Toc51339693"/>
      <w:bookmarkEnd w:id="6"/>
    </w:p>
    <w:p>
      <w:pPr>
        <w:pStyle w:val="Normal"/>
        <w:spacing w:before="0" w:after="0"/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b/>
          <w:bCs/>
        </w:rPr>
      </w:pPr>
      <w:r>
        <w:rPr>
          <w:b/>
          <w:bCs/>
          <w:color w:val="000000"/>
          <w:sz w:val="26"/>
          <w:szCs w:val="26"/>
          <w:shd w:fill="auto" w:val="clear"/>
        </w:rPr>
        <w:t>Требования к продукции</w:t>
      </w:r>
      <w:bookmarkEnd w:id="8"/>
      <w:bookmarkEnd w:id="9"/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1134" w:leader="none"/>
        </w:tabs>
        <w:spacing w:before="0" w:after="0"/>
        <w:ind w:firstLine="135" w:left="567"/>
        <w:rPr>
          <w:b/>
          <w:bCs/>
        </w:rPr>
      </w:pPr>
      <w:bookmarkStart w:id="10" w:name="_Toc75446574"/>
      <w:r>
        <w:rPr>
          <w:b/>
          <w:bCs/>
          <w:color w:val="000000"/>
          <w:sz w:val="26"/>
          <w:szCs w:val="26"/>
          <w:shd w:fill="auto" w:val="clear"/>
        </w:rPr>
        <w:t xml:space="preserve">Требования к объемам и срокам </w:t>
      </w:r>
      <w:r>
        <w:rPr>
          <w:b/>
          <w:bCs/>
          <w:color w:val="000000"/>
          <w:sz w:val="26"/>
          <w:szCs w:val="26"/>
          <w:shd w:fill="auto" w:val="clear"/>
          <w:lang w:val="ru-RU"/>
        </w:rPr>
        <w:t>поставки</w:t>
      </w:r>
      <w:bookmarkEnd w:id="10"/>
    </w:p>
    <w:p>
      <w:pPr>
        <w:pStyle w:val="Heading3"/>
        <w:numPr>
          <w:ilvl w:val="2"/>
          <w:numId w:val="3"/>
        </w:numPr>
        <w:tabs>
          <w:tab w:val="left" w:pos="0" w:leader="none"/>
          <w:tab w:val="left" w:pos="1134" w:leader="none"/>
        </w:tabs>
        <w:spacing w:before="0" w:after="0"/>
        <w:ind w:hanging="0" w:left="567"/>
        <w:rPr>
          <w:b/>
          <w:bCs/>
        </w:rPr>
      </w:pPr>
      <w:bookmarkStart w:id="11" w:name="_Toc75446575"/>
      <w:r>
        <w:rPr>
          <w:b/>
          <w:bCs/>
          <w:color w:val="000000"/>
          <w:sz w:val="26"/>
          <w:szCs w:val="26"/>
          <w:shd w:fill="auto" w:val="clear"/>
        </w:rPr>
        <w:t>Перечень и объем закупаемой продукции</w:t>
      </w:r>
      <w:bookmarkEnd w:id="11"/>
    </w:p>
    <w:p>
      <w:pPr>
        <w:pStyle w:val="Heading1"/>
        <w:tabs>
          <w:tab w:val="clear" w:pos="0"/>
        </w:tabs>
        <w:ind w:hanging="0" w:left="567"/>
        <w:rPr>
          <w:b/>
          <w:bCs/>
        </w:rPr>
      </w:pPr>
      <w:bookmarkStart w:id="12" w:name="_Toc75446576"/>
      <w:bookmarkStart w:id="13" w:name="_Toc51339695"/>
      <w:r>
        <w:rPr>
          <w:b/>
          <w:bCs/>
          <w:color w:val="000000"/>
          <w:sz w:val="24"/>
          <w:szCs w:val="26"/>
          <w:shd w:fill="auto" w:val="clear"/>
        </w:rPr>
        <w:t xml:space="preserve">Таблица 1.1 Перечень </w:t>
      </w:r>
      <w:bookmarkEnd w:id="13"/>
      <w:r>
        <w:rPr>
          <w:b/>
          <w:bCs/>
          <w:color w:val="000000"/>
          <w:sz w:val="24"/>
          <w:szCs w:val="26"/>
          <w:shd w:fill="auto" w:val="clear"/>
        </w:rPr>
        <w:t>и объем закупаемой продукции</w:t>
      </w:r>
      <w:bookmarkEnd w:id="12"/>
    </w:p>
    <w:tbl>
      <w:tblPr>
        <w:tblW w:w="9863" w:type="dxa"/>
        <w:jc w:val="left"/>
        <w:tblInd w:w="3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34"/>
        <w:gridCol w:w="6661"/>
        <w:gridCol w:w="884"/>
        <w:gridCol w:w="1583"/>
      </w:tblGrid>
      <w:tr>
        <w:trPr>
          <w:trHeight w:val="514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3"/>
                <w:szCs w:val="23"/>
                <w:shd w:fill="auto" w:val="clear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3"/>
                <w:szCs w:val="23"/>
                <w:shd w:fill="auto" w:val="clear"/>
              </w:rPr>
              <w:t>п/п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3"/>
                <w:szCs w:val="23"/>
                <w:shd w:fill="auto" w:val="clear"/>
              </w:rPr>
              <w:t>Наименование продукции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3"/>
                <w:szCs w:val="23"/>
                <w:shd w:fill="auto" w:val="clear"/>
              </w:rPr>
              <w:t>Единица измерения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3"/>
                <w:szCs w:val="23"/>
                <w:shd w:fill="auto" w:val="clear"/>
              </w:rPr>
              <w:t>Количество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b/>
                <w:iCs/>
                <w:color w:val="000000" w:themeColor="text1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9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</w:rPr>
              <w:t>Бурейский транспортный участок, Амурская область, п. Талакан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1.1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>Масло гидравлическое</w:t>
            </w:r>
            <w:r>
              <w:rPr>
                <w:color w:val="000000"/>
                <w:shd w:fill="auto" w:val="clear"/>
                <w:lang w:val="ru-RU"/>
              </w:rPr>
              <w:t xml:space="preserve"> ВМГЗ-45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30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1.2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 xml:space="preserve">Масло моторное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М10ДМ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14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1.3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eastAsia="en-US"/>
              </w:rPr>
              <w:t xml:space="preserve">Масло моторное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10W40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15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1.4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 xml:space="preserve">Масло трансмиссионное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ТАД-17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16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1.5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 xml:space="preserve">Масло трансмиссионное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80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W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-90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8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1.6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 xml:space="preserve">Масло трансмиссионное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75W90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17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1.7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 xml:space="preserve">Масло моторное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5W30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60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1.8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>Масло синтетическое для АКПП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50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b/>
                <w:iCs/>
                <w:color w:val="000000" w:themeColor="text1"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9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</w:rPr>
              <w:t>Зейский транспортный участок, Амурская область, г. Зея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2.1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  <w:lang w:val="ru-RU"/>
              </w:rPr>
              <w:t xml:space="preserve">Масло моторное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10W40(H)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2.2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  <w:lang w:val="ru-RU"/>
              </w:rPr>
              <w:t xml:space="preserve">Масло моторное 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5W30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2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2.3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  <w:lang w:val="ru-RU"/>
              </w:rPr>
              <w:t xml:space="preserve">Масло трансмиссионное </w:t>
            </w: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75W90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2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2.4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Охлаждающая низкозамерзающая жидкость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</w:rPr>
              <w:t>2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b/>
                <w:iCs/>
                <w:color w:val="000000" w:themeColor="text1"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9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</w:rPr>
              <w:t>Владивостокский строительный участок, Приморский край, г. Владивосток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3.1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 xml:space="preserve">Масло моторное  </w:t>
            </w:r>
            <w:r>
              <w:rPr>
                <w:rFonts w:eastAsia="Calibri" w:cs=""/>
                <w:color w:val="000000"/>
                <w:kern w:val="0"/>
                <w:sz w:val="20"/>
                <w:shd w:fill="auto" w:val="clear"/>
                <w:lang w:val="ru-RU" w:eastAsia="en-US" w:bidi="ar-SA"/>
              </w:rPr>
              <w:t>5W-40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3</w:t>
            </w:r>
            <w:r>
              <w:rPr>
                <w:color w:val="000000"/>
                <w:sz w:val="24"/>
                <w:szCs w:val="24"/>
                <w:shd w:fill="auto" w:val="clear"/>
              </w:rPr>
              <w:t>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3.2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 xml:space="preserve">Масло моторное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10W-40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3.3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>Масло гидравлическое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  <w:lang w:val="en-US"/>
              </w:rPr>
              <w:t>8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3.4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 xml:space="preserve">Масло трансмиссионное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80W-90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3.5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>Смазка пластичная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400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3.6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 xml:space="preserve">Масло трансмиссионное 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ATF DIII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  <w:lang w:val="en-US"/>
              </w:rPr>
              <w:t>20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3.7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Охлаждающая низкозамерзающая жидкость (красная)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15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3.8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Охлаждающая низкозамерзающая жидкость (зеленая)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b/>
                <w:iCs/>
                <w:color w:val="000000" w:themeColor="text1"/>
                <w:sz w:val="24"/>
                <w:szCs w:val="24"/>
                <w:shd w:fill="auto" w:val="clear"/>
              </w:rPr>
              <w:t>4</w:t>
            </w:r>
          </w:p>
        </w:tc>
        <w:tc>
          <w:tcPr>
            <w:tcW w:w="91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</w:rPr>
              <w:t>Хабаровский транспортный/строительный участок, Хабаровский край, г. Хабаровск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4.1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color w:val="000000"/>
                <w:shd w:fill="auto" w:val="clear"/>
                <w:lang w:eastAsia="en-US"/>
              </w:rPr>
              <w:t>Масло моторное</w:t>
            </w:r>
            <w:r>
              <w:rPr>
                <w:b w:val="false"/>
                <w:color w:val="000000"/>
                <w:shd w:fill="auto" w:val="clear"/>
                <w:lang w:val="ru-RU" w:eastAsia="en-US"/>
              </w:rPr>
              <w:t xml:space="preserve"> </w:t>
            </w:r>
            <w:r>
              <w:rPr>
                <w:rFonts w:eastAsia="Calibri" w:cs=""/>
                <w:b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10W-40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15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4.2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 xml:space="preserve">Масло трансмиссионное  </w:t>
            </w:r>
            <w:r>
              <w:rPr>
                <w:rFonts w:eastAsia="Calibri" w:cs="Times New Roman"/>
                <w:b w:val="false"/>
                <w:bCs w:val="false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75W-90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</w:t>
            </w:r>
            <w:r>
              <w:rPr>
                <w:rFonts w:eastAsia="Calibri" w:cs="Arial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</w:t>
            </w:r>
          </w:p>
        </w:tc>
      </w:tr>
      <w:tr>
        <w:trPr>
          <w:trHeight w:val="290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4.3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>Масло гидравлическое HLP32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25</w:t>
            </w:r>
          </w:p>
        </w:tc>
      </w:tr>
      <w:tr>
        <w:trPr>
          <w:trHeight w:val="285" w:hRule="atLeast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4.4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</w:numPr>
              <w:tabs>
                <w:tab w:val="clear" w:pos="709"/>
                <w:tab w:val="left" w:pos="7545" w:leader="none"/>
              </w:tabs>
              <w:suppressAutoHyphens w:val="false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>Смазка литиевая высокотемпературная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</w:t>
            </w:r>
            <w:r>
              <w:rPr>
                <w:rFonts w:eastAsia="Calibri" w:cs="Arial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00</w:t>
            </w:r>
          </w:p>
        </w:tc>
      </w:tr>
      <w:tr>
        <w:trPr>
          <w:trHeight w:val="270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z w:val="24"/>
                <w:szCs w:val="24"/>
                <w:shd w:fill="auto" w:val="clear"/>
              </w:rPr>
              <w:t>4.5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tabs>
                <w:tab w:val="clear" w:pos="0"/>
                <w:tab w:val="left" w:pos="7545" w:leader="none"/>
              </w:tabs>
              <w:suppressAutoHyphens w:val="false"/>
              <w:spacing w:before="12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>Масло трансмиссионное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40</w:t>
            </w:r>
          </w:p>
        </w:tc>
      </w:tr>
      <w:tr>
        <w:trPr>
          <w:trHeight w:val="285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z w:val="24"/>
                <w:szCs w:val="24"/>
                <w:shd w:fill="auto" w:val="clear"/>
              </w:rPr>
              <w:t>4.6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Охлаждающая низкозамерзающая жидкость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7</w:t>
            </w:r>
          </w:p>
        </w:tc>
      </w:tr>
      <w:tr>
        <w:trPr>
          <w:trHeight w:val="285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/>
                <w:bCs/>
                <w:color w:val="000000"/>
                <w:sz w:val="24"/>
                <w:szCs w:val="24"/>
                <w:shd w:fill="auto" w:val="clear"/>
              </w:rPr>
              <w:t>5</w:t>
            </w:r>
          </w:p>
        </w:tc>
        <w:tc>
          <w:tcPr>
            <w:tcW w:w="91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</w:rPr>
              <w:t>Хабаровский участок расчистки просек, Хабаровский край, г. Хабаровск</w:t>
            </w:r>
          </w:p>
        </w:tc>
      </w:tr>
      <w:tr>
        <w:trPr>
          <w:trHeight w:val="285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5.1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color w:val="000000"/>
                <w:shd w:fill="auto" w:val="clear"/>
                <w:lang w:eastAsia="en-US"/>
              </w:rPr>
              <w:t>Масло моторное</w:t>
            </w:r>
            <w:r>
              <w:rPr>
                <w:b w:val="false"/>
                <w:color w:val="000000"/>
                <w:shd w:fill="auto" w:val="clear"/>
                <w:lang w:val="ru-RU" w:eastAsia="en-US"/>
              </w:rPr>
              <w:t xml:space="preserve"> </w:t>
            </w:r>
            <w:r>
              <w:rPr>
                <w:rFonts w:eastAsia="Calibri" w:cs=""/>
                <w:b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10W-40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7</w:t>
            </w:r>
          </w:p>
        </w:tc>
      </w:tr>
      <w:tr>
        <w:trPr>
          <w:trHeight w:val="285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5.2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>Масло трансмиссионное 75W-90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15</w:t>
            </w:r>
          </w:p>
        </w:tc>
      </w:tr>
      <w:tr>
        <w:trPr>
          <w:trHeight w:val="285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5.3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>Масло гидравлическое HLP32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6</w:t>
            </w:r>
          </w:p>
        </w:tc>
      </w:tr>
      <w:tr>
        <w:trPr>
          <w:trHeight w:val="285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5.4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</w:numPr>
              <w:tabs>
                <w:tab w:val="clear" w:pos="709"/>
                <w:tab w:val="left" w:pos="7545" w:leader="none"/>
              </w:tabs>
              <w:suppressAutoHyphens w:val="false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>Смазка литиевая высокотемпературная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3</w:t>
            </w:r>
            <w:r>
              <w:rPr>
                <w:rFonts w:eastAsia="Calibri" w:cs="Arial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00</w:t>
            </w:r>
          </w:p>
        </w:tc>
      </w:tr>
      <w:tr>
        <w:trPr>
          <w:trHeight w:val="285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5.5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tabs>
                <w:tab w:val="clear" w:pos="0"/>
                <w:tab w:val="left" w:pos="7545" w:leader="none"/>
              </w:tabs>
              <w:suppressAutoHyphens w:val="false"/>
              <w:spacing w:before="120" w:after="0"/>
              <w:ind w:hanging="0" w:left="0" w:right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>Масло трансмиссионное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20</w:t>
            </w:r>
          </w:p>
        </w:tc>
      </w:tr>
      <w:tr>
        <w:trPr>
          <w:trHeight w:val="285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5.6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Охлаждающая низкозамерзающая жидкость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4"/>
                <w:szCs w:val="24"/>
                <w:shd w:fill="auto" w:val="clear"/>
                <w:lang w:eastAsia="en-US" w:bidi="ar-SA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</w:t>
            </w:r>
          </w:p>
        </w:tc>
      </w:tr>
      <w:tr>
        <w:trPr>
          <w:trHeight w:val="285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5.7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jc w:val="left"/>
              <w:rPr>
                <w:rFonts w:ascii="Times New Roman" w:hAnsi="Times New Roman"/>
              </w:rPr>
            </w:pPr>
            <w:r>
              <w:rPr>
                <w:b w:val="false"/>
                <w:color w:val="000000"/>
                <w:shd w:fill="auto" w:val="clear"/>
                <w:lang w:eastAsia="en-US"/>
              </w:rPr>
              <w:t>Масло моторное</w:t>
            </w:r>
            <w:r>
              <w:rPr>
                <w:b w:val="false"/>
                <w:color w:val="000000"/>
                <w:shd w:fill="auto" w:val="clear"/>
                <w:lang w:val="ru-RU" w:eastAsia="en-US"/>
              </w:rPr>
              <w:t xml:space="preserve"> промывочное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4</w:t>
            </w:r>
          </w:p>
        </w:tc>
      </w:tr>
      <w:tr>
        <w:trPr>
          <w:trHeight w:val="285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 w:right="-421"/>
              <w:jc w:val="left"/>
              <w:rPr/>
            </w:pPr>
            <w:r>
              <w:rPr>
                <w:color w:val="auto"/>
              </w:rPr>
              <w:t>5.8.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jc w:val="left"/>
              <w:rPr>
                <w:rFonts w:ascii="Times New Roman" w:hAnsi="Times New Roman"/>
              </w:rPr>
            </w:pPr>
            <w:r>
              <w:rPr/>
              <w:t>Масло двухтактное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150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b/>
                <w:iCs/>
                <w:color w:val="000000" w:themeColor="text1"/>
                <w:sz w:val="24"/>
                <w:szCs w:val="24"/>
                <w:shd w:fill="auto" w:val="clear"/>
              </w:rPr>
              <w:t>6</w:t>
            </w:r>
          </w:p>
        </w:tc>
        <w:tc>
          <w:tcPr>
            <w:tcW w:w="91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</w:rPr>
              <w:t>Партизанский строительный участок, Приморский край, г. Партизанск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6.1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>Масло моторное 5W-40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3</w:t>
            </w:r>
            <w:r>
              <w:rPr>
                <w:color w:val="000000"/>
                <w:sz w:val="24"/>
                <w:szCs w:val="24"/>
                <w:shd w:fill="auto" w:val="clear"/>
              </w:rPr>
              <w:t>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6.2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>Масло моторное 10W-40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6.3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>Масло гидравлическое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6.4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>Масло трансмиссионное 85W-90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6.5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>Смазка пластичная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6</w:t>
            </w:r>
            <w:r>
              <w:rPr>
                <w:color w:val="000000"/>
                <w:sz w:val="24"/>
                <w:szCs w:val="24"/>
                <w:shd w:fill="auto" w:val="clear"/>
              </w:rPr>
              <w:t>00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6.6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>Масло трансмиссионное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3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6.7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Охлаждающая низкозамерзающая жидкость</w:t>
            </w:r>
            <w:r>
              <w:rPr>
                <w:color w:val="000000"/>
                <w:shd w:fill="auto" w:val="clear"/>
                <w:lang w:val="ru-RU"/>
              </w:rPr>
              <w:t xml:space="preserve"> (красная)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15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6.8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Охлаждающая низкозамерзающая жидкость</w:t>
            </w:r>
            <w:r>
              <w:rPr>
                <w:color w:val="000000"/>
                <w:shd w:fill="auto" w:val="clear"/>
                <w:lang w:val="ru-RU"/>
              </w:rPr>
              <w:t xml:space="preserve"> (зеленая)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15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/>
                <w:bCs/>
                <w:color w:val="auto"/>
              </w:rPr>
              <w:t>7</w:t>
            </w:r>
          </w:p>
        </w:tc>
        <w:tc>
          <w:tcPr>
            <w:tcW w:w="91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</w:rPr>
              <w:t>Усть-Среднеканский транспортный участок, Магаданская область, г. Магадан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auto"/>
              </w:rPr>
              <w:t>7.1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>Масло моторное полусинтетическое 5W30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7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auto"/>
              </w:rPr>
              <w:t>7.2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>Масло гидравлическое H32LP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8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auto"/>
              </w:rPr>
              <w:t>7.3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>Масло трансмиссионное 75W-90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3</w:t>
            </w:r>
          </w:p>
        </w:tc>
      </w:tr>
      <w:tr>
        <w:trPr>
          <w:trHeight w:val="359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auto"/>
              </w:rPr>
              <w:t>7.4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Охлаждающая низкозамерзающая жидкость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auto"/>
              </w:rPr>
              <w:t>30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auto"/>
              </w:rPr>
              <w:t>7.5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auto"/>
              </w:rPr>
              <w:t>Смазка литиевая высокотемпературная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auto"/>
              </w:rPr>
              <w:t>4</w:t>
            </w:r>
            <w:r>
              <w:rPr>
                <w:color w:val="auto"/>
              </w:rPr>
              <w:t>00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b/>
                <w:iCs/>
                <w:color w:val="000000" w:themeColor="text1"/>
                <w:sz w:val="24"/>
                <w:szCs w:val="24"/>
                <w:shd w:fill="auto" w:val="clear"/>
              </w:rPr>
              <w:t>8</w:t>
            </w:r>
          </w:p>
        </w:tc>
        <w:tc>
          <w:tcPr>
            <w:tcW w:w="91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b/>
                <w:bCs/>
              </w:rPr>
              <w:t>Колымский транспортный/строительный участок Магаданская область, г. Магадан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8.1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Масло моторное синтетическое 5W30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8.2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Масло гидравлическое всесезонное ВМГЗ-60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8.3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Масло трансмиссионное 10W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7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8.4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Масло трансмиссионное 75W-90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6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8.5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Смазка пластичная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6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8.6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Смазка пластичная Литол-24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6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8.7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Тосол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rFonts w:eastAsia="Calibri" w:cs=""/>
                <w:b/>
                <w:bCs/>
                <w:iCs/>
                <w:color w:val="000000" w:themeColor="text1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9</w:t>
            </w:r>
          </w:p>
        </w:tc>
        <w:tc>
          <w:tcPr>
            <w:tcW w:w="91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/>
                <w:b/>
                <w:bCs/>
                <w:iCs/>
                <w:color w:val="000000" w:themeColor="text1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Южно-Сахалинский участок расчистки просек Сахалинская область, г. Южно-Сахалинск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9.1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>Масло гидравлическое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7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9.2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>Масло моторное М10ДМ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26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9.3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eastAsia="en-US"/>
              </w:rPr>
              <w:t>Масло моторное</w:t>
            </w:r>
            <w:r>
              <w:rPr>
                <w:color w:val="000000"/>
                <w:shd w:fill="auto" w:val="clear"/>
                <w:lang w:val="ru-RU" w:eastAsia="en-US"/>
              </w:rPr>
              <w:t xml:space="preserve"> 10W-40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9.4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>Масло трансмиссионное 75W-90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9.5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</w:rPr>
              <w:t>Масло трансмиссионное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150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9.6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>Масло моторное двухтактное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600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9.7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color w:val="000000"/>
                <w:shd w:fill="auto" w:val="clear"/>
                <w:lang w:val="ru-RU"/>
              </w:rPr>
              <w:t>Масло моторное 5W30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16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/>
            </w:pPr>
            <w:r>
              <w:rPr>
                <w:color w:val="000000"/>
                <w:sz w:val="24"/>
                <w:szCs w:val="24"/>
                <w:shd w:fill="auto" w:val="clear"/>
              </w:rPr>
              <w:t>9.</w:t>
            </w:r>
            <w:r>
              <w:rPr>
                <w:color w:val="000000"/>
                <w:sz w:val="24"/>
                <w:szCs w:val="24"/>
                <w:shd w:fill="auto" w:val="clear"/>
              </w:rPr>
              <w:t>8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x-none" w:bidi="ar-SA"/>
              </w:rPr>
              <w:t>Охлаждающая низкозамерзающая жидкость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10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bCs/>
                <w:color w:val="000000"/>
                <w:shd w:fill="auto" w:val="clear"/>
              </w:rPr>
              <w:t>9.</w:t>
            </w:r>
            <w:r>
              <w:rPr>
                <w:bCs/>
                <w:color w:val="000000"/>
                <w:shd w:fill="auto" w:val="clear"/>
              </w:rPr>
              <w:t>9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-5"/>
                <w:sz w:val="24"/>
                <w:szCs w:val="24"/>
                <w:shd w:fill="auto" w:val="clear"/>
                <w:lang w:val="ru-RU" w:eastAsia="zh-CN"/>
              </w:rPr>
              <w:t>Смазка литиевая высокотемпературная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2</w:t>
            </w:r>
            <w:r>
              <w:rPr>
                <w:color w:val="000000"/>
                <w:sz w:val="24"/>
                <w:szCs w:val="24"/>
                <w:shd w:fill="auto" w:val="clear"/>
              </w:rPr>
              <w:t>00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91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" w:ascii="Calibri" w:hAnsi="Calibri"/>
                <w:b/>
                <w:bCs/>
                <w:i w:val="false"/>
                <w:iCs/>
                <w:color w:val="000000"/>
                <w:kern w:val="0"/>
                <w:sz w:val="22"/>
                <w:szCs w:val="24"/>
                <w:shd w:fill="auto" w:val="clear"/>
                <w:lang w:val="ru-RU" w:eastAsia="en-US" w:bidi="ar-SA"/>
              </w:rPr>
              <w:t>Нижне-Бурейский</w:t>
            </w:r>
            <w:r>
              <w:rPr>
                <w:rFonts w:eastAsia="Calibri" w:cs=""/>
                <w:b/>
                <w:bCs/>
                <w:iCs/>
                <w:color w:val="000000" w:themeColor="text1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транспортный участок</w:t>
            </w:r>
            <w:r>
              <w:rPr>
                <w:rFonts w:eastAsia="Calibri" w:cs=""/>
                <w:b/>
                <w:bCs/>
                <w:iCs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iCs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Амурская область, пгт. Новобурейский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10.1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Масло моторное 10W30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5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10.2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Масло моторное 10W40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23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10.3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Масло моторное М10ДМ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6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10.4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Масло гидравлическое всесезонное ВМГЗ-60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5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10.5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 трансмиссионное ТАД-17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11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10.6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Смазка пластичная Литол-24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10.7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Тосол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</w:t>
            </w:r>
          </w:p>
        </w:tc>
      </w:tr>
      <w:tr>
        <w:trPr>
          <w:trHeight w:val="256" w:hRule="atLeast"/>
        </w:trPr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hanging="0" w:left="0"/>
              <w:jc w:val="left"/>
              <w:rPr/>
            </w:pPr>
            <w:r>
              <w:rPr>
                <w:color w:val="000000"/>
                <w:shd w:fill="auto" w:val="clear"/>
              </w:rPr>
              <w:t>10.</w:t>
            </w:r>
            <w:r>
              <w:rPr>
                <w:color w:val="000000"/>
                <w:shd w:fill="auto" w:val="clear"/>
              </w:rPr>
              <w:t>8</w:t>
            </w:r>
          </w:p>
        </w:tc>
        <w:tc>
          <w:tcPr>
            <w:tcW w:w="6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auto" w:val="clear"/>
                <w:lang w:eastAsia="en-US"/>
              </w:rPr>
              <w:t>Антифриз -50C</w:t>
            </w:r>
          </w:p>
        </w:tc>
        <w:tc>
          <w:tcPr>
            <w:tcW w:w="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z w:val="24"/>
                <w:szCs w:val="24"/>
                <w:shd w:fill="auto" w:val="clear"/>
              </w:rPr>
              <w:t>шт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34</w:t>
            </w:r>
          </w:p>
        </w:tc>
      </w:tr>
    </w:tbl>
    <w:p>
      <w:pPr>
        <w:pStyle w:val="Heading3"/>
        <w:numPr>
          <w:ilvl w:val="0"/>
          <w:numId w:val="0"/>
        </w:numPr>
        <w:spacing w:before="0" w:after="0"/>
        <w:ind w:hanging="0" w:left="0"/>
        <w:rPr>
          <w:color w:val="000000"/>
          <w:sz w:val="26"/>
          <w:szCs w:val="26"/>
          <w:shd w:fill="auto" w:val="clear"/>
        </w:rPr>
      </w:pPr>
      <w:r>
        <w:rPr>
          <w:color w:val="000000"/>
          <w:sz w:val="26"/>
          <w:szCs w:val="26"/>
          <w:shd w:fill="auto" w:val="clear"/>
        </w:rPr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before="0" w:after="0"/>
        <w:ind w:firstLine="567" w:left="0"/>
        <w:rPr/>
      </w:pPr>
      <w:bookmarkStart w:id="14" w:name="_Toc75446578"/>
      <w:bookmarkStart w:id="15" w:name="_Toc51339696"/>
      <w:r>
        <w:rPr>
          <w:b/>
          <w:bCs/>
          <w:color w:val="000000"/>
          <w:sz w:val="26"/>
          <w:szCs w:val="26"/>
          <w:shd w:fill="auto" w:val="clear"/>
        </w:rPr>
        <w:t xml:space="preserve">Требования </w:t>
      </w:r>
      <w:bookmarkEnd w:id="15"/>
      <w:r>
        <w:rPr>
          <w:b/>
          <w:bCs/>
          <w:color w:val="000000"/>
          <w:sz w:val="26"/>
          <w:szCs w:val="26"/>
          <w:shd w:fill="auto" w:val="clear"/>
        </w:rPr>
        <w:t xml:space="preserve">к </w:t>
      </w:r>
      <w:r>
        <w:rPr>
          <w:rFonts w:eastAsia="Calibri" w:cs="Times New Roman"/>
          <w:b/>
          <w:bCs/>
          <w:color w:val="000000"/>
          <w:kern w:val="0"/>
          <w:sz w:val="26"/>
          <w:szCs w:val="26"/>
          <w:shd w:fill="auto" w:val="clear"/>
          <w:lang w:val="x-none" w:eastAsia="x-none" w:bidi="ar-SA"/>
        </w:rPr>
        <w:t>срокам</w:t>
      </w:r>
      <w:r>
        <w:rPr>
          <w:b/>
          <w:bCs/>
          <w:color w:val="000000"/>
          <w:sz w:val="26"/>
          <w:szCs w:val="26"/>
          <w:shd w:fill="auto" w:val="clear"/>
        </w:rPr>
        <w:t xml:space="preserve"> поставки продукции и оказания сопутствующих услуг</w:t>
      </w:r>
      <w:bookmarkEnd w:id="14"/>
    </w:p>
    <w:p>
      <w:pPr>
        <w:pStyle w:val="Heading1"/>
        <w:tabs>
          <w:tab w:val="clear" w:pos="0"/>
        </w:tabs>
        <w:ind w:hanging="0" w:left="567"/>
        <w:rPr>
          <w:b/>
          <w:bCs/>
        </w:rPr>
      </w:pPr>
      <w:bookmarkStart w:id="16" w:name="_Toc75446579"/>
      <w:bookmarkStart w:id="17" w:name="_Toc50125127"/>
      <w:bookmarkStart w:id="18" w:name="_Toc51339697"/>
      <w:bookmarkStart w:id="19" w:name="_Toc501251261"/>
      <w:bookmarkEnd w:id="19"/>
      <w:r>
        <w:rPr>
          <w:b/>
          <w:bCs/>
          <w:sz w:val="26"/>
          <w:szCs w:val="26"/>
        </w:rPr>
        <w:t xml:space="preserve">Таблица </w:t>
      </w:r>
      <w:r>
        <w:rPr>
          <w:b/>
          <w:bCs/>
          <w:sz w:val="26"/>
          <w:szCs w:val="26"/>
          <w:lang w:val="ru-RU"/>
        </w:rPr>
        <w:t>2</w:t>
      </w:r>
      <w:r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  <w:lang w:val="ru-RU"/>
        </w:rPr>
        <w:t>1</w:t>
      </w:r>
      <w:r>
        <w:rPr>
          <w:b/>
          <w:bCs/>
          <w:sz w:val="26"/>
          <w:szCs w:val="26"/>
        </w:rPr>
        <w:t xml:space="preserve"> </w:t>
      </w:r>
      <w:bookmarkStart w:id="20" w:name="_Hlk50465284"/>
      <w:r>
        <w:rPr>
          <w:b/>
          <w:bCs/>
          <w:sz w:val="26"/>
          <w:szCs w:val="26"/>
        </w:rPr>
        <w:t xml:space="preserve">Требования по срокам </w:t>
      </w:r>
      <w:bookmarkEnd w:id="17"/>
      <w:bookmarkEnd w:id="18"/>
      <w:bookmarkEnd w:id="20"/>
      <w:r>
        <w:rPr>
          <w:b/>
          <w:bCs/>
          <w:sz w:val="26"/>
          <w:szCs w:val="26"/>
          <w:lang w:val="ru-RU"/>
        </w:rPr>
        <w:t>поставки продукции</w:t>
      </w:r>
      <w:bookmarkEnd w:id="16"/>
      <w:r>
        <w:rPr>
          <w:b/>
          <w:bCs/>
          <w:sz w:val="26"/>
          <w:szCs w:val="26"/>
          <w:lang w:val="ru-RU"/>
        </w:rPr>
        <w:t xml:space="preserve"> </w:t>
      </w:r>
    </w:p>
    <w:tbl>
      <w:tblPr>
        <w:tblW w:w="10060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5"/>
        <w:gridCol w:w="2960"/>
        <w:gridCol w:w="3277"/>
        <w:gridCol w:w="3117"/>
      </w:tblGrid>
      <w:tr>
        <w:trPr/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bookmarkStart w:id="21" w:name="_Toc46743510"/>
            <w:r>
              <w:rPr>
                <w:b/>
                <w:sz w:val="24"/>
                <w:szCs w:val="24"/>
              </w:rPr>
              <w:t>4</w:t>
            </w:r>
            <w:bookmarkEnd w:id="21"/>
          </w:p>
        </w:tc>
      </w:tr>
      <w:tr>
        <w:trPr>
          <w:trHeight w:val="417" w:hRule="atLeast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bookmarkStart w:id="22" w:name="_Toc54785622"/>
            <w:bookmarkStart w:id="23" w:name="_Toc54785622"/>
            <w:bookmarkEnd w:id="23"/>
          </w:p>
        </w:tc>
        <w:tc>
          <w:tcPr>
            <w:tcW w:w="2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8"/>
                <w:rFonts w:eastAsia="Calibri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</w:rPr>
              <w:t>ОКПД2: 20.59.41.000 Поставка смазочных материалов и технических жидкостей в Хабаровский край, Приморский край, Амурскую область, Магаданскую область, Сахалинскую область для нужд Дальневосточного филиала АО ТК «РусГидро»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поступления от Покупателя в адрес Поставщика заявки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30 (тридцати) календарных дней с даты поступления от Покупателя в адрес Поставщика заявки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tabs>
          <w:tab w:val="left" w:pos="0" w:leader="none"/>
          <w:tab w:val="left" w:pos="851" w:leader="none"/>
        </w:tabs>
        <w:ind w:hanging="6" w:left="567"/>
        <w:rPr>
          <w:b/>
          <w:bCs/>
        </w:rPr>
      </w:pPr>
      <w:bookmarkStart w:id="24" w:name="_Toc51339698"/>
      <w:bookmarkStart w:id="25" w:name="_Toc75446581"/>
      <w:bookmarkStart w:id="26" w:name="_Toc46743511"/>
      <w:r>
        <w:rPr>
          <w:b/>
          <w:bCs/>
          <w:sz w:val="26"/>
          <w:szCs w:val="26"/>
        </w:rPr>
        <w:t xml:space="preserve">Требования к </w:t>
      </w:r>
      <w:bookmarkEnd w:id="26"/>
      <w:r>
        <w:rPr>
          <w:b/>
          <w:bCs/>
          <w:sz w:val="26"/>
          <w:szCs w:val="26"/>
        </w:rPr>
        <w:t>качеству продукции</w:t>
      </w:r>
      <w:bookmarkEnd w:id="25"/>
    </w:p>
    <w:p>
      <w:pPr>
        <w:pStyle w:val="Heading1"/>
        <w:tabs>
          <w:tab w:val="clear" w:pos="0"/>
          <w:tab w:val="left" w:pos="851" w:leader="none"/>
        </w:tabs>
        <w:ind w:firstLine="284" w:left="0"/>
        <w:rPr>
          <w:b/>
          <w:bCs/>
        </w:rPr>
      </w:pPr>
      <w:r>
        <w:rPr>
          <w:b/>
          <w:bCs/>
          <w:sz w:val="26"/>
          <w:szCs w:val="26"/>
        </w:rPr>
        <w:t xml:space="preserve"> </w:t>
      </w:r>
      <w:bookmarkStart w:id="27" w:name="_Toc75446582"/>
      <w:r>
        <w:rPr>
          <w:b/>
          <w:bCs/>
          <w:sz w:val="26"/>
          <w:szCs w:val="26"/>
          <w:lang w:val="ru-RU"/>
        </w:rPr>
        <w:t xml:space="preserve"> </w:t>
      </w:r>
      <w:r>
        <w:rPr>
          <w:b/>
          <w:bCs/>
          <w:sz w:val="26"/>
          <w:szCs w:val="26"/>
        </w:rPr>
        <w:t>Таблица </w:t>
      </w:r>
      <w:r>
        <w:rPr>
          <w:b/>
          <w:bCs/>
          <w:sz w:val="26"/>
          <w:szCs w:val="26"/>
          <w:lang w:val="ru-RU"/>
        </w:rPr>
        <w:t>3</w:t>
      </w:r>
      <w:r>
        <w:rPr>
          <w:b/>
          <w:bCs/>
          <w:sz w:val="26"/>
          <w:szCs w:val="26"/>
        </w:rPr>
        <w:t xml:space="preserve">. Требования к качеству </w:t>
      </w:r>
      <w:r>
        <w:rPr>
          <w:b/>
          <w:bCs/>
          <w:sz w:val="26"/>
          <w:szCs w:val="26"/>
          <w:lang w:val="ru-RU"/>
        </w:rPr>
        <w:t>продукции</w:t>
      </w:r>
      <w:bookmarkEnd w:id="27"/>
      <w:r>
        <w:rPr>
          <w:b/>
          <w:bCs/>
          <w:sz w:val="26"/>
          <w:szCs w:val="26"/>
        </w:rPr>
        <w:t xml:space="preserve"> </w:t>
      </w:r>
      <w:bookmarkEnd w:id="24"/>
    </w:p>
    <w:p>
      <w:pPr>
        <w:pStyle w:val="Normal"/>
        <w:tabs>
          <w:tab w:val="clear" w:pos="709"/>
          <w:tab w:val="left" w:pos="851" w:leader="none"/>
        </w:tabs>
        <w:ind w:hanging="6" w:left="5038"/>
        <w:rPr>
          <w:rStyle w:val="Style8"/>
          <w:b w:val="false"/>
          <w:sz w:val="26"/>
          <w:szCs w:val="26"/>
        </w:rPr>
      </w:pPr>
      <w:r>
        <w:rPr>
          <w:b w:val="false"/>
          <w:sz w:val="26"/>
          <w:szCs w:val="26"/>
        </w:rPr>
      </w:r>
    </w:p>
    <w:p>
      <w:pPr>
        <w:pStyle w:val="Normal"/>
        <w:tabs>
          <w:tab w:val="clear" w:pos="709"/>
          <w:tab w:val="left" w:pos="851" w:leader="none"/>
        </w:tabs>
        <w:jc w:val="both"/>
        <w:rPr>
          <w:sz w:val="26"/>
          <w:szCs w:val="26"/>
        </w:rPr>
      </w:pPr>
      <w:r>
        <w:rPr>
          <w:b/>
          <w:bCs/>
          <w:sz w:val="24"/>
          <w:szCs w:val="26"/>
        </w:rPr>
        <w:t>Наименование продукции</w:t>
      </w:r>
      <w:r>
        <w:rPr>
          <w:sz w:val="24"/>
          <w:szCs w:val="26"/>
        </w:rPr>
        <w:t xml:space="preserve"> </w:t>
      </w:r>
      <w:r>
        <w:rPr>
          <w:b/>
          <w:bCs/>
          <w:sz w:val="24"/>
          <w:szCs w:val="26"/>
        </w:rPr>
        <w:t>( позиции № 1.1.-1.8; 2.1-2.5; 3.1-3.10; 4.1-4.6; 5.1-5.8; 6.1-6.10; 7.1-.75; 8.1-8.10; 9.1-9.11Таблицы 1.1.):</w:t>
      </w:r>
      <w:r>
        <w:rPr>
          <w:sz w:val="24"/>
          <w:szCs w:val="26"/>
        </w:rPr>
        <w:t xml:space="preserve"> 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0"/>
          <w:kern w:val="0"/>
          <w:sz w:val="24"/>
          <w:szCs w:val="26"/>
          <w:shd w:fill="auto" w:val="clear"/>
          <w:lang w:val="ru-RU" w:eastAsia="ru-RU" w:bidi="ar-SA"/>
        </w:rPr>
        <w:t xml:space="preserve"> </w:t>
      </w:r>
      <w:r>
        <w:rPr>
          <w:rStyle w:val="Style8"/>
          <w:rFonts w:eastAsia="Times New Roman" w:cs="Times New Roman"/>
          <w:b w:val="false"/>
          <w:bCs w:val="false"/>
          <w:i w:val="false"/>
          <w:iCs w:val="false"/>
          <w:color w:val="000000"/>
          <w:kern w:val="0"/>
          <w:sz w:val="24"/>
          <w:szCs w:val="26"/>
          <w:shd w:fill="auto" w:val="clear"/>
          <w:lang w:val="ru-RU" w:eastAsia="ru-RU" w:bidi="ar-SA"/>
        </w:rPr>
        <w:t>ОКПД2: 20.59.41.000 Поставка смазочных материалов и технических жидкостей в Хабаровский край, Приморский край, Амурскую область, Магаданскую область, Сахалинскую область для нужд Дальневосточного филиала АО ТК «РусГидро»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1c"/>
        <w:tblW w:w="15363" w:type="dxa"/>
        <w:jc w:val="left"/>
        <w:tblInd w:w="2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5"/>
        <w:gridCol w:w="1750"/>
        <w:gridCol w:w="4263"/>
        <w:gridCol w:w="1300"/>
        <w:gridCol w:w="2212"/>
        <w:gridCol w:w="2100"/>
        <w:gridCol w:w="3112"/>
      </w:tblGrid>
      <w:tr>
        <w:trPr>
          <w:trHeight w:val="311" w:hRule="atLeast"/>
        </w:trPr>
        <w:tc>
          <w:tcPr>
            <w:tcW w:w="6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№ </w:t>
            </w:r>
            <w:r>
              <w:rPr>
                <w:rFonts w:eastAsia="Calibri" w:cs=""/>
                <w:b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п/п</w:t>
            </w:r>
          </w:p>
        </w:tc>
        <w:tc>
          <w:tcPr>
            <w:tcW w:w="175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5563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Требования заказчика</w:t>
            </w:r>
          </w:p>
        </w:tc>
        <w:tc>
          <w:tcPr>
            <w:tcW w:w="4312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11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0" w:hRule="atLeast"/>
        </w:trPr>
        <w:tc>
          <w:tcPr>
            <w:tcW w:w="6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color w:val="000000" w:themeColor="text1"/>
                <w:sz w:val="20"/>
                <w:szCs w:val="20"/>
                <w:shd w:fill="auto" w:val="clear"/>
              </w:rPr>
            </w:r>
          </w:p>
        </w:tc>
        <w:tc>
          <w:tcPr>
            <w:tcW w:w="175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b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</w:r>
          </w:p>
        </w:tc>
        <w:tc>
          <w:tcPr>
            <w:tcW w:w="5563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/>
                <w:b/>
                <w:sz w:val="20"/>
                <w:szCs w:val="20"/>
                <w:highlight w:val="none"/>
                <w:shd w:fill="auto" w:val="clear"/>
              </w:rPr>
            </w:pPr>
            <w:r>
              <w:rPr>
                <w:b/>
                <w:sz w:val="20"/>
                <w:szCs w:val="20"/>
                <w:shd w:fill="auto" w:val="clear"/>
              </w:rPr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112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70" w:hRule="atLeast"/>
        </w:trPr>
        <w:tc>
          <w:tcPr>
            <w:tcW w:w="62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50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6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>
        <w:trPr>
          <w:trHeight w:val="70" w:hRule="atLeast"/>
        </w:trPr>
        <w:tc>
          <w:tcPr>
            <w:tcW w:w="62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1.</w:t>
            </w:r>
          </w:p>
        </w:tc>
        <w:tc>
          <w:tcPr>
            <w:tcW w:w="7313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31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62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</w:t>
            </w:r>
          </w:p>
        </w:tc>
        <w:tc>
          <w:tcPr>
            <w:tcW w:w="1473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 поставки: Бурейский транспортный участок, Амурская область, п. Талакан</w:t>
            </w:r>
          </w:p>
        </w:tc>
      </w:tr>
      <w:tr>
        <w:trPr>
          <w:trHeight w:val="70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.1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Масло гидравлическое</w:t>
            </w: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 ВМГЗ-45</w:t>
            </w:r>
          </w:p>
        </w:tc>
        <w:tc>
          <w:tcPr>
            <w:tcW w:w="4263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ВМГЗ-45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кинематическая, мм2 (сСт):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при 50°С - не менее 10 сСт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при минус 30°С - не более 1500 сСт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- не менее 100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определяемая в открытом тигле - не менее 140°С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 - не менее -45°С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Кислотное число - не более 0,4 мг КОН/г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20°С - не более 880 кг/м3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Стабильность против окисления: массовая доля осадка - не более 0,05%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</w:t>
            </w:r>
          </w:p>
        </w:tc>
        <w:tc>
          <w:tcPr>
            <w:tcW w:w="1300" w:type="dxa"/>
            <w:tcBorders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30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469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1.2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Масло моторное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М10ДМ</w:t>
            </w:r>
          </w:p>
        </w:tc>
        <w:tc>
          <w:tcPr>
            <w:tcW w:w="4263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М10ДМ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мм2/с: при 100 °С - не менее 11,4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вязкости, не менее 90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Содержание механических примесей, %, не более 0,025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закрытом тигле, °С, не менее 220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°С, не менее -18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КОН/г, не менее 8,2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%, не более 1,5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г/см3, не более 0,905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50 л</w:t>
            </w:r>
          </w:p>
        </w:tc>
        <w:tc>
          <w:tcPr>
            <w:tcW w:w="1300" w:type="dxa"/>
            <w:tcBorders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14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469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1.3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eastAsia="en-US"/>
              </w:rPr>
              <w:t xml:space="preserve">Масло моторное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10W40</w:t>
            </w:r>
          </w:p>
        </w:tc>
        <w:tc>
          <w:tcPr>
            <w:tcW w:w="4263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KIXX Dynamic Turbo 10W40 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SAE - 10W-40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Плотность, кг/л при 15°C не менее 0.8658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40°C не менее 100.7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100°C не менее 14.99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156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потери текучести, °C не менее -39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COC, °C не менее 225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КОН/г не менее 9.11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л.</w:t>
            </w:r>
          </w:p>
        </w:tc>
        <w:tc>
          <w:tcPr>
            <w:tcW w:w="1300" w:type="dxa"/>
            <w:tcBorders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15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469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1.4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Масло трансмиссионное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ТАД-17</w:t>
            </w:r>
          </w:p>
        </w:tc>
        <w:tc>
          <w:tcPr>
            <w:tcW w:w="4263" w:type="dxa"/>
            <w:tcBorders>
              <w:top w:val="nil"/>
              <w:left w:val="single" w:sz="4" w:space="0" w:color="2A6099"/>
              <w:bottom w:val="single" w:sz="4" w:space="0" w:color="2A6099"/>
              <w:right w:val="single" w:sz="4" w:space="0" w:color="2A6099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ТАД-17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качества API: GL-5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Температурный интервал использования: от -25°C до +50°C.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(при 100°C): не менее 17,5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вязкости: не менее 90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10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16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469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1.5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Масло трансмиссионное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80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W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-90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80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W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-90 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API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GL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15°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C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, г/мл, 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ASTM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D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4052: 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не менее 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0,901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Температура вспышки в открытом тигле Кливленда, °C, ASTM D 92: 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не менее 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222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Кинематическая вязкость при 100°C, мм2/с, ASTM D445: 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не менее 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14,3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Кинематическая вязкость при 40°C, мм2/с, ASTM D445: 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не менее 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131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4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469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1.6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Масло трансмиссионное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75W90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75W90  GL-5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SAE: 75W-90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Плотность, кг/л при 15°C не менее 0.869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40°C не менее 85.7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100°C не менее 14.56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178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потери текучести, °C не менее -43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Температура вспышки, COC,°C не менее 225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Фасовка 4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17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469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1.7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Масло моторное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5W30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5W30 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15 °С, г/мл - не менее 0,85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100 °С, мм²/с - не менее 11,6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40 °С, мм²/с - не менее 66,0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- не менее 173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вязкость, CCS при -30 °С, мПа*с (сП) - не менее 5700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- не менее -40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°С не - менее 204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 масс. - не более 1,0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4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469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1.8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>Масло синтетическое для АКПП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Dextron ATF III  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40 °С, мм²/с: не менее 23.11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100 °С, мм²/с: не менее 5.32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вязкости: не менее 171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Точка потери текучести, °С: не менее -44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(TBN): не менее 6,00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Кислотное число (TAN):  не менее 2,01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Цвет: Красный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4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50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bookmarkStart w:id="28" w:name="_GoBack"/>
            <w:bookmarkEnd w:id="28"/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</w:t>
            </w:r>
          </w:p>
        </w:tc>
        <w:tc>
          <w:tcPr>
            <w:tcW w:w="1473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Зейский транспортный участок, Амурская область, г. Зея</w:t>
            </w:r>
          </w:p>
        </w:tc>
      </w:tr>
      <w:tr>
        <w:trPr>
          <w:trHeight w:val="387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2.1.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Масло моторное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10W40(H)</w:t>
            </w:r>
          </w:p>
        </w:tc>
        <w:tc>
          <w:tcPr>
            <w:tcW w:w="4263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 xml:space="preserve">Hyundai HD HCE GENUINE ENGINE OIL CL-4 10W40(H) 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SAE - 10W-40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Плотность, кг/л при 15°C не менее 0.8658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40°C не менее 100.7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100°C не менее 14.99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156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потери текучести, °C не менее -39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COC, °C не менее 225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КОН/г не менее 9.11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2.2.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Масло моторное 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5W30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 xml:space="preserve">TEXACO Ursa Premium FE 5W30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15 °С, г/мл - не менее 0,85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100 °С, мм²/с - не менее 11,6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40 °С, мм²/с - не менее 66,0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- не менее 173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вязкость, CCS при -30 °С, мПа*с (сП) - не менее 5700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- не менее -40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°С не - менее 204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 масс. - не более 1,0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2.3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Масло трансмиссионное </w:t>
            </w: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75W90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Shantui Heavy Duty Gear Oil GL-5  75W90 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SAE: 75W-90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Плотность, кг/л при 15°C не менее 0.869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40°C не менее 85.7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100°C не менее 14.56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178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потери текучести, °C не менее -43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COC,°C не менее 225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2.4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Охлаждающая низкозамерзающая жидкость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TEXACO HDAX ELC PREMIXED 50/50 или эквивалент.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20°С, г/см3: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1,065-1,085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начала кристаллизации, °С-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не выше минус 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кипения, °С не менее 110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</w:t>
            </w:r>
          </w:p>
        </w:tc>
        <w:tc>
          <w:tcPr>
            <w:tcW w:w="1473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Владивостокский строительный участок, Приморский край, г. Владивосток</w:t>
            </w:r>
          </w:p>
        </w:tc>
      </w:tr>
      <w:tr>
        <w:trPr>
          <w:trHeight w:val="387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3.1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Масло моторное 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5W-40</w:t>
            </w:r>
          </w:p>
        </w:tc>
        <w:tc>
          <w:tcPr>
            <w:tcW w:w="4263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LUKOIL AVANTGARDE ULTRA 5W-40 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13,9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172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 (CCS) при -30°С, мПа· не более 5 900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Испаряемость по методу Ноака, % не менее 9,1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 не более 1,35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 не более 235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-48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 на 1 г масла не менее 11,5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</w:t>
            </w:r>
          </w:p>
        </w:tc>
        <w:tc>
          <w:tcPr>
            <w:tcW w:w="1300" w:type="dxa"/>
            <w:tcBorders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30</w:t>
            </w:r>
          </w:p>
        </w:tc>
        <w:tc>
          <w:tcPr>
            <w:tcW w:w="2212" w:type="dxa"/>
            <w:tcBorders>
              <w:top w:val="single" w:sz="4" w:space="0" w:color="111111"/>
              <w:left w:val="single" w:sz="4" w:space="0" w:color="111111"/>
              <w:bottom w:val="single" w:sz="4" w:space="0" w:color="111111"/>
              <w:right w:val="single" w:sz="4" w:space="0" w:color="111111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3.2.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Масло моторное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10W-40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LUKOIL AVANTGARDE ULTRA 10W-40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15 °С, кг/м3 не более 861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14,3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 (CCS) при -25 °С, мПа·с не менее 6 350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–44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Испаряемость по методу Ноака, % не менее 8,6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 не более 236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 не менее 1,35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КОН/г не менее 9.11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3.3.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Масло гидравлическое</w:t>
            </w:r>
          </w:p>
        </w:tc>
        <w:tc>
          <w:tcPr>
            <w:tcW w:w="4263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ЛУКОЙЛ ГЕЙЗЕР ЛТ 46</w:t>
            </w: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851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40 °С, мм2/с не менее 42,4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7,9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–20 °С, мм2/с не менее 2 099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менее 232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–40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Воздухоотделение при 50 °С, мин не менее 5,8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8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iCs/>
                <w:color w:val="70AD47" w:themeColor="accent6"/>
                <w:sz w:val="20"/>
                <w:szCs w:val="20"/>
                <w:lang w:eastAsia="en-US"/>
              </w:rPr>
            </w:pPr>
            <w:r>
              <w:rPr>
                <w:rFonts w:eastAsia="Calibri"/>
                <w:iCs/>
                <w:color w:val="70AD47" w:themeColor="accent6"/>
                <w:sz w:val="20"/>
                <w:szCs w:val="20"/>
                <w:lang w:eastAsia="en-US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3.4.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 xml:space="preserve">Масло трансмиссионное </w:t>
            </w:r>
            <w:r>
              <w:rPr>
                <w:rFonts w:eastAsia="Calibri" w:cs="Arial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80W-90</w:t>
            </w:r>
          </w:p>
        </w:tc>
        <w:tc>
          <w:tcPr>
            <w:tcW w:w="4263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ЛУКОЙЛ ТМ-5 80W-90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16,6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 при -26 °C, мПа</w:t>
            </w:r>
            <w:r>
              <w:rPr>
                <w:rFonts w:eastAsia="Calibri" w:cs="Cambria Math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⋅</w:t>
            </w:r>
            <w:r>
              <w:rPr>
                <w:rFonts w:eastAsia="Calibri" w:cs="Calibr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не менее 142 000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менее 240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–32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3.5.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>Смазка пластичная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 w:val="false"/>
                <w:bCs w:val="false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ЛУКОЙЛ УНИФЛЕКС EP 2-150 или эквивалент,</w:t>
            </w:r>
          </w:p>
          <w:p>
            <w:pPr>
              <w:pStyle w:val="Normal"/>
              <w:widowControl w:val="false"/>
              <w:spacing w:before="0" w:after="0"/>
              <w:ind w:hanging="0" w:left="0" w:right="0"/>
              <w:jc w:val="left"/>
              <w:rPr/>
            </w:pPr>
            <w:r>
              <w:rPr>
                <w:rFonts w:eastAsia="Calibri" w:cs=""/>
                <w:b w:val="false"/>
                <w:bCs w:val="false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Температура применения (°С min) о</w:t>
            </w:r>
            <w:hyperlink r:id="rId5">
              <w:r>
                <w:rPr>
                  <w:rStyle w:val="Hyperlink"/>
                  <w:rFonts w:eastAsia="Calibri" w:cs=""/>
                  <w:b w:val="false"/>
                  <w:bCs w:val="false"/>
                  <w:i w:val="false"/>
                  <w:iCs w:val="false"/>
                  <w:color w:val="000000"/>
                  <w:kern w:val="0"/>
                  <w:sz w:val="20"/>
                  <w:szCs w:val="20"/>
                  <w:u w:val="none"/>
                  <w:shd w:fill="auto" w:val="clear"/>
                  <w:lang w:val="ru-RU" w:eastAsia="en-US" w:bidi="ar-SA"/>
                </w:rPr>
                <w:t>т –30</w:t>
              </w:r>
            </w:hyperlink>
          </w:p>
          <w:p>
            <w:pPr>
              <w:pStyle w:val="Normal"/>
              <w:widowControl w:val="false"/>
              <w:spacing w:before="0" w:after="0"/>
              <w:ind w:hanging="0" w:left="0" w:right="0"/>
              <w:jc w:val="left"/>
              <w:rPr/>
            </w:pPr>
            <w:r>
              <w:rPr>
                <w:rFonts w:eastAsia="Calibri" w:cs=""/>
                <w:b w:val="false"/>
                <w:bCs w:val="false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Температура применения (°С max) д</w:t>
            </w:r>
            <w:hyperlink r:id="rId6">
              <w:r>
                <w:rPr>
                  <w:rStyle w:val="Hyperlink"/>
                  <w:rFonts w:eastAsia="Calibri" w:cs=""/>
                  <w:b w:val="false"/>
                  <w:bCs w:val="false"/>
                  <w:i w:val="false"/>
                  <w:iCs w:val="false"/>
                  <w:color w:val="000000"/>
                  <w:kern w:val="0"/>
                  <w:sz w:val="20"/>
                  <w:szCs w:val="20"/>
                  <w:u w:val="none"/>
                  <w:shd w:fill="auto" w:val="clear"/>
                  <w:lang w:val="ru-RU" w:eastAsia="en-US" w:bidi="ar-SA"/>
                </w:rPr>
                <w:t>о +120</w:t>
              </w:r>
            </w:hyperlink>
          </w:p>
          <w:p>
            <w:pPr>
              <w:pStyle w:val="Normal"/>
              <w:widowControl w:val="false"/>
              <w:spacing w:before="0" w:after="0"/>
              <w:ind w:hanging="0" w:left="0" w:right="0"/>
              <w:jc w:val="left"/>
              <w:rPr/>
            </w:pPr>
            <w:r>
              <w:rPr>
                <w:rFonts w:eastAsia="Calibri" w:cs=""/>
                <w:b w:val="false"/>
                <w:bCs w:val="false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Назначение смазки -М</w:t>
            </w:r>
            <w:hyperlink r:id="rId7">
              <w:r>
                <w:rPr>
                  <w:rStyle w:val="Hyperlink"/>
                  <w:rFonts w:eastAsia="Calibri" w:cs=""/>
                  <w:b w:val="false"/>
                  <w:bCs w:val="false"/>
                  <w:i w:val="false"/>
                  <w:iCs w:val="false"/>
                  <w:color w:val="000000"/>
                  <w:kern w:val="0"/>
                  <w:sz w:val="20"/>
                  <w:szCs w:val="20"/>
                  <w:u w:val="none"/>
                  <w:shd w:fill="auto" w:val="clear"/>
                  <w:lang w:val="ru-RU" w:eastAsia="en-US" w:bidi="ar-SA"/>
                </w:rPr>
                <w:t>ногоцелевая Водостойкая</w:t>
              </w:r>
            </w:hyperlink>
          </w:p>
          <w:p>
            <w:pPr>
              <w:pStyle w:val="Normal"/>
              <w:widowControl w:val="false"/>
              <w:spacing w:before="0" w:after="0"/>
              <w:ind w:hanging="0" w:left="0" w:right="0"/>
              <w:jc w:val="left"/>
              <w:rPr/>
            </w:pPr>
            <w:r>
              <w:rPr>
                <w:rFonts w:eastAsia="Calibri" w:cs=""/>
                <w:b w:val="false"/>
                <w:bCs w:val="false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 xml:space="preserve">Кинематическая вязкость базового масла при 40 °С не менее </w:t>
            </w:r>
            <w:hyperlink r:id="rId8">
              <w:r>
                <w:rPr>
                  <w:rStyle w:val="Hyperlink"/>
                  <w:rFonts w:eastAsia="Calibri" w:cs=""/>
                  <w:b w:val="false"/>
                  <w:bCs w:val="false"/>
                  <w:i w:val="false"/>
                  <w:iCs w:val="false"/>
                  <w:color w:val="000000"/>
                  <w:kern w:val="0"/>
                  <w:sz w:val="20"/>
                  <w:szCs w:val="20"/>
                  <w:u w:val="none"/>
                  <w:shd w:fill="auto" w:val="clear"/>
                  <w:lang w:val="ru-RU" w:eastAsia="en-US" w:bidi="ar-SA"/>
                </w:rPr>
                <w:t>135</w:t>
              </w:r>
            </w:hyperlink>
          </w:p>
          <w:p>
            <w:pPr>
              <w:pStyle w:val="Normal"/>
              <w:widowControl w:val="false"/>
              <w:spacing w:before="0" w:after="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 w:val="false"/>
                <w:bCs w:val="false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Температура каплепадения не ниже °C 140</w:t>
            </w:r>
          </w:p>
          <w:p>
            <w:pPr>
              <w:pStyle w:val="Normal"/>
              <w:widowControl w:val="false"/>
              <w:spacing w:before="0" w:after="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 w:val="false"/>
                <w:bCs w:val="false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Тип базового масла: Минеральное масло</w:t>
            </w:r>
          </w:p>
          <w:p>
            <w:pPr>
              <w:pStyle w:val="Normal"/>
              <w:widowControl w:val="false"/>
              <w:spacing w:before="0" w:after="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 w:val="false"/>
                <w:bCs w:val="false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Загуститель смазки: Кальциевое мыло</w:t>
            </w:r>
          </w:p>
          <w:p>
            <w:pPr>
              <w:pStyle w:val="Normal"/>
              <w:widowControl w:val="false"/>
              <w:spacing w:before="0" w:after="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 w:val="false"/>
                <w:bCs w:val="false"/>
                <w:i w:val="false"/>
                <w:i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Туба 400 гр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400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3.6.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Масло трансмиссионное  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ATF DIII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LUKOIL ATF DIII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Внешний вид – Прозрачная жидкость красного цвета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7,6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динамическая при -40 °С, мПа∙с не менее 10 600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менее 231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-50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843,0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3.7.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Охлаждающая низкозамерзающая жидкость (красная)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ЛУКОЙЛ АНТИФРИЗ HD G12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 от розового до малинового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1 075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начала кристаллизации, °С не выше –40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Водородный показатель (рН) при 20 °C не менее 8,1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Щелочность, мл не менее 10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15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3.8.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Охлаждающая низкозамерзающая жидкость (зеленая)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ЛУКОЙЛ АНТИФРИЗ G11 GREEN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 Зелёный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1 080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начала кристаллизации, °С не выше –41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кипения, °С не выше 110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Водородный показатель (рН) при 20 °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C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не менее 8,2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Щелочность, мл не менее 14,3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8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</w:t>
            </w:r>
          </w:p>
        </w:tc>
        <w:tc>
          <w:tcPr>
            <w:tcW w:w="1473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Хабаровский транспортный/строительный участок, Хабаровский край, г. Хабаровск</w:t>
            </w:r>
          </w:p>
        </w:tc>
      </w:tr>
      <w:tr>
        <w:trPr>
          <w:trHeight w:val="387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4.1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Heading3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  <w:shd w:fill="auto" w:val="clear"/>
                <w:lang w:eastAsia="en-US"/>
              </w:rPr>
              <w:t>Масло моторное</w:t>
            </w:r>
            <w:r>
              <w:rPr>
                <w:b w:val="false"/>
                <w:color w:val="000000"/>
                <w:sz w:val="20"/>
                <w:szCs w:val="20"/>
                <w:shd w:fill="auto" w:val="clear"/>
                <w:lang w:val="ru-RU" w:eastAsia="en-US"/>
              </w:rPr>
              <w:t xml:space="preserve"> </w:t>
            </w:r>
            <w:r>
              <w:rPr>
                <w:rFonts w:eastAsia="Calibri" w:cs=""/>
                <w:b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10W-40</w:t>
            </w:r>
          </w:p>
        </w:tc>
        <w:tc>
          <w:tcPr>
            <w:tcW w:w="4263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LUKOIL AVANTGARDE ULTRA 10W-40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15 °С, кг/м3 не менее 861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менее14,3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ниже 157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 (CCS) при -25 °С, мПа·с не менее 6 350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–44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Испаряемость по методу Ноака, % не менее 8,6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менее 236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 не менее 1,35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 на 1 г масла не менее 11,5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КОН/г не менее 9.11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15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4.2.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0"/>
                <w:szCs w:val="20"/>
                <w:shd w:fill="auto" w:val="clear"/>
                <w:lang w:eastAsia="en-US" w:bidi="ar-SA"/>
              </w:rPr>
              <w:t xml:space="preserve">Масло трансмиссионное  </w:t>
            </w:r>
            <w:r>
              <w:rPr>
                <w:rFonts w:eastAsia="Calibri" w:cs="Times New Roman"/>
                <w:b w:val="false"/>
                <w:bCs w:val="false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75W-90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Heading2"/>
              <w:keepNext w:val="true"/>
              <w:widowControl w:val="false"/>
              <w:numPr>
                <w:ilvl w:val="0"/>
              </w:numPr>
              <w:shd w:val="clear" w:fill="FFFFFF"/>
              <w:suppressAutoHyphens w:val="true"/>
              <w:bidi w:val="0"/>
              <w:spacing w:before="0" w:after="0"/>
              <w:ind w:hanging="113" w:left="113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Газпромнефть GL-5 75W-90  </w:t>
            </w: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или эквивалент.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SAE: 75W-90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Плотность, кг/л при 15°C не менее 0.869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40°C не менее 85.7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100°C не менее 14.56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178.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4.3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0"/>
                <w:szCs w:val="20"/>
                <w:shd w:fill="auto" w:val="clear"/>
                <w:lang w:eastAsia="en-US" w:bidi="ar-SA"/>
              </w:rPr>
              <w:t>Масло гидравлическое HLP32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hd w:val="clear" w:fill="FFFFFF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HLP 32 GAZPROMNEFT или эквивалент.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40 °С, мм2/с 32 при 100 °С, мм2/с 5/5 Индекс вязкости 100 Температура вспышки в открытом тигле, °С 229 Температура застывания, °С -38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Кислотное число, мг KOH/г 0.6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872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25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4.4.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</w:numPr>
              <w:tabs>
                <w:tab w:val="clear" w:pos="709"/>
                <w:tab w:val="left" w:pos="7545" w:leader="none"/>
              </w:tabs>
              <w:suppressAutoHyphens w:val="false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0"/>
                <w:szCs w:val="20"/>
                <w:shd w:fill="auto" w:val="clear"/>
                <w:lang w:eastAsia="en-US" w:bidi="ar-SA"/>
              </w:rPr>
              <w:t>Смазка литиевая высокотемпературная</w:t>
            </w:r>
          </w:p>
        </w:tc>
        <w:tc>
          <w:tcPr>
            <w:tcW w:w="4263" w:type="dxa"/>
            <w:tcBorders/>
          </w:tcPr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Grease LX EP-2 (синяя) GAZPROMNEFT или эквивалент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(EP-присадок) на основе литиевого комплексного мыла для узлов трения, работающих в условиях высоких температур и сверхвысоких нагрузках.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18 кг</w:t>
            </w:r>
          </w:p>
        </w:tc>
        <w:tc>
          <w:tcPr>
            <w:tcW w:w="1300" w:type="dxa"/>
            <w:tcBorders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00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4.5.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tabs>
                <w:tab w:val="clear" w:pos="0"/>
                <w:tab w:val="left" w:pos="7545" w:leader="none"/>
              </w:tabs>
              <w:suppressAutoHyphens w:val="false"/>
              <w:spacing w:before="120" w:after="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0"/>
                <w:szCs w:val="20"/>
                <w:shd w:fill="auto" w:val="clear"/>
                <w:lang w:eastAsia="en-US" w:bidi="ar-SA"/>
              </w:rPr>
              <w:t>Масло трансмиссионное</w:t>
            </w:r>
          </w:p>
        </w:tc>
        <w:tc>
          <w:tcPr>
            <w:tcW w:w="4263" w:type="dxa"/>
            <w:tcBorders/>
          </w:tcPr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 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GAZPROMNEFT ATF DEXRON III Standart GAZPROMNEFT или эквивалентность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7,3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164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 при -40 °С, мПа*с не менее 18000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более 232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более -46 Плотность при 20 °С, кг/м3 не менее 856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1 л</w:t>
            </w:r>
          </w:p>
        </w:tc>
        <w:tc>
          <w:tcPr>
            <w:tcW w:w="1300" w:type="dxa"/>
            <w:tcBorders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40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4.6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Охлаждающая низкозамерзающая жидкость</w:t>
            </w:r>
          </w:p>
        </w:tc>
        <w:tc>
          <w:tcPr>
            <w:tcW w:w="4263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ЛУКОЙЛ АНТИФРИЗ HD G12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 от розового до малинового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1 075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начала кристаллизации, °С не выше –40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Водородный показатель (рН) при 20 °C не менее 8,1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Щелочность, мл не менее 10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5</w:t>
            </w:r>
          </w:p>
        </w:tc>
        <w:tc>
          <w:tcPr>
            <w:tcW w:w="14737" w:type="dxa"/>
            <w:gridSpan w:val="6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Хабаровский участок расчистки просек, Хабаровский край, г. Хабаровск</w:t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5.1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  <w:shd w:fill="auto" w:val="clear"/>
                <w:lang w:eastAsia="en-US"/>
              </w:rPr>
              <w:t>Масло моторное</w:t>
            </w:r>
            <w:r>
              <w:rPr>
                <w:b w:val="false"/>
                <w:color w:val="000000"/>
                <w:sz w:val="20"/>
                <w:szCs w:val="20"/>
                <w:shd w:fill="auto" w:val="clear"/>
                <w:lang w:val="ru-RU" w:eastAsia="en-US"/>
              </w:rPr>
              <w:t xml:space="preserve"> </w:t>
            </w:r>
            <w:r>
              <w:rPr>
                <w:rFonts w:eastAsia="Calibri" w:cs=""/>
                <w:b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10W-40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LUKOIL AVANTGARDE ULTRA 10W-40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15 °С, кг/м3 не менее 861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14,3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157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 (CCS) при -25 °С, мПа·с не менее 6 350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–44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Испаряемость по методу Ноака, % не более 8,6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менее 236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 не менее 1,35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 на 1 г масла не менее 11,5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КОН/г не менее 9.11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5.2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0"/>
                <w:szCs w:val="20"/>
                <w:shd w:fill="auto" w:val="clear"/>
                <w:lang w:eastAsia="en-US" w:bidi="ar-SA"/>
              </w:rPr>
              <w:t>Масло трансмиссионное 75W-90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Heading2"/>
              <w:widowControl w:val="false"/>
              <w:numPr>
                <w:ilvl w:val="0"/>
              </w:numPr>
              <w:shd w:val="clear" w:fill="FFFFFF"/>
              <w:spacing w:before="0" w:after="0"/>
              <w:ind w:hanging="432" w:left="432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bCs w:val="false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Газпромнефть GL-5 75W-90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или эквивалент.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SAE: 75W-90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Плотность, кг/л при 15°C не менее 0.869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40°C не менее 85.7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100°C не менее 14.56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178.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 20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15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5.3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keepNext w:val="true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0"/>
                <w:szCs w:val="20"/>
                <w:shd w:fill="auto" w:val="clear"/>
                <w:lang w:eastAsia="en-US" w:bidi="ar-SA"/>
              </w:rPr>
              <w:t>Масло гидравлическое HLP32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hd w:val="clear" w:fill="FFFFFF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HLP 32 GAZPROMNEFT или эквивалент.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40 °С, мм2/с не менее 32; при 100 °С, мм2/с не менее 5/5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более 100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менее 229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-38 Кислотное число, мг KOH/г  не менее 0.6 Плотность при 20 °С, кг/м3 не менее 872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5.4.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</w:numPr>
              <w:tabs>
                <w:tab w:val="clear" w:pos="709"/>
                <w:tab w:val="left" w:pos="7545" w:leader="none"/>
              </w:tabs>
              <w:suppressAutoHyphens w:val="false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0"/>
                <w:szCs w:val="20"/>
                <w:shd w:fill="auto" w:val="clear"/>
                <w:lang w:eastAsia="en-US" w:bidi="ar-SA"/>
              </w:rPr>
              <w:t>Смазка литиевая высокотемпературная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Многоцелевая смазка литиевая высокотемпературная Grease LX EP-2 или эквивалент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цвет: синий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(EP-присадок) на основе литиевого комплексного мыла для узлов трения, работающих в условиях высоких температур и сверхвысоких нагрузках.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0,4 кг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5.5.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tabs>
                <w:tab w:val="clear" w:pos="0"/>
                <w:tab w:val="left" w:pos="7545" w:leader="none"/>
              </w:tabs>
              <w:suppressAutoHyphens w:val="false"/>
              <w:spacing w:before="120" w:after="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0"/>
                <w:szCs w:val="20"/>
                <w:shd w:fill="auto" w:val="clear"/>
                <w:lang w:eastAsia="en-US" w:bidi="ar-SA"/>
              </w:rPr>
              <w:t>Масло трансмиссионное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 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GAZPROMNEFT ATF DEXRON III. или эквивалент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 /с не менее 7,24 Динамическая вязкость по Брукфильду при – 400С не более 16 000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— 48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более 213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Плотность, при 20 °С, г/см3 не менее 0,856</w:t>
            </w:r>
          </w:p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1 л.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5.6.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b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Охлаждающая низкозамерзающая жидкость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ЛУКОЙЛ АНТИФРИЗ HD G12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 от розового до малинового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1 075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начала кристаллизации, °С не выше –40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Водородный показатель (рН) при 20 °C не менее 8,1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Щелочность, мл не менее 10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5.7.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b w:val="false"/>
                <w:color w:val="000000"/>
                <w:sz w:val="20"/>
                <w:szCs w:val="20"/>
                <w:shd w:fill="auto" w:val="clear"/>
                <w:lang w:eastAsia="en-US"/>
              </w:rPr>
              <w:t>Масло моторное</w:t>
            </w:r>
            <w:r>
              <w:rPr>
                <w:b w:val="false"/>
                <w:color w:val="000000"/>
                <w:sz w:val="20"/>
                <w:szCs w:val="20"/>
                <w:shd w:fill="auto" w:val="clear"/>
                <w:lang w:val="ru-RU" w:eastAsia="en-US"/>
              </w:rPr>
              <w:t xml:space="preserve"> промывочное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22222"/>
                <w:spacing w:val="0"/>
                <w:sz w:val="20"/>
                <w:szCs w:val="20"/>
                <w:shd w:fill="auto" w:val="clear"/>
              </w:rPr>
              <w:t>предназначенное для промывки системы смазки бензиновых и дизельных двигателей легковой, коммерческой, специальной и внедорожной техники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b w:val="false"/>
                <w:i w:val="false"/>
                <w:caps w:val="false"/>
                <w:smallCaps w:val="false"/>
                <w:color w:val="222222"/>
                <w:spacing w:val="0"/>
                <w:sz w:val="20"/>
                <w:szCs w:val="20"/>
                <w:shd w:fill="auto" w:val="clear"/>
              </w:rPr>
              <w:t xml:space="preserve"> </w:t>
            </w:r>
            <w:r>
              <w:rPr>
                <w:rFonts w:eastAsia="Calibri" w:cs=""/>
                <w:b w:val="false"/>
                <w:i w:val="false"/>
                <w:iCs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lang w:val="ru-RU" w:eastAsia="en-US" w:bidi="ar-SA"/>
              </w:rPr>
              <w:t>5.8.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numPr>
                <w:ilvl w:val="0"/>
                <w:numId w:val="0"/>
              </w:numPr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Масло двухтактное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2T API-TA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применение - бензопилы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кинематическая, мм2 (сСт):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при 50°С - не менее 6 сСт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при минус 30°С - не более 8800 сСт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- не менее 90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определяемая в открытом тигле - не менее 130°С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 - не менее -45°С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Кислотное число - не более 3 мг КОН/г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20°С - не более 890 кг/м3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Стабильность против окисления: массовая доля осадка - не более 0,05% Фасовка  1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LineNumbers/>
              <w:shd w:val="clear" w:fill="FFFFFF"/>
              <w:suppressAutoHyphens w:val="true"/>
              <w:bidi w:val="0"/>
              <w:spacing w:before="0" w:after="0"/>
              <w:ind w:hanging="0" w:left="113" w:right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150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cs=""/>
                <w:i/>
                <w:iCs/>
                <w:kern w:val="0"/>
                <w:sz w:val="20"/>
                <w:szCs w:val="20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Arial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</w:t>
            </w:r>
          </w:p>
        </w:tc>
        <w:tc>
          <w:tcPr>
            <w:tcW w:w="14737" w:type="dxa"/>
            <w:gridSpan w:val="6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Партизанский строительный участок, Приморский край, г. Партизанск</w:t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6.1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Масло моторное 5W-40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LUKOIL AVANTGARDE ULTRA 5W-40 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13,9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172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 (CCS) при -30°С, мПа·с не менее 5 900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Испаряемость по методу Ноака, % не менее 9,1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 не менее 1,35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менее 235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–48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 на 1 г масла не менее 896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 20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6.2.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Масло моторное 10W-40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LUKOIL AVANTGARDE ULTRA 10W-40 или экивалент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15 °С, кг/м3 не менее 861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14,3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157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 (CCS) при -25 °С, мПа·с не менее 350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–44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Испаряемость по методу Ноака, % не менее 8,6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менее 236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 не менее 1,35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 на 1 г масла не менее 11,5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КОН/г не менее 9.11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6.3.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Масло гидравлическое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ЛУКОЙЛ ГЕЙЗЕР ЛТ ЦФ 46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851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40 °С, мм2/с не менее 42,4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7,9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–20 °С, мм2/с не менее 2 099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159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более 232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–40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Воздухоотделение при 50 °С, мин не менее 5,8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10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6.4.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Масло трансмиссионное 85W-90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ЛУКОЙЛ ТМ-5 85W-90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16,6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 при -26 °C, мПа</w:t>
            </w:r>
            <w:r>
              <w:rPr>
                <w:rFonts w:eastAsia="Calibri" w:cs="Cambria Math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⋅</w:t>
            </w:r>
            <w:r>
              <w:rPr>
                <w:rFonts w:eastAsia="Calibri" w:cs="Calibri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</w:t>
            </w: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не менее 142 000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 не менее 107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менее 240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Arial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–32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6.5.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>Смазка пластичная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Цвет: от светло-желтого до темно-желтого цвета, гомогенная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Диапазон рабочих температур С от –30 до +120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Пенетрация перемешанной смазки (60 двойных качков) мм/10 от 265 до 295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базового масла при 40 °С мм²/с от 120 до 150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туба 400 гр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6.6.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>Масло трансмиссионное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LUKOIL ATF DIII или эквивалет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Внешний вид – Прозрачная жидкость красного цвета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100 °С, мм2/с не менее 7,6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196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динамическая при -40 °С, мПа∙с не менее 10 600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менее 231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-50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843,0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6.7.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Охлаждающая низкозамерзающая жидкость</w:t>
            </w: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 (красная)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ЛУКОЙЛ АНТИФРИЗ HD G12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 ГОСТ 28084, 4.1 От розового до малинового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1 075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начала кристаллизации, °С не выше –40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кипения, °С не ниже 111,1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Водородный показатель (рН) при 20 °C не менее 8,1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Щелочность, мл не менее 10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15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6.8.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Охлаждающая низкозамерзающая жидкость</w:t>
            </w: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 xml:space="preserve"> (зеленая)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ЛУКОЙЛ АНТИФРИЗ G11 GREEN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  Зелёный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1 080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начала кристаллизации, °С не выше –41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кипения, °С не менее 110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Водородный показатель (рН) при 20 °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C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не менее 8,2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Щелочность, мл не менее 14,3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15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</w:t>
            </w:r>
          </w:p>
        </w:tc>
        <w:tc>
          <w:tcPr>
            <w:tcW w:w="14737" w:type="dxa"/>
            <w:gridSpan w:val="6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УстьСреднеканский транспортный участок Магаданская область, г. Магадан</w:t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7.1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>Масло моторное полусинтетическое 5W30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 xml:space="preserve">TEXACO Ursa Premium FE 5W30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15 °С, г/мл - не менее 0,85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100 °С, мм²/с - не менее 11,6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40 °С, мм²/с - не менее 66,0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- не менее 173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вязкость, CCS при -30 °С, мПа*с (сП) - не менее 5700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- не менее -40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°С не - менее 204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 масс. - не более 1,0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7.2.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>Масло гидравлическое H32LP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shd w:val="clear" w:fill="FFFFFF"/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HLP 32 GAZPROMNEFT или эквивалент.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40 °С, мм2/с не менее 32, при 100 °С мм2/с не менее 5/5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100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выше 229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-38 Кислотное число, мг KOH/г не менее 0.6  Плотность при 20 °С, кг/м3 не менее 872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7.3.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>Масло трансмиссионное 75W-90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GEARTEC GL-5 75W-90"KIXX GEARTEC GL-5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SAE: 75W-90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Плотность, кг/л при 15°C не ниже 0.869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40°C не ниже 85.7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100°Cне ниже 14.56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ниже 178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потери текучести,°C не выше -43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COC,°C не ниже 225,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7.4.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Охлаждающая низкозамерзающая жидкость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ЛУКОЙЛ АНТИФРИЗ G11 GREEN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 ГОСТ 28084, 4.1 Зелёный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1 080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начала кристаллизации, °С не выше  –41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кипения, °С не ниже  110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Водородный показатель (рН) при 20 °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C</w:t>
            </w: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не менее 8,2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Щелочность, мл не менее 14,3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>30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7.5.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Смазка литиевая высокотемпературная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Многоцелевая смазка с противозадирным пакетом присадок (EP-присадок) на основе литиевого комплексного мыла для узлов трения, работающих в условиях высоких температур и сверхвысоких нагрузках.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Фасовка 0,4 кг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bCs/>
                <w:i w:val="false"/>
                <w:iCs w:val="false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</w:t>
            </w:r>
          </w:p>
        </w:tc>
        <w:tc>
          <w:tcPr>
            <w:tcW w:w="14737" w:type="dxa"/>
            <w:gridSpan w:val="6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Колымский транспортный/строительный участок, Магаданская область, г. Магадан</w:t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8.1.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eastAsia="en-US"/>
              </w:rPr>
              <w:t>Масло моторное синтетическое 5W30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en-US" w:eastAsia="en-US" w:bidi="ar-SA"/>
              </w:rPr>
              <w:t xml:space="preserve">TEXACO Ursa Premium FE 5W30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15 °С, г/мл - не менее 0,85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100 °С, мм²/с - не менее 11,6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40 °С, мм²/с - не менее 66,0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- не менее 173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Динамическая вязкость, CCS при -30 °С, мПа*с (сП) - не менее 5700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- не менее -40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°С не - менее 204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 масс. - не более 1,0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4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8.2.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eastAsia="en-US"/>
              </w:rPr>
              <w:t>Масло гидравлическое всесезонное ВМГЗ-60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ВМГЗ -60 С С.N.R.G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Тип базового масла: минеральное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вязкости: не менее 124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°С: не ниже 181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°С: не выше -60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Зольность, %: не менее е0,078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л.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8.3.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eastAsia="en-US"/>
              </w:rPr>
              <w:t>Масло трансмиссионное 10W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Масло трансмиссионное SAE 10W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-Кинематическая вязкость при 100°C не менее 6.0 мм²/c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Индекс вязкости не менее 102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Плотность не менее 0.886 кг/дм 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Температура вспышки не менее 225 °C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Температура застывания не менее -34 °C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20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8.4.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eastAsia="en-US"/>
              </w:rPr>
              <w:t>Масло трансмиссионное 75W-90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GEARTEC GL-5 75W-90"KIXX GEARTEC GL-5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SAE: 75W-90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Плотность, кг/л при 15°C не ниже 0.869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40°C не ниже 85.7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100°C не ниже 14.56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ниже 178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потери текучести,°C не ниже -43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COC,°C не ниже 225,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8.5.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eastAsia="en-US"/>
              </w:rPr>
              <w:t>Смазка пластичная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ROLF GREASE M5 L180 EP-2 HDM5 L 180 EP-2 или эквивалент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Вязкость базового масла при 40 °C (мм²/с) не менее 180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Температура каплепадения (°C)  не менее 195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Пенетрация при 25 °C после 60 циклов (0,1 мм) не менее 280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-Динамическая водостойкость при 79 °C (%(мм)) не менее 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-Гидродинамическое давление при -20 °C (мБар) не менее 700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Фасовка 18 кг.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8.6.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eastAsia="en-US"/>
              </w:rPr>
              <w:t>Смазка пластичная Литол-24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Литол-24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каплепадения, °С не ниже 190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Пенетрация при 25 °С с перемешиванием, 10-1мм не ниже 240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Вязкость, Па·с,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Коллоидная стабильность, % - не ниже 11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 18 кг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6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8.7.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eastAsia="en-US"/>
              </w:rPr>
              <w:t>Тосол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 xml:space="preserve">Тосол А60М NORDEX </w:t>
            </w: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Плотность, при 20 °C, г/см3 не ниже 1,085, не ввше 1,100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Общее щелочное число (ASTM D2896) не ниже 10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начала кристаллизации, °С, не выше -65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Температура кипения при давлении 101,3 кПа (760 мм рт. ст.), °С, не ниже 100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2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9</w:t>
            </w:r>
          </w:p>
        </w:tc>
        <w:tc>
          <w:tcPr>
            <w:tcW w:w="14737" w:type="dxa"/>
            <w:gridSpan w:val="6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Южно-Сахалинский участок расчистки просек, Сахалинская область, г. Южно-Сахалинск</w:t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9.1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Масло гидравлическое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TOTASCHI NIRO HD PREMIUM HYDRAULIC</w:t>
            </w: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OIL NRO-Z 46 или эквивалент.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Вязкость кинематическая при 40 °С, мм2/с не менее 32, при 100 °С, мм2/с не менее 5/5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100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тигле, °С не выше 229</w:t>
            </w:r>
          </w:p>
          <w:p>
            <w:pPr>
              <w:pStyle w:val="Normal"/>
              <w:widowControl w:val="false"/>
              <w:shd w:val="clear" w:fill="FFFFFF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 не выше -38 Кислотное число, мг KOH/г не менее 0.6 Плотность при 20 °С, кг/м3 не менее 872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7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9.2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>Масло моторное М10ДМ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М10ДМ.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мм2/с: при 100 °С - не менее 11,4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вязкости, не менее 90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Содержание механических примесей, %, не более 0,025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закрытом тигле, °С, не менее 220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застывания, °С, не менее -18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КОН/г, не менее 8,2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Сульфатная зольность, %, не более 1,5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г/см3, не более 0,905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50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26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9.3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eastAsia="en-US"/>
              </w:rPr>
              <w:t>Масло моторное</w:t>
            </w:r>
            <w:r>
              <w:rPr>
                <w:color w:val="000000"/>
                <w:sz w:val="20"/>
                <w:szCs w:val="20"/>
                <w:shd w:fill="auto" w:val="clear"/>
                <w:lang w:val="ru-RU" w:eastAsia="en-US"/>
              </w:rPr>
              <w:t xml:space="preserve"> 10W-40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ТОТАСHI NIRO HD Semi-Senthetic SAE 10W40 API CL-4/SL, ACEA E7 или 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Класс SAE - 10W-40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Плотность, кг/л при 15°C не менее 0.8658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40°C не менее 100.7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вязкость, мм2/с при 100°C не менее 14.99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156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потери текучести, °C не менее -39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вспышки, COC, °C не менее 225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мг КОН/г не менее 9.11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9.4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Масло трансмиссионное 75W-90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75W-90 API GL-5 Totachi 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15°C, г/мл, ASTM D4052: не менее 0,901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в открытом тигле Кливленда, °C, ASTM D 92: не менее 222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100°C, мм2/с, ASTM D445: не менее 14,3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40°C, мм2/с, ASTM D445: не менее 131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9.5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Масло трансмиссионное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Dextron ATF III или эквивалент.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40 °С, мм²/с: не менее 23.11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100 °С, мм²/с: не менее 5.32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вязкости: не менее 171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Точка потери текучести, °С: не менее -44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Щелочное число, (TBN): не менее 6,00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Кислотное число (TAN):  не менее 2,01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Цвет: Красный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 4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150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9.6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>Масло моторное двухтактное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Heading3"/>
              <w:widowControl w:val="false"/>
              <w:shd w:val="clear" w:fill="FFFFFF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TOTACHI NIRO ECO 2-STROKE TCW-3 или эквивалент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9"/>
              </w:tabs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Цвет: красный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9"/>
              </w:tabs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Кинематическая вязкость при 40°С не менее 55,08Ст, при 100°С не менее 9,05Ст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9"/>
              </w:tabs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Индекс вязкости не менее 144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9"/>
              </w:tabs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30°С кг/л не менее 0,869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9"/>
              </w:tabs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вспышки °С не ниже 149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9"/>
              </w:tabs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застывания  °С не выше -25</w:t>
            </w:r>
          </w:p>
          <w:p>
            <w:pPr>
              <w:pStyle w:val="Heading3"/>
              <w:widowControl w:val="false"/>
              <w:shd w:val="clear" w:fill="FFFFFF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 1л.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600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bookmarkStart w:id="29" w:name="_GoBack_Копия_3"/>
            <w:bookmarkEnd w:id="29"/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 w:themeColor="text1"/>
                <w:sz w:val="20"/>
                <w:szCs w:val="20"/>
                <w:shd w:fill="auto" w:val="clear"/>
              </w:rPr>
              <w:t>9.7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fill="auto" w:val="clear"/>
                <w:lang w:val="ru-RU"/>
              </w:rPr>
              <w:t>Масло моторное 5W30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Heading3"/>
              <w:widowControl w:val="false"/>
              <w:shd w:val="clear" w:fill="FFFFFF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TCL SP GF-6 5W30 или эквивалент</w:t>
            </w:r>
          </w:p>
          <w:p>
            <w:pPr>
              <w:pStyle w:val="Normal"/>
              <w:widowControl w:val="false"/>
              <w:shd w:val="clear" w:fill="FFFFFF"/>
              <w:tabs>
                <w:tab w:val="clear" w:pos="709"/>
              </w:tabs>
              <w:spacing w:before="0" w:after="0"/>
              <w:ind w:hanging="0" w:lef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Вид: синтетическое</w:t>
            </w:r>
          </w:p>
          <w:p>
            <w:pPr>
              <w:pStyle w:val="Normal"/>
              <w:widowControl w:val="false"/>
              <w:spacing w:lineRule="atLeast" w:line="300" w:before="0" w:after="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Температура вспышки в открытом тигле не менее 244 °С</w:t>
            </w:r>
          </w:p>
          <w:p>
            <w:pPr>
              <w:pStyle w:val="Heading3"/>
              <w:widowControl w:val="false"/>
              <w:shd w:val="clear" w:fill="FFFFFF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Температура застывания не выше -45С, температура вспышки Кливленда не выше 235С</w:t>
            </w:r>
          </w:p>
          <w:p>
            <w:pPr>
              <w:pStyle w:val="Heading3"/>
              <w:widowControl w:val="false"/>
              <w:shd w:val="clear" w:fill="FFFFFF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rFonts w:eastAsia="Calibri" w:cs=""/>
                <w:b w:val="false"/>
                <w:bCs w:val="false"/>
                <w:color w:val="000000"/>
                <w:kern w:val="0"/>
                <w:sz w:val="20"/>
                <w:szCs w:val="20"/>
                <w:u w:val="none"/>
                <w:shd w:fill="auto" w:val="clear"/>
                <w:lang w:val="ru-RU" w:eastAsia="en-US" w:bidi="ar-SA"/>
              </w:rPr>
              <w:t>Фасовка  4 л.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16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9.8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Heading3"/>
              <w:widowControl w:val="false"/>
              <w:tabs>
                <w:tab w:val="clear" w:pos="0"/>
              </w:tabs>
              <w:spacing w:before="0" w:after="0"/>
              <w:ind w:hanging="0" w:left="0"/>
              <w:rPr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0"/>
                <w:sz w:val="20"/>
                <w:szCs w:val="20"/>
                <w:shd w:fill="auto" w:val="clear"/>
                <w:lang w:val="ru-RU" w:eastAsia="x-none" w:bidi="ar-SA"/>
              </w:rPr>
              <w:t>Охлаждающая низкозамерзающая жидкость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Цвет Зелёный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Плотность при 20 °С, кг/м3 не менее 1 080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начала кристаллизации, °С не выше –41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Температура кипения, °С не ниже 110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Водородный показатель (рН) при 20 °C не менее 8,2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Щелочность, мл не менее 14,3</w:t>
            </w:r>
          </w:p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 20 кг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10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fill="auto" w:val="clear"/>
              </w:rPr>
              <w:t>9.</w:t>
            </w:r>
            <w:r>
              <w:rPr>
                <w:sz w:val="20"/>
                <w:szCs w:val="20"/>
                <w:shd w:fill="auto" w:val="clear"/>
              </w:rPr>
              <w:t>9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 w:val="false"/>
                <w:bCs/>
                <w:i w:val="false"/>
                <w:caps w:val="false"/>
                <w:smallCaps w:val="false"/>
                <w:color w:val="000000"/>
                <w:spacing w:val="-5"/>
                <w:sz w:val="20"/>
                <w:szCs w:val="20"/>
                <w:shd w:fill="auto" w:val="clear"/>
                <w:lang w:val="ru-RU" w:eastAsia="zh-CN"/>
              </w:rPr>
              <w:t>Смазка литиевая высокотемпературная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BodyText"/>
              <w:widowControl w:val="false"/>
              <w:shd w:val="clear" w:fill="FFFFFF"/>
              <w:suppressAutoHyphens w:val="fals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Многоцелевая смазка с противозадирным пакетом присадок (EP-присадок) на основе литиевого комплексного мыла для узлов трения, работающих в условиях высоких температур и сверхвысоких нагрузках.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Фасовка 0,4 кг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</w:t>
            </w:r>
            <w:r>
              <w:rPr>
                <w:rFonts w:eastAsia="Calibri" w:cs=""/>
                <w:color w:val="000000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00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737" w:type="dxa"/>
            <w:gridSpan w:val="6"/>
            <w:tcBorders>
              <w:top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Нижне-Бурейский транспортный участок Амурская область, пгт.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Новобурейский</w:t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Масло моторное 10W30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Моторное масло Shell 10w30 или эквивалент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Вязкость по SAE 10W-30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Кинематическая вязкость при 40°C не ниже 79.78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Кинематическая вязкость при 100°C не ниже 12.0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Динамическая вязкость не ниже 6730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Индекс вязкости не ниже 145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Щелочное число не ниже 10.6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Сульфатная зольность не ниже 1.5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Плотность при 15°C  не ниже 867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Температура вспышки не ниже 228°C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Температура застывания не ниже -42°C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sz w:val="20"/>
                <w:szCs w:val="20"/>
                <w:shd w:fill="auto" w:val="clear"/>
                <w:lang w:eastAsia="en-US"/>
              </w:rPr>
              <w:t>Фасовка 4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Масло моторное 10W40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Моторное масло Mobil 10W40 или эквивалент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Класс SAE: 10W-40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Плотность при 15,6°C, г/мл не ниже 0,87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Температура вспышки в открытом тигле Кливленда, °C, не ниже 230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Вязкость при высокой температуре и высокой скорости сдвига при 150°C, 1x10(6) c(-1), мПа*с не ниже3,6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Кинематическая вязкость при 100°C, мм2/с не ниже 13.2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Кинематическая вязкость при 40°C, мм2/с не ниже 88,7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Температура застывания,°C не ниже -42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Индекс вязкости не ниже 150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sz w:val="20"/>
                <w:szCs w:val="20"/>
                <w:shd w:fill="auto" w:val="clear"/>
                <w:lang w:eastAsia="en-US"/>
              </w:rPr>
              <w:t>Фасовка 4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Масло моторное M10ДМ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Моторное масло М10ДМ или эквивалент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Кинематическая вязкость, мм2/с: при 100 °С - не ниже 11,4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Индекс вязкости, не ниже 90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Содержание механических примесей, %, не выше 0,025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Температура вспышки в закрытом тигле, °С, не ниже 220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Температура застывания, °С, не выше -18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Щелочное число, мг КОН/г, не ниже 8,2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Сульфатная зольность, %, не выше 1,5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Плотность при 20 °С, г/см3, не выше 0,905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sz w:val="20"/>
                <w:szCs w:val="20"/>
                <w:shd w:fill="auto" w:val="clear"/>
                <w:lang w:eastAsia="en-US"/>
              </w:rPr>
              <w:t>Фасовка 50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Масло гидравлическое всесезонное ВМГЗ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Масло гидравлическое всесезонное ВМГЗ или эквивалент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Тип базового масла: минеральное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Индекс вязкости: 124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Температура вспышки в открытом тигле, °С: 181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Температура застывания, °С: минус 60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Зольность, %: 0,078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sz w:val="20"/>
                <w:szCs w:val="20"/>
                <w:shd w:fill="auto" w:val="clear"/>
                <w:lang w:eastAsia="en-US"/>
              </w:rPr>
              <w:t>фасовка 20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Масло трансмиссионное ТАД-17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Масло трансмиссионное ТАД-17 или эквивалент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Соответствует классу качества API: GL-5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Температурный интервал использования: от -25°C до +50°C.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Кинематическая вязкость (при 100°C): не ниже 17,5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Индекс вязкости: 90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sz w:val="20"/>
                <w:szCs w:val="20"/>
                <w:shd w:fill="auto" w:val="clear"/>
                <w:lang w:eastAsia="en-US"/>
              </w:rPr>
              <w:t>Фасовка 10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Смазка пластичная Литол-24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Литол-24 Антифрикционная многоцелевая водостойкая смазка или эквивалент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Температура каплепадения, °С не ниже 190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Пенетрация при 25 °С с перемешиванием, 10-1мм не ниже 240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Вязкость, Па·с,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Коллоидная стабильность, % - не ниже 11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sz w:val="20"/>
                <w:szCs w:val="20"/>
                <w:shd w:fill="auto" w:val="clear"/>
                <w:lang w:eastAsia="en-US"/>
              </w:rPr>
              <w:t>Фасовка 18 кг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Тосол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Жидкость охлаждающая низкозамерзающая Тосол 40А или эквивалент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Температура защиты от замерзания: не ниже - 40;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Показатель преломления при 20°С: не ниже 1,385-1,395;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Температура кипения, °C: не ниже 108;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Вспениваемость при 88°С, мл, не выше: 50, устойчивость пены, сек, не выше 5;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Начало кристаллизации ASTM D1177: не ниже -37;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Удельная масса (плотность) при 20°С: не ниже 1,069-1,074;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Водородный показатель (pH) при 20°С: не ниже 7,5-9,0;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Щелочность при 20°С, мл: 10-12;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Внешний вид по ГОСТ 28084-89 п.4.1.: Однородная прозрачная жидкость синего цвета;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sz w:val="20"/>
                <w:szCs w:val="20"/>
                <w:shd w:fill="auto" w:val="clear"/>
                <w:lang w:eastAsia="en-US"/>
              </w:rPr>
              <w:t>Фасовка не менее 200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387" w:hRule="atLeast"/>
        </w:trPr>
        <w:tc>
          <w:tcPr>
            <w:tcW w:w="625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75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Антифриз -50</w:t>
            </w:r>
          </w:p>
        </w:tc>
        <w:tc>
          <w:tcPr>
            <w:tcW w:w="4263" w:type="dxa"/>
            <w:tcBorders>
              <w:top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АНТИФРИЗ TCL LONG LIFE COOLANT RED −50 или эквивалент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Цвет - Красный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Плотность при 20 °С, кг/м3 – не ниже 1076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Температура начала кристаллизации, °С не ниже –50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Температура кипения, °С не ниже 110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Водородный показатель (рН) при 20 °C – не ниже 7,5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kern w:val="0"/>
                <w:sz w:val="20"/>
                <w:szCs w:val="20"/>
                <w:lang w:val="ru-RU" w:bidi="ar-SA"/>
              </w:rPr>
            </w:pPr>
            <w:r>
              <w:rPr>
                <w:rFonts w:eastAsia="Calibri"/>
                <w:kern w:val="0"/>
                <w:sz w:val="20"/>
                <w:szCs w:val="20"/>
                <w:lang w:val="ru-RU" w:eastAsia="en-US" w:bidi="ar-SA"/>
              </w:rPr>
              <w:t>Щелочность, мл – не ниже 4</w:t>
            </w:r>
          </w:p>
          <w:p>
            <w:pPr>
              <w:pStyle w:val="BodyText"/>
              <w:widowControl w:val="false"/>
              <w:shd w:val="clear" w:fill="FFFFFF"/>
              <w:spacing w:before="0" w:after="120"/>
              <w:ind w:hanging="0" w:left="0" w:right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color w:val="000000"/>
                <w:sz w:val="20"/>
                <w:szCs w:val="20"/>
                <w:shd w:fill="auto" w:val="clear"/>
                <w:lang w:eastAsia="en-US"/>
              </w:rPr>
              <w:t>Фасовка 4  л</w:t>
            </w:r>
          </w:p>
        </w:tc>
        <w:tc>
          <w:tcPr>
            <w:tcW w:w="1300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shd w:val="clear" w:fill="FFFFFF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221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>
              <w:top w:val="nil"/>
            </w:tcBorders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164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2.</w:t>
            </w:r>
          </w:p>
        </w:tc>
        <w:tc>
          <w:tcPr>
            <w:tcW w:w="7313" w:type="dxa"/>
            <w:gridSpan w:val="3"/>
            <w:tcBorders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3112" w:type="dxa"/>
            <w:tcBorders/>
            <w:vAlign w:val="center"/>
          </w:tcPr>
          <w:p>
            <w:pPr>
              <w:pStyle w:val="Normal"/>
              <w:widowControl w:val="false"/>
              <w:shd w:val="clear" w:fill="FFFFFF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2.1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Безопасность продукции</w:t>
            </w:r>
          </w:p>
        </w:tc>
        <w:tc>
          <w:tcPr>
            <w:tcW w:w="55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Качество и безопасность товара должны соответствовать требованиям: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ГОСТ ISO 12924-2013 «Материалы смазочные, индустриальные масла и родственные продукты (класс L). Группа X (пластичные смазки).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ГОСТ 10541-2020 «Масла моторные универсальные и для автомобильных карбюраторных двигателей. Технические условия»;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ГОСТ 17479.2-2015 «Масла трансмиссионные. Классификация и обозначение».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688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3.</w:t>
            </w:r>
          </w:p>
        </w:tc>
        <w:tc>
          <w:tcPr>
            <w:tcW w:w="7313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31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3.1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Место поставки</w:t>
            </w:r>
          </w:p>
        </w:tc>
        <w:tc>
          <w:tcPr>
            <w:tcW w:w="5563" w:type="dxa"/>
            <w:gridSpan w:val="2"/>
            <w:tcBorders/>
          </w:tcPr>
          <w:p>
            <w:pPr>
              <w:pStyle w:val="Normal"/>
              <w:widowControl w:val="false"/>
              <w:spacing w:before="0" w:after="0"/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Продукция должна быть доставлена Поставщиком по следующим адресам:</w:t>
            </w:r>
          </w:p>
          <w:p>
            <w:pPr>
              <w:pStyle w:val="Normal"/>
              <w:widowControl w:val="false"/>
              <w:spacing w:before="0" w:after="0"/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Амурская область, п. Талакан</w:t>
            </w:r>
          </w:p>
          <w:p>
            <w:pPr>
              <w:pStyle w:val="Normal"/>
              <w:widowControl w:val="false"/>
              <w:spacing w:before="0" w:after="0"/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Амурская область, г. Зея;</w:t>
            </w:r>
          </w:p>
          <w:p>
            <w:pPr>
              <w:pStyle w:val="Normal"/>
              <w:widowControl w:val="false"/>
              <w:spacing w:before="0" w:after="0"/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Приморский край, г. Владивосток;</w:t>
            </w:r>
          </w:p>
          <w:p>
            <w:pPr>
              <w:pStyle w:val="Normal"/>
              <w:widowControl w:val="false"/>
              <w:spacing w:before="0" w:after="0"/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Хабаровский край, г. Хабаровск;</w:t>
            </w:r>
          </w:p>
          <w:p>
            <w:pPr>
              <w:pStyle w:val="Normal"/>
              <w:widowControl w:val="false"/>
              <w:spacing w:before="0" w:after="0"/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Приморский край, г. Партизанск;</w:t>
            </w:r>
          </w:p>
          <w:p>
            <w:pPr>
              <w:pStyle w:val="Normal"/>
              <w:widowControl w:val="false"/>
              <w:spacing w:before="0" w:after="0"/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Магаданская область, г. Магадан;</w:t>
            </w:r>
          </w:p>
          <w:p>
            <w:pPr>
              <w:pStyle w:val="Normal"/>
              <w:widowControl w:val="false"/>
              <w:spacing w:before="0" w:after="0"/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Сахалинская область, г. Южно-Сахалинск</w:t>
            </w:r>
          </w:p>
          <w:p>
            <w:pPr>
              <w:pStyle w:val="Normal"/>
              <w:widowControl w:val="false"/>
              <w:spacing w:before="0" w:after="0"/>
              <w:ind w:firstLine="567"/>
              <w:contextualSpacing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 Амурская область, пгт. Новобурейский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 w:cs=""/>
                <w:i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</w:r>
          </w:p>
        </w:tc>
      </w:tr>
      <w:tr>
        <w:trPr>
          <w:trHeight w:val="447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3.2</w:t>
            </w:r>
          </w:p>
        </w:tc>
        <w:tc>
          <w:tcPr>
            <w:tcW w:w="175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Требования к упаковке</w:t>
            </w:r>
          </w:p>
        </w:tc>
        <w:tc>
          <w:tcPr>
            <w:tcW w:w="55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Маркировка и (или) упаковка продукции должна обеспечивать Заказчику возможность идентифицировать продукцию.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Продукция, способная оказывать вредное воздействие на здоровье человека, окружающую среду, обладающая пожароопасными свойствами, должна иметь соответствующую предупредительную маркировку.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233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4.</w:t>
            </w:r>
          </w:p>
        </w:tc>
        <w:tc>
          <w:tcPr>
            <w:tcW w:w="7313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Требования к эксплуатации, обеспечению и утилизации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31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4.1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Требования к эксплуатации</w:t>
            </w:r>
          </w:p>
        </w:tc>
        <w:tc>
          <w:tcPr>
            <w:tcW w:w="55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Поставляемая Продукция должна быть новой, неиспользованной, невосстановленной, соответствовать нормативным значениям показателей качества.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572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5.</w:t>
            </w:r>
          </w:p>
        </w:tc>
        <w:tc>
          <w:tcPr>
            <w:tcW w:w="7313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31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5.1</w:t>
            </w:r>
          </w:p>
        </w:tc>
        <w:tc>
          <w:tcPr>
            <w:tcW w:w="1750" w:type="dxa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Срок гарантии</w:t>
            </w:r>
          </w:p>
        </w:tc>
        <w:tc>
          <w:tcPr>
            <w:tcW w:w="55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Гарантийный срок на Товар, поставленный по Договору, составляет 12 (двенадцать) месяцев и начинает течь с даты подписания Сторонами Накладной ТОРГ-12/УПД. Гарантийный срок может быть продлен в соответствии с условиями Договора.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Установленный в отношении Товара гарантийный срок распространяется на все составные части и комплектующие Товара.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  <w:tr>
        <w:trPr>
          <w:trHeight w:val="562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6.</w:t>
            </w:r>
          </w:p>
        </w:tc>
        <w:tc>
          <w:tcPr>
            <w:tcW w:w="7313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b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  <w:tc>
          <w:tcPr>
            <w:tcW w:w="31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62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6.1</w:t>
            </w:r>
          </w:p>
        </w:tc>
        <w:tc>
          <w:tcPr>
            <w:tcW w:w="1750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5563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Calibri" w:cs=""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Поставщик передает Заказчику товарную накладную (ТОРГ-12)/УПД, счет-фактуру</w:t>
            </w:r>
          </w:p>
        </w:tc>
        <w:tc>
          <w:tcPr>
            <w:tcW w:w="221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i/>
                <w:iCs/>
                <w:color w:val="000000" w:themeColor="text1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>-</w:t>
            </w:r>
          </w:p>
        </w:tc>
        <w:tc>
          <w:tcPr>
            <w:tcW w:w="311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color w:val="000000" w:themeColor="text1"/>
                <w:sz w:val="20"/>
                <w:szCs w:val="20"/>
                <w:highlight w:val="none"/>
                <w:shd w:fill="auto" w:val="clear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shd w:fill="auto" w:val="clear"/>
              </w:rPr>
            </w:r>
          </w:p>
        </w:tc>
      </w:tr>
    </w:tbl>
    <w:p>
      <w:pPr>
        <w:sectPr>
          <w:headerReference w:type="default" r:id="rId9"/>
          <w:headerReference w:type="first" r:id="rId10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8"/>
        </w:num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Требования к документации по ценообразованию на этапе закупки</w:t>
      </w:r>
    </w:p>
    <w:p>
      <w:pPr>
        <w:pStyle w:val="Normal"/>
        <w:spacing w:before="0" w:after="0"/>
        <w:ind w:hanging="0" w:left="108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Normal"/>
        <w:numPr>
          <w:ilvl w:val="1"/>
          <w:numId w:val="8"/>
        </w:numPr>
        <w:spacing w:before="0" w:after="120"/>
        <w:jc w:val="both"/>
        <w:rPr>
          <w:b w:val="false"/>
          <w:bCs w:val="false"/>
          <w:i w:val="false"/>
          <w:i w:val="false"/>
          <w:iCs w:val="false"/>
          <w:u w:val="none"/>
        </w:rPr>
      </w:pPr>
      <w:r>
        <w:rPr>
          <w:b w:val="false"/>
          <w:bCs w:val="false"/>
          <w:i w:val="false"/>
          <w:iCs w:val="false"/>
          <w:sz w:val="24"/>
          <w:szCs w:val="24"/>
          <w:u w:val="none"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0" w:name="_Hlk88325985"/>
      <w:r>
        <w:rPr>
          <w:b w:val="false"/>
          <w:bCs w:val="false"/>
          <w:i w:val="false"/>
          <w:iCs w:val="false"/>
          <w:sz w:val="24"/>
          <w:szCs w:val="24"/>
          <w:u w:val="none"/>
          <w:lang w:eastAsia="x-none"/>
        </w:rPr>
        <w:t>(с учетом прилагаемой к ней инструкции по заполнению)</w:t>
      </w:r>
      <w:bookmarkEnd w:id="30"/>
      <w:r>
        <w:rPr>
          <w:b w:val="false"/>
          <w:bCs w:val="false"/>
          <w:i w:val="false"/>
          <w:iCs w:val="false"/>
          <w:sz w:val="24"/>
          <w:szCs w:val="24"/>
          <w:u w:val="none"/>
          <w:lang w:eastAsia="x-none"/>
        </w:rPr>
        <w:t>, приведенной в Документации о закупке.</w:t>
      </w:r>
    </w:p>
    <w:p>
      <w:pPr>
        <w:pStyle w:val="Normal"/>
        <w:numPr>
          <w:ilvl w:val="1"/>
          <w:numId w:val="8"/>
        </w:numPr>
        <w:spacing w:before="0" w:after="120"/>
        <w:jc w:val="both"/>
        <w:rPr>
          <w:b w:val="false"/>
          <w:bCs w:val="false"/>
          <w:i w:val="false"/>
          <w:i w:val="false"/>
          <w:iCs w:val="false"/>
          <w:u w:val="none"/>
        </w:rPr>
      </w:pPr>
      <w:bookmarkStart w:id="31" w:name="_Hlk88327292"/>
      <w:r>
        <w:rPr>
          <w:b w:val="false"/>
          <w:bCs w:val="false"/>
          <w:i w:val="false"/>
          <w:iCs w:val="false"/>
          <w:color w:val="000000" w:themeColor="text1"/>
          <w:sz w:val="24"/>
          <w:szCs w:val="24"/>
          <w:u w:val="none"/>
          <w:lang w:eastAsia="x-none"/>
        </w:rPr>
        <w:t>Дополнительные документы по ценообразованию</w:t>
      </w:r>
      <w:bookmarkEnd w:id="31"/>
      <w:r>
        <w:rPr>
          <w:b w:val="false"/>
          <w:bCs w:val="false"/>
          <w:i w:val="false"/>
          <w:iCs w:val="false"/>
          <w:color w:val="000000" w:themeColor="text1"/>
          <w:sz w:val="24"/>
          <w:szCs w:val="24"/>
          <w:u w:val="none"/>
          <w:lang w:eastAsia="x-none"/>
        </w:rPr>
        <w:t xml:space="preserve"> в состав заявки не включаются.</w:t>
      </w:r>
    </w:p>
    <w:p>
      <w:pPr>
        <w:pStyle w:val="ListParagraph"/>
        <w:tabs>
          <w:tab w:val="clear" w:pos="709"/>
          <w:tab w:val="left" w:pos="851" w:leader="none"/>
        </w:tabs>
        <w:ind w:hanging="0" w:left="410"/>
        <w:jc w:val="both"/>
        <w:rPr>
          <w:i/>
          <w:i/>
          <w:iCs/>
          <w:color w:val="000000" w:themeColor="text1"/>
          <w:lang w:eastAsia="x-none"/>
        </w:rPr>
      </w:pPr>
      <w:r>
        <w:rPr>
          <w:i/>
          <w:iCs/>
          <w:color w:val="000000" w:themeColor="text1"/>
          <w:lang w:eastAsia="x-none"/>
        </w:rPr>
      </w:r>
    </w:p>
    <w:p>
      <w:pPr>
        <w:pStyle w:val="Normal"/>
        <w:tabs>
          <w:tab w:val="clear" w:pos="709"/>
          <w:tab w:val="left" w:pos="851" w:leader="none"/>
        </w:tabs>
        <w:spacing w:before="0" w:after="120"/>
        <w:ind w:hanging="0" w:left="410"/>
        <w:jc w:val="both"/>
        <w:rPr>
          <w:iCs/>
          <w:color w:val="000000" w:themeColor="text1"/>
          <w:sz w:val="24"/>
          <w:szCs w:val="24"/>
          <w:lang w:eastAsia="x-none"/>
        </w:rPr>
      </w:pPr>
      <w:r>
        <w:rPr>
          <w:iCs/>
          <w:color w:val="000000" w:themeColor="text1"/>
          <w:sz w:val="24"/>
          <w:szCs w:val="24"/>
          <w:lang w:eastAsia="x-none"/>
        </w:rPr>
      </w:r>
    </w:p>
    <w:p>
      <w:pPr>
        <w:pStyle w:val="Normal"/>
        <w:ind w:firstLine="851"/>
        <w:rPr>
          <w:color w:val="1F4E79"/>
          <w:sz w:val="24"/>
          <w:szCs w:val="24"/>
        </w:rPr>
      </w:pPr>
      <w:r>
        <w:rPr>
          <w:color w:val="1F4E79"/>
          <w:sz w:val="24"/>
          <w:szCs w:val="24"/>
        </w:rPr>
      </w:r>
    </w:p>
    <w:p>
      <w:pPr>
        <w:pStyle w:val="ListParagraph"/>
        <w:numPr>
          <w:ilvl w:val="0"/>
          <w:numId w:val="8"/>
        </w:numPr>
        <w:jc w:val="center"/>
        <w:rPr>
          <w:b/>
          <w:color w:val="1F497D"/>
          <w:lang w:eastAsia="en-US"/>
        </w:rPr>
      </w:pPr>
      <w:r>
        <w:rPr>
          <w:b/>
          <w:lang w:eastAsia="en-US"/>
        </w:rPr>
        <w:t>Приложения</w:t>
      </w:r>
    </w:p>
    <w:p>
      <w:pPr>
        <w:pStyle w:val="Normal"/>
        <w:rPr>
          <w:b/>
          <w:color w:val="1F497D"/>
          <w:lang w:eastAsia="en-US"/>
        </w:rPr>
      </w:pPr>
      <w:r>
        <w:rPr>
          <w:b/>
          <w:color w:val="1F497D"/>
          <w:lang w:eastAsia="en-US"/>
        </w:rPr>
      </w:r>
    </w:p>
    <w:p>
      <w:pPr>
        <w:pStyle w:val="ListParagraph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>Форма заявки на поставку товара.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  <w:shd w:fill="FFFFFF" w:val="clear"/>
        </w:rPr>
      </w:pPr>
      <w:r>
        <w:rPr>
          <w:sz w:val="22"/>
          <w:szCs w:val="22"/>
          <w:shd w:fill="FFFFFF" w:val="clear"/>
        </w:rPr>
      </w:r>
    </w:p>
    <w:p>
      <w:pPr>
        <w:pStyle w:val="Normal"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>
      <w:pPr>
        <w:pStyle w:val="Normal"/>
        <w:ind w:firstLine="4820"/>
        <w:jc w:val="right"/>
        <w:rPr>
          <w:sz w:val="22"/>
          <w:szCs w:val="22"/>
        </w:rPr>
      </w:pPr>
      <w:r>
        <w:rPr>
          <w:sz w:val="22"/>
          <w:szCs w:val="22"/>
        </w:rPr>
        <w:t>к техническим требованиям</w:t>
      </w:r>
    </w:p>
    <w:p>
      <w:pPr>
        <w:pStyle w:val="Normal"/>
        <w:ind w:firstLine="58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firstLine="58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9"/>
          <w:tab w:val="left" w:pos="2700" w:leader="none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Заявка </w:t>
      </w:r>
    </w:p>
    <w:p>
      <w:pPr>
        <w:pStyle w:val="Normal"/>
        <w:tabs>
          <w:tab w:val="clear" w:pos="709"/>
          <w:tab w:val="left" w:pos="1843" w:leader="none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поставку Товара</w:t>
      </w:r>
    </w:p>
    <w:p>
      <w:pPr>
        <w:pStyle w:val="Normal"/>
        <w:tabs>
          <w:tab w:val="clear" w:pos="709"/>
          <w:tab w:val="left" w:pos="1843" w:leader="none"/>
          <w:tab w:val="left" w:pos="4395" w:leader="none"/>
        </w:tabs>
        <w:ind w:firstLine="709"/>
        <w:jc w:val="center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(форма)</w:t>
      </w:r>
    </w:p>
    <w:p>
      <w:pPr>
        <w:pStyle w:val="Normal"/>
        <w:tabs>
          <w:tab w:val="clear" w:pos="709"/>
          <w:tab w:val="left" w:pos="2700" w:leader="none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9"/>
          <w:tab w:val="left" w:pos="2700" w:leader="none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Заявка №___</w:t>
      </w:r>
    </w:p>
    <w:p>
      <w:pPr>
        <w:pStyle w:val="Normal"/>
        <w:tabs>
          <w:tab w:val="clear" w:pos="709"/>
          <w:tab w:val="left" w:pos="2700" w:leader="none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поставку Товара </w:t>
      </w:r>
    </w:p>
    <w:p>
      <w:pPr>
        <w:pStyle w:val="Normal"/>
        <w:tabs>
          <w:tab w:val="clear" w:pos="709"/>
          <w:tab w:val="left" w:pos="2700" w:leader="none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договору поставки №______________ от «____» _____201_ г. </w:t>
      </w:r>
    </w:p>
    <w:p>
      <w:pPr>
        <w:pStyle w:val="Normal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firstLine="70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5000" w:type="pct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5"/>
        <w:gridCol w:w="1057"/>
        <w:gridCol w:w="1154"/>
        <w:gridCol w:w="723"/>
        <w:gridCol w:w="1088"/>
        <w:gridCol w:w="1218"/>
        <w:gridCol w:w="1011"/>
        <w:gridCol w:w="1443"/>
        <w:gridCol w:w="866"/>
        <w:gridCol w:w="865"/>
      </w:tblGrid>
      <w:tr>
        <w:trPr>
          <w:trHeight w:val="543" w:hRule="atLeast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Наименование Товара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Артикул, тип, марка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Количество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Цена за единицу, руб. без НДС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НДС (___%), руб.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Стоимость, в том числе НДС, руб.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Место поставки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Дата поставки</w:t>
            </w:r>
          </w:p>
        </w:tc>
      </w:tr>
      <w:tr>
        <w:trPr>
          <w:trHeight w:val="556" w:hRule="atLeast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1.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2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56" w:hRule="atLeast"/>
        </w:trPr>
        <w:tc>
          <w:tcPr>
            <w:tcW w:w="99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70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Итого:</w:t>
            </w:r>
          </w:p>
        </w:tc>
      </w:tr>
    </w:tbl>
    <w:p>
      <w:pPr>
        <w:pStyle w:val="Normal"/>
        <w:numPr>
          <w:ilvl w:val="0"/>
          <w:numId w:val="0"/>
        </w:numPr>
        <w:ind w:firstLine="709" w:left="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ind w:firstLine="709" w:left="0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bCs/>
          <w:sz w:val="24"/>
          <w:szCs w:val="24"/>
        </w:rPr>
      </w:pPr>
      <w:bookmarkStart w:id="32" w:name="_Toc126424650"/>
      <w:bookmarkStart w:id="33" w:name="_Toc127718578"/>
      <w:bookmarkStart w:id="34" w:name="_Toc128681790"/>
      <w:r>
        <w:rPr>
          <w:b/>
          <w:bCs/>
          <w:sz w:val="24"/>
          <w:szCs w:val="24"/>
        </w:rPr>
        <w:t>ПОДПИСИ СТОРОН:</w:t>
      </w:r>
      <w:bookmarkEnd w:id="32"/>
      <w:bookmarkEnd w:id="33"/>
      <w:bookmarkEnd w:id="34"/>
    </w:p>
    <w:p>
      <w:pPr>
        <w:pStyle w:val="Normal"/>
        <w:numPr>
          <w:ilvl w:val="0"/>
          <w:numId w:val="0"/>
        </w:numPr>
        <w:ind w:firstLine="709" w:left="0"/>
        <w:jc w:val="center"/>
        <w:outlineLvl w:val="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tbl>
      <w:tblPr>
        <w:tblW w:w="9923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818"/>
        <w:gridCol w:w="5104"/>
      </w:tblGrid>
      <w:tr>
        <w:trPr/>
        <w:tc>
          <w:tcPr>
            <w:tcW w:w="4818" w:type="dxa"/>
            <w:tcBorders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_____________________/_____________</w:t>
            </w:r>
          </w:p>
          <w:p>
            <w:pPr>
              <w:pStyle w:val="Normal"/>
              <w:widowControl w:val="false"/>
              <w:ind w:firstLine="7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04" w:type="dxa"/>
            <w:tcBorders/>
          </w:tcPr>
          <w:p>
            <w:pPr>
              <w:pStyle w:val="Normal"/>
              <w:widowControl w:val="false"/>
              <w:ind w:hanging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  <w:p>
            <w:pPr>
              <w:pStyle w:val="Normal"/>
              <w:widowControl w:val="false"/>
              <w:ind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ind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_____________________/____________</w:t>
            </w:r>
          </w:p>
          <w:p>
            <w:pPr>
              <w:pStyle w:val="Normal"/>
              <w:widowControl w:val="false"/>
              <w:ind w:firstLine="70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ind w:firstLine="70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(конец формы)</w:t>
      </w:r>
    </w:p>
    <w:p>
      <w:pPr>
        <w:pStyle w:val="Normal"/>
        <w:jc w:val="both"/>
        <w:rPr>
          <w:lang w:eastAsia="x-none"/>
        </w:rPr>
      </w:pPr>
      <w:r>
        <w:rPr>
          <w:lang w:eastAsia="x-none"/>
        </w:rPr>
      </w:r>
    </w:p>
    <w:p>
      <w:pPr>
        <w:pStyle w:val="Normal"/>
        <w:keepNext w:val="true"/>
        <w:keepLines/>
        <w:jc w:val="center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sectPr>
      <w:headerReference w:type="default" r:id="rId11"/>
      <w:headerReference w:type="first" r:id="rId12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29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28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6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i w:val="false"/>
        <w:b/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tabs>
        <w:tab w:val="clear" w:pos="709"/>
        <w:tab w:val="left" w:pos="0" w:leader="none"/>
      </w:tabs>
      <w:spacing w:before="120" w:after="0"/>
      <w:ind w:hanging="0" w:left="567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 нумерации"/>
    <w:qFormat/>
    <w:rPr/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firstLine="287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s://sankt-peterburg.skladmasla.ru/catalog/smazki/filter/temperatura_primeneniya_s_min-is-7d5f4c40-6bdf-11ee-8b40-000c29cbb05f/apply/" TargetMode="External"/><Relationship Id="rId6" Type="http://schemas.openxmlformats.org/officeDocument/2006/relationships/hyperlink" Target="https://sankt-peterburg.skladmasla.ru/catalog/smazki/filter/temperatura_primeneniya_s_max-is-c8a69201-6bdf-11ee-8b40-000c29cbb05f/apply/" TargetMode="External"/><Relationship Id="rId7" Type="http://schemas.openxmlformats.org/officeDocument/2006/relationships/hyperlink" Target="https://sankt-peterburg.skladmasla.ru/catalog/smazki/filter/naznachenie_smazki-is-a1e24b63-7714-11ee-8b41-000c29cbb05f/apply/" TargetMode="External"/><Relationship Id="rId8" Type="http://schemas.openxmlformats.org/officeDocument/2006/relationships/hyperlink" Target="https://sankt-peterburg.skladmasla.ru/catalog/smazki/filter/kinematicheskaya_vyazkost_bazovogo_masla_pri_40_s-is-/apply/" TargetMode="Externa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BD76B-B9A6-464F-9071-66D8BFE11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3249</TotalTime>
  <Application>AlterOffice/2026.2.0.0$Linux_X86_64 LibreOffice_project/bc4ef1adf80b36c7a6365f8ed6cbf29021361edd</Application>
  <AppVersion>15.0000</AppVersion>
  <Pages>29</Pages>
  <Words>5878</Words>
  <Characters>32523</Characters>
  <CharactersWithSpaces>37002</CharactersWithSpaces>
  <Paragraphs>1414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2025-08-13T00:33:00Z</dcterms:created>
  <dc:creator>Быстров Олег Геннадьевич</dc:creator>
  <dc:description/>
  <dc:language>ru-RU</dc:language>
  <cp:lastModifiedBy>sultanovmm@corp.gidroogk.com</cp:lastModifiedBy>
  <cp:lastPrinted>2026-09-24T15:22:18Z</cp:lastPrinted>
  <dcterms:modified xsi:type="dcterms:W3CDTF">2026-09-24T15:33:31Z</dcterms:modified>
  <cp:revision>122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