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5.wmf" ContentType="image/x-wmf"/>
  <Override PartName="/word/media/image1.wmf" ContentType="image/x-wmf"/>
  <Override PartName="/word/media/image2.wmf" ContentType="image/x-wmf"/>
  <Override PartName="/word/media/image3.wmf" ContentType="image/x-wmf"/>
  <Override PartName="/word/footer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header13.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5.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header14.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0"/>
        <w:keepNext w:val="true"/>
        <w:spacing w:before="120" w:after="0"/>
        <w:ind w:left="4536" w:hanging="0"/>
        <w:rPr/>
      </w:pPr>
      <w:r>
        <w:rPr/>
      </w:r>
    </w:p>
    <w:p>
      <w:pPr>
        <w:pStyle w:val="Style30"/>
        <w:spacing w:before="120" w:after="0"/>
        <w:ind w:left="4536" w:hanging="0"/>
        <w:rPr/>
      </w:pPr>
      <w:r>
        <w:rPr/>
      </w:r>
    </w:p>
    <w:p>
      <w:pPr>
        <w:pStyle w:val="Style30"/>
        <w:spacing w:before="120" w:after="0"/>
        <w:ind w:left="4536" w:hanging="0"/>
        <w:rPr/>
      </w:pPr>
      <w:r>
        <w:rPr/>
      </w:r>
    </w:p>
    <w:p>
      <w:pPr>
        <w:pStyle w:val="Style30"/>
        <w:spacing w:before="120" w:after="0"/>
        <w:ind w:left="4536" w:hanging="0"/>
        <w:rPr/>
      </w:pPr>
      <w:r>
        <w:rPr/>
      </w:r>
    </w:p>
    <w:p>
      <w:pPr>
        <w:pStyle w:val="Style30"/>
        <w:spacing w:before="120" w:after="0"/>
        <w:ind w:left="4536" w:hanging="0"/>
        <w:rPr/>
      </w:pPr>
      <w:r>
        <w:rPr/>
      </w:r>
    </w:p>
    <w:p>
      <w:pPr>
        <w:pStyle w:val="Style3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Конкурс в электронной форме,</w:t>
        <w:br/>
        <w:t>участниками которого могут быть только субъекты МСП,</w:t>
        <w:br/>
        <w:t>на право заключения договора на</w:t>
      </w:r>
      <w:r>
        <w:rPr>
          <w:rFonts w:eastAsia="Calibri" w:cs="" w:cstheme="minorBidi" w:eastAsiaTheme="minorHAnsi"/>
          <w:color w:val="auto"/>
          <w:kern w:val="0"/>
          <w:sz w:val="26"/>
          <w:szCs w:val="22"/>
          <w:lang w:val="ru-RU" w:eastAsia="en-US" w:bidi="ar-SA"/>
        </w:rPr>
        <w:t> «ОКПД2 42.22.22.140 Выполнение работ по установке птицезащитных устройств на объектах: ВЛ 35 кВ А-База, ВЛ 35 кВ База-Энергетик, ВЛ 35 кВ Широкий-А, ВЛ 35 кВ Восток-Угольная 1, ВЛ 35 кВ Восток-Угольная 2, ВЛ 35 кВ Обувная-Энергетик, ВЛ 35 кВ Новомихайловка-Белый Яр, ВЛ 35 кВ Угольная-Обувная, ВЛ 35 кВ Успеновка-Белый Яр, ВЛ 35 кВ Спасск-Ярцево, ВЛ 35 кВ Архара-Набережная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r>
        <w:rPr>
          <w:rStyle w:val="Style8"/>
          <w:rFonts w:eastAsia="Calibri" w:cs="" w:cstheme="minorBidi" w:eastAsiaTheme="minorHAnsi"/>
          <w:i w:val="false"/>
          <w:iCs w:val="false"/>
          <w:color w:val="000000"/>
          <w:kern w:val="0"/>
          <w:sz w:val="26"/>
          <w:szCs w:val="22"/>
          <w:shd w:fill="FFFFFF" w:val="clear"/>
          <w:lang w:val="ru-RU" w:eastAsia="en-US" w:bidi="ar-SA"/>
        </w:rPr>
        <w:t>»</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keepNext w:val="true"/>
        <w:spacing w:before="240" w:after="0"/>
        <w:jc w:val="center"/>
        <w:rPr/>
      </w:pPr>
      <w:r>
        <w:rPr/>
        <w:t>(Лот №</w:t>
      </w:r>
      <w:r>
        <w:rPr>
          <w:rFonts w:eastAsia="Calibri" w:cs="" w:cstheme="minorBidi" w:eastAsiaTheme="minorHAnsi"/>
          <w:i w:val="false"/>
          <w:iCs w:val="false"/>
          <w:color w:val="000000"/>
          <w:kern w:val="0"/>
          <w:sz w:val="26"/>
          <w:szCs w:val="22"/>
          <w:shd w:fill="FFFFFF" w:val="clear"/>
          <w:lang w:val="ru-RU" w:eastAsia="en-US" w:bidi="ar-SA"/>
        </w:rPr>
        <w:t> </w:t>
      </w:r>
      <w:r>
        <w:rPr>
          <w:rStyle w:val="Style8"/>
          <w:rFonts w:eastAsia="Calibri" w:cs="" w:cstheme="minorBidi" w:eastAsiaTheme="minorHAnsi"/>
          <w:i w:val="false"/>
          <w:iCs w:val="false"/>
          <w:color w:val="000000"/>
          <w:kern w:val="0"/>
          <w:sz w:val="26"/>
          <w:szCs w:val="22"/>
          <w:shd w:fill="FFFFFF" w:val="clear"/>
          <w:lang w:val="ru-RU" w:eastAsia="en-US" w:bidi="ar-SA"/>
        </w:rPr>
        <w:t>17301-РЕМ ПРОД-2027-ДРСК-АЭС</w:t>
      </w:r>
      <w:r>
        <w:rPr>
          <w:rFonts w:eastAsia="Calibri" w:cs="" w:cstheme="minorBidi" w:eastAsiaTheme="minorHAnsi"/>
          <w:i w:val="false"/>
          <w:iCs w:val="false"/>
          <w:color w:val="000000"/>
          <w:kern w:val="0"/>
          <w:sz w:val="26"/>
          <w:szCs w:val="22"/>
          <w:shd w:fill="FFFFFF" w:val="clear"/>
          <w:lang w:val="ru-RU" w:eastAsia="en-US" w:bidi="ar-SA"/>
        </w:rPr>
        <w:t>)</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"[РГ] Перечисление,5,[РГ] Подпункт,4,[РГ] Пункт,3,[РГ] Подраздел,2,[РГ] Раздел,1,[РГ] Раздел,1,[РГ] Раздел,1,[РГ] Раздел,1,[РГ] Раздел,1,[РГ] Раздел,1,[РГ] Подраздел,2,[РГ] Подраздел,2,[РГ] Подраздел,2,[РГ] Подраздел,2,[РГ] Подраздел,2,[РГ] Пункт,3,[РГ] Пункт,3,[РГ] Пункт,3,[РГ] Пункт,3,[РГ] Подпункт,4,[РГ] Подпункт,4,[РГ] Подпункт,4,[РГ] Подпункт,4,[РГ] Перечисление,5,[РГ] Перечисление,5,[РГ] Перечисление,5,[РГ] Перечисление,5" \h</w:instrText>
          </w:r>
          <w:r>
            <w:rPr>
              <w:webHidden/>
              <w:rStyle w:val="Style17"/>
              <w:vanish w:val="false"/>
            </w:rPr>
            <w:fldChar w:fldCharType="separate"/>
          </w:r>
          <w:hyperlink w:anchor="_Toc228876833">
            <w:r>
              <w:rPr>
                <w:webHidden/>
              </w:rPr>
              <w:fldChar w:fldCharType="begin"/>
            </w:r>
            <w:r>
              <w:rPr>
                <w:webHidden/>
              </w:rPr>
              <w:instrText xml:space="preserve">PAGEREF _Toc228876833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34">
            <w:r>
              <w:rPr>
                <w:webHidden/>
              </w:rPr>
              <w:fldChar w:fldCharType="begin"/>
            </w:r>
            <w:r>
              <w:rPr>
                <w:webHidden/>
              </w:rPr>
              <w:instrText xml:space="preserve">PAGEREF _Toc228876834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35">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_Toc228876835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36">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_Toc228876836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37">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_Toc228876837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38">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_Toc228876838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39">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_Toc228876839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0">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_Toc228876840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1">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_Toc228876841 \h</w:instrText>
            </w:r>
            <w:r>
              <w:rPr>
                <w:webHidden/>
              </w:rPr>
              <w:fldChar w:fldCharType="separate"/>
            </w:r>
            <w:r>
              <w:rPr>
                <w:rStyle w:val="Style17"/>
                <w:vanish w:val="false"/>
              </w:rPr>
              <w:tab/>
              <w:t>27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2">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_Toc228876842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3">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_Toc228876843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44">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_Toc228876844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5">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_Toc228876845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6">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_Toc228876846 \h</w:instrText>
            </w:r>
            <w:r>
              <w:rPr>
                <w:webHidden/>
              </w:rPr>
              <w:fldChar w:fldCharType="separate"/>
            </w:r>
            <w:r>
              <w:rPr>
                <w:rStyle w:val="Style17"/>
                <w:vanish w:val="false"/>
              </w:rPr>
              <w:tab/>
              <w:t>30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47">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_Toc228876847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8">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_Toc228876848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49">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_Toc228876849 \h</w:instrText>
            </w:r>
            <w:r>
              <w:rPr>
                <w:webHidden/>
              </w:rPr>
              <w:fldChar w:fldCharType="separate"/>
            </w:r>
            <w:r>
              <w:rPr>
                <w:rStyle w:val="Style17"/>
                <w:vanish w:val="false"/>
              </w:rPr>
              <w:tab/>
              <w:t>35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0">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Предзаявочное обсуждение</w:t>
            </w:r>
            <w:r>
              <w:rPr>
                <w:webHidden/>
              </w:rPr>
              <w:fldChar w:fldCharType="begin"/>
            </w:r>
            <w:r>
              <w:rPr>
                <w:webHidden/>
              </w:rPr>
              <w:instrText xml:space="preserve">PAGEREF _Toc228876850 \h</w:instrText>
            </w:r>
            <w:r>
              <w:rPr>
                <w:webHidden/>
              </w:rPr>
              <w:fldChar w:fldCharType="separate"/>
            </w:r>
            <w:r>
              <w:rPr>
                <w:rStyle w:val="Style17"/>
                <w:vanish w:val="false"/>
              </w:rPr>
              <w:tab/>
              <w:t>35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1">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_Toc228876851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2">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_Toc228876852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3">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_Toc228876853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4">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_Toc228876854 \h</w:instrText>
            </w:r>
            <w:r>
              <w:rPr>
                <w:webHidden/>
              </w:rPr>
              <w:fldChar w:fldCharType="separate"/>
            </w:r>
            <w:r>
              <w:rPr>
                <w:rStyle w:val="Style17"/>
                <w:vanish w:val="false"/>
              </w:rPr>
              <w:tab/>
              <w:t>42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5">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_Toc228876855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6">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_Toc228876856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7">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Обсуждение заявок</w:t>
            </w:r>
            <w:r>
              <w:rPr>
                <w:webHidden/>
              </w:rPr>
              <w:fldChar w:fldCharType="begin"/>
            </w:r>
            <w:r>
              <w:rPr>
                <w:webHidden/>
              </w:rPr>
              <w:instrText xml:space="preserve">PAGEREF _Toc228876857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8">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окончательных предложений</w:t>
            </w:r>
            <w:r>
              <w:rPr>
                <w:webHidden/>
              </w:rPr>
              <w:fldChar w:fldCharType="begin"/>
            </w:r>
            <w:r>
              <w:rPr>
                <w:webHidden/>
              </w:rPr>
              <w:instrText xml:space="preserve">PAGEREF _Toc228876858 \h</w:instrText>
            </w:r>
            <w:r>
              <w:rPr>
                <w:webHidden/>
              </w:rPr>
              <w:fldChar w:fldCharType="separate"/>
            </w:r>
            <w:r>
              <w:rPr>
                <w:rStyle w:val="Style17"/>
                <w:vanish w:val="false"/>
              </w:rPr>
              <w:tab/>
              <w:t>45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59">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окончательным предложениям</w:t>
            </w:r>
            <w:r>
              <w:rPr>
                <w:webHidden/>
              </w:rPr>
              <w:fldChar w:fldCharType="begin"/>
            </w:r>
            <w:r>
              <w:rPr>
                <w:webHidden/>
              </w:rPr>
              <w:instrText xml:space="preserve">PAGEREF _Toc228876859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0">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 окончательных предложений (отборочная стадия)</w:t>
            </w:r>
            <w:r>
              <w:rPr>
                <w:webHidden/>
              </w:rPr>
              <w:fldChar w:fldCharType="begin"/>
            </w:r>
            <w:r>
              <w:rPr>
                <w:webHidden/>
              </w:rPr>
              <w:instrText xml:space="preserve">PAGEREF _Toc228876860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1">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_Toc228876861 \h</w:instrText>
            </w:r>
            <w:r>
              <w:rPr>
                <w:webHidden/>
              </w:rPr>
              <w:fldChar w:fldCharType="separate"/>
            </w:r>
            <w:r>
              <w:rPr>
                <w:rStyle w:val="Style17"/>
                <w:vanish w:val="false"/>
              </w:rPr>
              <w:tab/>
              <w:t>47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2">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_Toc228876862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3">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_Toc228876863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4">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Переторжка (подача дополнительных ценовых предложений)</w:t>
            </w:r>
            <w:r>
              <w:rPr>
                <w:webHidden/>
              </w:rPr>
              <w:fldChar w:fldCharType="begin"/>
            </w:r>
            <w:r>
              <w:rPr>
                <w:webHidden/>
              </w:rPr>
              <w:instrText xml:space="preserve">PAGEREF _Toc228876864 \h</w:instrText>
            </w:r>
            <w:r>
              <w:rPr>
                <w:webHidden/>
              </w:rPr>
              <w:fldChar w:fldCharType="separate"/>
            </w:r>
            <w:r>
              <w:rPr>
                <w:rStyle w:val="Style17"/>
                <w:vanish w:val="false"/>
              </w:rPr>
              <w:tab/>
              <w:t>51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5">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дополнительных ценовых предложений</w:t>
            </w:r>
            <w:r>
              <w:rPr>
                <w:webHidden/>
              </w:rPr>
              <w:fldChar w:fldCharType="begin"/>
            </w:r>
            <w:r>
              <w:rPr>
                <w:webHidden/>
              </w:rPr>
              <w:instrText xml:space="preserve">PAGEREF _Toc228876865 \h</w:instrText>
            </w:r>
            <w:r>
              <w:rPr>
                <w:webHidden/>
              </w:rPr>
              <w:fldChar w:fldCharType="separate"/>
            </w:r>
            <w:r>
              <w:rPr>
                <w:rStyle w:val="Style17"/>
                <w:vanish w:val="false"/>
              </w:rPr>
              <w:tab/>
              <w:t>52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6">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_Toc228876866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7">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_Toc228876867 \h</w:instrText>
            </w:r>
            <w:r>
              <w:rPr>
                <w:webHidden/>
              </w:rPr>
              <w:fldChar w:fldCharType="separate"/>
            </w:r>
            <w:r>
              <w:rPr>
                <w:rStyle w:val="Style17"/>
                <w:vanish w:val="false"/>
              </w:rPr>
              <w:tab/>
              <w:t>54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8">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_Toc228876868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69">
            <w:r>
              <w:rPr>
                <w:webHidden/>
                <w:rStyle w:val="Style17"/>
                <w:vanish w:val="false"/>
              </w:rPr>
              <w:t>4.22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_Toc228876869 \h</w:instrText>
            </w:r>
            <w:r>
              <w:rPr>
                <w:webHidden/>
              </w:rPr>
              <w:fldChar w:fldCharType="separate"/>
            </w:r>
            <w:r>
              <w:rPr>
                <w:rStyle w:val="Style17"/>
                <w:vanish w:val="false"/>
              </w:rPr>
              <w:tab/>
              <w:t>57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0">
            <w:r>
              <w:rPr>
                <w:webHidden/>
                <w:rStyle w:val="Style17"/>
                <w:vanish w:val="false"/>
              </w:rPr>
              <w:t>4.23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_Toc228876870 \h</w:instrText>
            </w:r>
            <w:r>
              <w:rPr>
                <w:webHidden/>
              </w:rPr>
              <w:fldChar w:fldCharType="separate"/>
            </w:r>
            <w:r>
              <w:rPr>
                <w:rStyle w:val="Style17"/>
                <w:vanish w:val="false"/>
              </w:rPr>
              <w:tab/>
              <w:t>58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1">
            <w:r>
              <w:rPr>
                <w:webHidden/>
                <w:rStyle w:val="Style17"/>
                <w:vanish w:val="false"/>
              </w:rPr>
              <w:t>4.24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_Toc228876871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2">
            <w:r>
              <w:rPr>
                <w:webHidden/>
                <w:rStyle w:val="Style17"/>
                <w:vanish w:val="false"/>
              </w:rPr>
              <w:t>4.25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_Toc228876872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3">
            <w:r>
              <w:rPr>
                <w:webHidden/>
                <w:rStyle w:val="Style17"/>
                <w:vanish w:val="false"/>
              </w:rPr>
              <w:t>4.26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_Toc228876873 \h</w:instrText>
            </w:r>
            <w:r>
              <w:rPr>
                <w:webHidden/>
              </w:rPr>
              <w:fldChar w:fldCharType="separate"/>
            </w:r>
            <w:r>
              <w:rPr>
                <w:rStyle w:val="Style17"/>
                <w:vanish w:val="false"/>
              </w:rPr>
              <w:tab/>
              <w:t>64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4">
            <w:r>
              <w:rPr>
                <w:webHidden/>
                <w:rStyle w:val="Style17"/>
                <w:vanish w:val="false"/>
              </w:rPr>
              <w:t>4.27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_Toc228876874 \h</w:instrText>
            </w:r>
            <w:r>
              <w:rPr>
                <w:webHidden/>
              </w:rPr>
              <w:fldChar w:fldCharType="separate"/>
            </w:r>
            <w:r>
              <w:rPr>
                <w:rStyle w:val="Style17"/>
                <w:vanish w:val="false"/>
              </w:rPr>
              <w:tab/>
              <w:t>65</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75">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_Toc228876875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6">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_Toc228876876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7">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_Toc228876877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78">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_Toc228876878 \h</w:instrText>
            </w:r>
            <w:r>
              <w:rPr>
                <w:webHidden/>
              </w:rPr>
              <w:fldChar w:fldCharType="separate"/>
            </w:r>
            <w:r>
              <w:rPr>
                <w:rStyle w:val="Style17"/>
                <w:vanish w:val="false"/>
              </w:rPr>
              <w:tab/>
              <w:t>68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79">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_Toc228876879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0">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_Toc228876880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81">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_Toc228876881 \h</w:instrText>
            </w:r>
            <w:r>
              <w:rPr>
                <w:webHidden/>
              </w:rPr>
              <w:fldChar w:fldCharType="separate"/>
            </w:r>
            <w:r>
              <w:rPr>
                <w:rStyle w:val="Style17"/>
                <w:vanish w:val="false"/>
              </w:rPr>
              <w:tab/>
              <w:t>71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2">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_Toc228876882 \h</w:instrText>
            </w:r>
            <w:r>
              <w:rPr>
                <w:webHidden/>
              </w:rPr>
              <w:fldChar w:fldCharType="separate"/>
            </w:r>
            <w:r>
              <w:rPr>
                <w:rStyle w:val="Style17"/>
                <w:vanish w:val="false"/>
              </w:rPr>
              <w:tab/>
              <w:t>71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83">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_Toc228876883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4">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_Toc228876884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5">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_Toc228876885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6">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_Toc228876886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7">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_Toc228876887 \h</w:instrText>
            </w:r>
            <w:r>
              <w:rPr>
                <w:webHidden/>
              </w:rPr>
              <w:fldChar w:fldCharType="separate"/>
            </w:r>
            <w:r>
              <w:rPr>
                <w:rStyle w:val="Style17"/>
                <w:vanish w:val="false"/>
              </w:rPr>
              <w:tab/>
              <w:t>77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88">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_Toc228876888 \h</w:instrText>
            </w:r>
            <w:r>
              <w:rPr>
                <w:webHidden/>
              </w:rPr>
              <w:fldChar w:fldCharType="separate"/>
            </w:r>
            <w:r>
              <w:rPr>
                <w:rStyle w:val="Style17"/>
                <w:vanish w:val="false"/>
              </w:rPr>
              <w:tab/>
              <w:t>79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89">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_Toc228876889 \h</w:instrText>
            </w:r>
            <w:r>
              <w:rPr>
                <w:webHidden/>
              </w:rPr>
              <w:fldChar w:fldCharType="separate"/>
            </w:r>
            <w:r>
              <w:rPr>
                <w:rStyle w:val="Style17"/>
                <w:vanish w:val="false"/>
              </w:rPr>
              <w:tab/>
              <w:t>79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90">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_Toc228876890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1">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_Toc228876891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2">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_Toc228876892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3">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_Toc228876893 \h</w:instrText>
            </w:r>
            <w:r>
              <w:rPr>
                <w:webHidden/>
              </w:rPr>
              <w:fldChar w:fldCharType="separate"/>
            </w:r>
            <w:r>
              <w:rPr>
                <w:rStyle w:val="Style17"/>
                <w:vanish w:val="false"/>
              </w:rPr>
              <w:tab/>
              <w:t>80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94">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_Toc228876894 \h</w:instrText>
            </w:r>
            <w:r>
              <w:rPr>
                <w:webHidden/>
              </w:rPr>
              <w:fldChar w:fldCharType="separate"/>
            </w:r>
            <w:r>
              <w:rPr>
                <w:rStyle w:val="Style17"/>
                <w:vanish w:val="false"/>
              </w:rPr>
              <w:tab/>
              <w:t>82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5">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_Toc228876895 \h</w:instrText>
            </w:r>
            <w:r>
              <w:rPr>
                <w:webHidden/>
              </w:rPr>
              <w:fldChar w:fldCharType="separate"/>
            </w:r>
            <w:r>
              <w:rPr>
                <w:rStyle w:val="Style17"/>
                <w:vanish w:val="false"/>
              </w:rPr>
              <w:tab/>
              <w:t>82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896">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_Toc228876896 \h</w:instrText>
            </w:r>
            <w:r>
              <w:rPr>
                <w:webHidden/>
              </w:rPr>
              <w:fldChar w:fldCharType="separate"/>
            </w:r>
            <w:r>
              <w:rPr>
                <w:rStyle w:val="Style17"/>
                <w:vanish w:val="false"/>
              </w:rPr>
              <w:tab/>
              <w:t>85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7">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 (первых частей заявок, содержащихся в окончательных предложениях)</w:t>
            </w:r>
            <w:r>
              <w:rPr>
                <w:webHidden/>
              </w:rPr>
              <w:fldChar w:fldCharType="begin"/>
            </w:r>
            <w:r>
              <w:rPr>
                <w:webHidden/>
              </w:rPr>
              <w:instrText xml:space="preserve">PAGEREF _Toc228876897 \h</w:instrText>
            </w:r>
            <w:r>
              <w:rPr>
                <w:webHidden/>
              </w:rPr>
              <w:fldChar w:fldCharType="separate"/>
            </w:r>
            <w:r>
              <w:rPr>
                <w:rStyle w:val="Style17"/>
                <w:vanish w:val="false"/>
              </w:rPr>
              <w:tab/>
              <w:t>85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8">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_Toc228876898 \h</w:instrText>
            </w:r>
            <w:r>
              <w:rPr>
                <w:webHidden/>
              </w:rPr>
              <w:fldChar w:fldCharType="separate"/>
            </w:r>
            <w:r>
              <w:rPr>
                <w:rStyle w:val="Style17"/>
                <w:vanish w:val="false"/>
              </w:rPr>
              <w:tab/>
              <w:t>86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899">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_Toc228876899 \h</w:instrText>
            </w:r>
            <w:r>
              <w:rPr>
                <w:webHidden/>
              </w:rPr>
              <w:fldChar w:fldCharType="separate"/>
            </w:r>
            <w:r>
              <w:rPr>
                <w:rStyle w:val="Style17"/>
                <w:vanish w:val="false"/>
              </w:rPr>
              <w:tab/>
              <w:t>87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0">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 (дополнительных ценовых предложений)</w:t>
            </w:r>
            <w:r>
              <w:rPr>
                <w:webHidden/>
              </w:rPr>
              <w:fldChar w:fldCharType="begin"/>
            </w:r>
            <w:r>
              <w:rPr>
                <w:webHidden/>
              </w:rPr>
              <w:instrText xml:space="preserve">PAGEREF _Toc228876900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1">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_Toc228876901 \h</w:instrText>
            </w:r>
            <w:r>
              <w:rPr>
                <w:webHidden/>
              </w:rPr>
              <w:fldChar w:fldCharType="separate"/>
            </w:r>
            <w:r>
              <w:rPr>
                <w:rStyle w:val="Style17"/>
                <w:vanish w:val="false"/>
              </w:rPr>
              <w:tab/>
              <w:t>91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902">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_Toc228876902 \h</w:instrText>
            </w:r>
            <w:r>
              <w:rPr>
                <w:webHidden/>
              </w:rPr>
              <w:fldChar w:fldCharType="separate"/>
            </w:r>
            <w:r>
              <w:rPr>
                <w:rStyle w:val="Style17"/>
                <w:vanish w:val="false"/>
              </w:rPr>
              <w:tab/>
              <w:t>94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3">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_Toc228876903 \h</w:instrText>
            </w:r>
            <w:r>
              <w:rPr>
                <w:webHidden/>
              </w:rPr>
              <w:fldChar w:fldCharType="separate"/>
            </w:r>
            <w:r>
              <w:rPr>
                <w:rStyle w:val="Style17"/>
                <w:vanish w:val="false"/>
              </w:rPr>
              <w:tab/>
              <w:t>94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904">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_Toc228876904 \h</w:instrText>
            </w:r>
            <w:r>
              <w:rPr>
                <w:webHidden/>
              </w:rPr>
              <w:fldChar w:fldCharType="separate"/>
            </w:r>
            <w:r>
              <w:rPr>
                <w:rStyle w:val="Style17"/>
                <w:vanish w:val="false"/>
              </w:rPr>
              <w:tab/>
              <w:t>100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5">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_Toc228876905 \h</w:instrText>
            </w:r>
            <w:r>
              <w:rPr>
                <w:webHidden/>
              </w:rPr>
              <w:fldChar w:fldCharType="separate"/>
            </w:r>
            <w:r>
              <w:rPr>
                <w:rStyle w:val="Style17"/>
                <w:vanish w:val="false"/>
              </w:rPr>
              <w:tab/>
              <w:t>100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906">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_Toc228876906 \h</w:instrText>
            </w:r>
            <w:r>
              <w:rPr>
                <w:webHidden/>
              </w:rPr>
              <w:fldChar w:fldCharType="separate"/>
            </w:r>
            <w:r>
              <w:rPr>
                <w:rStyle w:val="Style17"/>
                <w:vanish w:val="false"/>
              </w:rPr>
              <w:tab/>
              <w:t>101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7">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_Toc228876907 \h</w:instrText>
            </w:r>
            <w:r>
              <w:rPr>
                <w:webHidden/>
              </w:rPr>
              <w:fldChar w:fldCharType="separate"/>
            </w:r>
            <w:r>
              <w:rPr>
                <w:rStyle w:val="Style17"/>
                <w:vanish w:val="false"/>
              </w:rPr>
              <w:tab/>
              <w:t>101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6908">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_Toc228876908 \h</w:instrText>
            </w:r>
            <w:r>
              <w:rPr>
                <w:webHidden/>
              </w:rPr>
              <w:fldChar w:fldCharType="separate"/>
            </w:r>
            <w:r>
              <w:rPr>
                <w:rStyle w:val="Style17"/>
                <w:vanish w:val="false"/>
              </w:rPr>
              <w:tab/>
              <w:t>102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6909">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_Toc228876909 \h</w:instrText>
            </w:r>
            <w:r>
              <w:rPr>
                <w:webHidden/>
              </w:rPr>
              <w:fldChar w:fldCharType="separate"/>
            </w:r>
            <w:r>
              <w:rPr>
                <w:rStyle w:val="Style17"/>
                <w:vanish w:val="false"/>
              </w:rPr>
              <w:tab/>
              <w:t>102</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9"/>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9"/>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9"/>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9"/>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6833"/>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Style30"/>
        <w:ind w:firstLine="567"/>
        <w:rPr/>
      </w:pPr>
      <w:r>
        <w:rPr>
          <w:b/>
          <w:bCs/>
        </w:rPr>
        <w:t>Закон 98-ФЗ</w:t>
      </w:r>
      <w:r>
        <w:rPr/>
        <w:t xml:space="preserve"> – Федеральный закон от 29 июля 2004 года № 98-ФЗ «О коммерческой тайне».</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6834"/>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Style33"/>
        <w:rPr/>
      </w:pPr>
      <w:r>
        <w:rPr/>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Ref125359988"/>
      <w:bookmarkStart w:id="4" w:name="_Toc228876835"/>
      <w:r>
        <w:rPr/>
        <w:t>Основные сведения о закупке</w:t>
      </w:r>
      <w:bookmarkEnd w:id="3"/>
      <w:bookmarkEnd w:id="4"/>
    </w:p>
    <w:p>
      <w:pPr>
        <w:pStyle w:val="Style25"/>
        <w:rPr/>
      </w:pPr>
      <w:bookmarkStart w:id="5" w:name="_Toc228876836"/>
      <w:r>
        <w:rPr/>
        <w:t>Статус настоящего раздела</w:t>
      </w:r>
      <w:bookmarkEnd w:id="5"/>
    </w:p>
    <w:p>
      <w:pPr>
        <w:pStyle w:val="Style26"/>
        <w:rPr/>
      </w:pPr>
      <w:r>
        <w:rPr/>
        <w:t>В настоящем разделе содержатся основные сведения о предмете, способе и иных ключевых условиях проводимой закупки.</w:t>
      </w:r>
    </w:p>
    <w:p>
      <w:pPr>
        <w:pStyle w:val="Style26"/>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Ref125359973"/>
      <w:bookmarkStart w:id="7" w:name="_Ref127270076"/>
      <w:bookmarkStart w:id="8" w:name="_Ref132876309"/>
      <w:bookmarkStart w:id="9" w:name="_Toc228876837"/>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974"/>
        <w:gridCol w:w="5812"/>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97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8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Конкурс в электронной форме, участниками которого могут быть только субъекты МСП.</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812" w:type="dxa"/>
            <w:tcBorders/>
          </w:tcPr>
          <w:p>
            <w:pPr>
              <w:pStyle w:val="Style30"/>
              <w:widowControl w:val="false"/>
              <w:suppressAutoHyphens w:val="true"/>
              <w:spacing w:before="60" w:after="60"/>
              <w:rPr/>
            </w:pPr>
            <w:r>
              <w:rPr>
                <w:rFonts w:eastAsia="Calibri" w:cs=""/>
                <w:kern w:val="0"/>
                <w:sz w:val="26"/>
                <w:szCs w:val="22"/>
                <w:lang w:val="ru-RU" w:eastAsia="en-US" w:bidi="ar-SA"/>
              </w:rPr>
              <w:t>Лот</w:t>
            </w:r>
            <w:r>
              <w:rPr>
                <w:rFonts w:eastAsia="Calibri" w:cs=""/>
                <w:i w:val="false"/>
                <w:iCs w:val="false"/>
                <w:kern w:val="0"/>
                <w:sz w:val="26"/>
                <w:szCs w:val="22"/>
                <w:shd w:fill="FFFFFF" w:val="clear"/>
                <w:lang w:val="ru-RU" w:eastAsia="en-US" w:bidi="ar-SA"/>
              </w:rPr>
              <w:t xml:space="preserve"> № </w:t>
            </w:r>
            <w:r>
              <w:rPr>
                <w:rStyle w:val="Style8"/>
                <w:rFonts w:eastAsia="Calibri" w:cs="" w:ascii="Liberation Serif" w:hAnsi="Liberation Serif"/>
                <w:b w:val="false"/>
                <w:bCs/>
                <w:i w:val="false"/>
                <w:iCs w:val="false"/>
                <w:strike w:val="false"/>
                <w:dstrike w:val="false"/>
                <w:outline w:val="false"/>
                <w:shadow w:val="false"/>
                <w:color w:val="00000A"/>
                <w:kern w:val="0"/>
                <w:sz w:val="26"/>
                <w:szCs w:val="26"/>
                <w:u w:val="none"/>
                <w:shd w:fill="FFFFFF" w:val="clear"/>
                <w:em w:val="none"/>
                <w:lang w:val="ru-RU" w:eastAsia="en-US" w:bidi="ar-SA"/>
              </w:rPr>
              <w:t>17301-РЕМ ПРОД-2027-ДРСК-АЭС</w:t>
            </w:r>
            <w:r>
              <w:rPr>
                <w:rFonts w:eastAsia="Calibri" w:cs=""/>
                <w:i w:val="false"/>
                <w:iCs w:val="false"/>
                <w:kern w:val="0"/>
                <w:sz w:val="26"/>
                <w:szCs w:val="26"/>
                <w:shd w:fill="FFFFFF" w:val="clear"/>
                <w:lang w:val="ru-RU" w:eastAsia="en-US" w:bidi="ar-SA"/>
              </w:rPr>
              <w:t>:</w:t>
            </w:r>
            <w:r>
              <w:rPr>
                <w:rFonts w:eastAsia="Calibri" w:cs=""/>
                <w:i w:val="false"/>
                <w:iCs w:val="false"/>
                <w:kern w:val="0"/>
                <w:sz w:val="26"/>
                <w:szCs w:val="22"/>
                <w:shd w:fill="FFFFFF" w:val="clear"/>
                <w:lang w:val="ru-RU" w:eastAsia="en-US" w:bidi="ar-SA"/>
              </w:rPr>
              <w:t xml:space="preserve"> </w:t>
            </w:r>
            <w:r>
              <w:rPr>
                <w:rStyle w:val="Style8"/>
                <w:rFonts w:eastAsia="Calibri" w:cs=""/>
                <w:i w:val="false"/>
                <w:iCs w:val="false"/>
                <w:kern w:val="0"/>
                <w:sz w:val="26"/>
                <w:szCs w:val="22"/>
                <w:shd w:fill="FFFFFF" w:val="clear"/>
                <w:lang w:val="ru-RU" w:eastAsia="en-US" w:bidi="ar-SA"/>
              </w:rPr>
              <w:t>ОКП</w:t>
            </w:r>
            <w:r>
              <w:rPr>
                <w:rStyle w:val="Style8"/>
                <w:rFonts w:eastAsia="Calibri" w:cs="" w:ascii="Liberation Serif" w:hAnsi="Liberation Serif"/>
                <w:b w:val="false"/>
                <w:bCs/>
                <w:i w:val="false"/>
                <w:iCs w:val="false"/>
                <w:strike w:val="false"/>
                <w:dstrike w:val="false"/>
                <w:outline w:val="false"/>
                <w:shadow w:val="false"/>
                <w:color w:val="00000A"/>
                <w:kern w:val="0"/>
                <w:sz w:val="26"/>
                <w:szCs w:val="26"/>
                <w:u w:val="none"/>
                <w:shd w:fill="FFFFFF" w:val="clear"/>
                <w:em w:val="none"/>
                <w:lang w:eastAsia="en-US" w:bidi="ar-SA"/>
              </w:rPr>
              <w:t>Д2 «ОКПД2 42.22.22.140 Выполнение работ по установке птицезащитных устройств на объектах: ВЛ 35 кВ А-База, ВЛ 35 кВ База-Энергетик, ВЛ 35 кВ Широкий-А, ВЛ 35 кВ Восток-Угольная 1, ВЛ 35 кВ Восток-Угольная 2, ВЛ 35 кВ Обувная-Энергетик, ВЛ 35 кВ Новомихайловка-Белый Яр, ВЛ 35 кВ Угольная-Обувная, ВЛ 35 кВ Успеновка-Белый Яр, ВЛ 35 кВ Спасск-Ярцево, ВЛ 35 кВ Архара-Набережная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812" w:type="dxa"/>
            <w:tcBorders/>
          </w:tcPr>
          <w:p>
            <w:pPr>
              <w:pStyle w:val="Style30"/>
              <w:widowControl w:val="false"/>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812" w:type="dxa"/>
            <w:tcBorders/>
          </w:tcPr>
          <w:p>
            <w:pPr>
              <w:pStyle w:val="Normal"/>
              <w:widowControl w:val="false"/>
              <w:suppressAutoHyphens w:val="true"/>
              <w:spacing w:before="0" w:after="60"/>
              <w:jc w:val="left"/>
              <w:rPr/>
            </w:pPr>
            <w:r>
              <w:rPr>
                <w:rFonts w:eastAsia="Calibri" w:cs="" w:cstheme="minorBidi" w:eastAsiaTheme="minorHAnsi"/>
                <w:i w:val="false"/>
                <w:iCs w:val="false"/>
                <w:color w:val="000000"/>
                <w:kern w:val="0"/>
                <w:sz w:val="26"/>
                <w:szCs w:val="22"/>
                <w:shd w:fill="FFFFFF" w:val="clear"/>
                <w:lang w:val="ru-RU" w:eastAsia="en-US" w:bidi="ar-SA"/>
              </w:rPr>
              <w:t xml:space="preserve">Электронная (торговая) площадка: </w:t>
            </w:r>
            <w:hyperlink r:id="rId2">
              <w:r>
                <w:rPr>
                  <w:rFonts w:eastAsia="Calibri" w:cs="" w:cstheme="minorBidi" w:eastAsiaTheme="minorHAnsi"/>
                  <w:i w:val="false"/>
                  <w:iCs w:val="false"/>
                  <w:color w:val="000000"/>
                  <w:kern w:val="0"/>
                  <w:sz w:val="26"/>
                  <w:szCs w:val="22"/>
                  <w:shd w:fill="FFFFFF" w:val="clear"/>
                  <w:lang w:val="ru-RU" w:eastAsia="en-US" w:bidi="ar-SA"/>
                </w:rPr>
                <w:t>https://tender.lot-online.ru</w:t>
              </w:r>
            </w:hyperlink>
            <w:r>
              <w:rPr>
                <w:rFonts w:eastAsia="Calibri" w:cs="" w:cstheme="minorBidi" w:eastAsiaTheme="minorHAnsi"/>
                <w:i w:val="false"/>
                <w:iCs w:val="false"/>
                <w:color w:val="000000"/>
                <w:kern w:val="0"/>
                <w:sz w:val="26"/>
                <w:szCs w:val="22"/>
                <w:shd w:fill="FFFFFF" w:val="clear"/>
                <w:lang w:val="ru-RU" w:eastAsia="en-US" w:bidi="ar-SA"/>
              </w:rPr>
              <w:t>.</w:t>
            </w:r>
          </w:p>
          <w:p>
            <w:pPr>
              <w:pStyle w:val="Normal"/>
              <w:widowControl w:val="false"/>
              <w:suppressAutoHyphens w:val="true"/>
              <w:spacing w:before="0" w:after="60"/>
              <w:ind w:left="38" w:hanging="0"/>
              <w:jc w:val="left"/>
              <w:rPr/>
            </w:pPr>
            <w:r>
              <w:rPr>
                <w:rStyle w:val="Style8"/>
                <w:rFonts w:eastAsia="Calibri" w:cs="" w:cstheme="minorBidi" w:eastAsiaTheme="minorHAnsi"/>
                <w:i w:val="false"/>
                <w:iCs w:val="false"/>
                <w:color w:val="000000"/>
                <w:kern w:val="0"/>
                <w:sz w:val="26"/>
                <w:szCs w:val="22"/>
                <w:shd w:fill="FFFFFF" w:val="clear"/>
                <w:lang w:val="ru-RU" w:eastAsia="en-US" w:bidi="ar-SA"/>
              </w:rPr>
              <w:t xml:space="preserve">Регламент ЭТП, в соответствии с которым проводится закупка, размещен по адресу: </w:t>
            </w:r>
            <w:hyperlink r:id="rId3" w:tgtFrame="https://tender.lot-online.ru/app/EtpDocList/page">
              <w:r>
                <w:rPr>
                  <w:rFonts w:eastAsia="Calibri" w:cs="" w:cstheme="minorBidi" w:eastAsiaTheme="minorHAnsi"/>
                  <w:i w:val="false"/>
                  <w:iCs w:val="false"/>
                  <w:color w:val="000000"/>
                  <w:kern w:val="0"/>
                  <w:sz w:val="26"/>
                  <w:szCs w:val="22"/>
                  <w:shd w:fill="FFFFFF" w:val="clear"/>
                  <w:lang w:val="ru-RU" w:eastAsia="en-US" w:bidi="ar-SA"/>
                </w:rPr>
                <w:t>https://tender.lot-online.ru/app/EtpDocList/page</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812" w:type="dxa"/>
            <w:tcBorders/>
          </w:tcPr>
          <w:p>
            <w:pPr>
              <w:pStyle w:val="Tableheader"/>
              <w:widowControl w:val="false"/>
              <w:suppressAutoHyphens w:val="true"/>
              <w:spacing w:before="0" w:after="0"/>
              <w:jc w:val="left"/>
              <w:rPr>
                <w:sz w:val="26"/>
                <w:szCs w:val="26"/>
              </w:rPr>
            </w:pPr>
            <w:r>
              <w:rPr>
                <w:b w:val="false"/>
                <w:sz w:val="26"/>
                <w:szCs w:val="26"/>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6"/>
                <w:szCs w:val="26"/>
              </w:rPr>
            </w:pPr>
            <w:r>
              <w:rPr>
                <w:b w:val="false"/>
                <w:sz w:val="26"/>
                <w:szCs w:val="26"/>
              </w:rPr>
              <w:t>Место нахождения: 675000, Амурская обл., г. Благовещенск, ул. Шевченко, 32</w:t>
            </w:r>
          </w:p>
          <w:p>
            <w:pPr>
              <w:pStyle w:val="Tableheader"/>
              <w:widowControl w:val="false"/>
              <w:suppressAutoHyphens w:val="true"/>
              <w:spacing w:before="0" w:after="0"/>
              <w:jc w:val="left"/>
              <w:rPr>
                <w:sz w:val="26"/>
                <w:szCs w:val="26"/>
              </w:rPr>
            </w:pPr>
            <w:r>
              <w:rPr>
                <w:b w:val="false"/>
                <w:sz w:val="26"/>
                <w:szCs w:val="26"/>
              </w:rPr>
              <w:t>Почтовый адрес: 675000, Амурская обл., г. Благовещенск, ул. Шевченко, 32</w:t>
            </w:r>
          </w:p>
          <w:p>
            <w:pPr>
              <w:pStyle w:val="Tableheader"/>
              <w:widowControl w:val="false"/>
              <w:suppressAutoHyphens w:val="true"/>
              <w:spacing w:before="0" w:after="0"/>
              <w:jc w:val="left"/>
              <w:rPr/>
            </w:pPr>
            <w:r>
              <w:rPr>
                <w:b w:val="false"/>
                <w:sz w:val="26"/>
                <w:szCs w:val="26"/>
              </w:rPr>
              <w:t xml:space="preserve">Адрес электронной почты: </w:t>
            </w:r>
            <w:hyperlink r:id="rId4">
              <w:r>
                <w:rPr>
                  <w:rStyle w:val="Hyperlink"/>
                  <w:rFonts w:eastAsia="Calibri" w:cs=""/>
                  <w:b w:val="false"/>
                  <w:i w:val="false"/>
                  <w:iCs w:val="false"/>
                  <w:color w:val="000000"/>
                  <w:kern w:val="0"/>
                  <w:sz w:val="26"/>
                  <w:szCs w:val="26"/>
                  <w:shd w:fill="auto" w:val="clear"/>
                  <w:lang w:val="ru-RU" w:eastAsia="en-US" w:bidi="ar-SA"/>
                </w:rPr>
                <w:t>sherbakova-tv@drsk.ru</w:t>
              </w:r>
            </w:hyperlink>
          </w:p>
          <w:p>
            <w:pPr>
              <w:pStyle w:val="Tableheader"/>
              <w:widowControl w:val="false"/>
              <w:suppressAutoHyphens w:val="true"/>
              <w:spacing w:before="120" w:after="120"/>
              <w:rPr/>
            </w:pPr>
            <w:r>
              <w:rPr>
                <w:rStyle w:val="Style19"/>
                <w:rFonts w:eastAsia="Calibri" w:cs=""/>
                <w:b/>
                <w:i w:val="false"/>
                <w:kern w:val="0"/>
                <w:sz w:val="26"/>
                <w:szCs w:val="26"/>
                <w:shd w:fill="auto" w:val="clear"/>
                <w:lang w:val="ru-RU" w:eastAsia="en-US" w:bidi="ar-SA"/>
              </w:rPr>
              <w:t>Контактный телефон: (4162) 397-</w:t>
            </w:r>
            <w:r>
              <w:rPr>
                <w:rStyle w:val="Style19"/>
                <w:rFonts w:eastAsia="Calibri" w:cs=""/>
                <w:b/>
                <w:i w:val="false"/>
                <w:iCs w:val="false"/>
                <w:kern w:val="0"/>
                <w:sz w:val="26"/>
                <w:szCs w:val="26"/>
                <w:shd w:fill="auto" w:val="clear"/>
                <w:lang w:val="ru-RU" w:eastAsia="en-US" w:bidi="ar-SA"/>
              </w:rPr>
              <w:t>284</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812" w:type="dxa"/>
            <w:tcBorders/>
          </w:tcPr>
          <w:p>
            <w:pPr>
              <w:pStyle w:val="Tableheader"/>
              <w:widowControl w:val="false"/>
              <w:suppressAutoHyphens w:val="true"/>
              <w:spacing w:before="0" w:after="0"/>
              <w:jc w:val="left"/>
              <w:rPr>
                <w:sz w:val="26"/>
                <w:szCs w:val="26"/>
              </w:rPr>
            </w:pPr>
            <w:r>
              <w:rPr>
                <w:b w:val="false"/>
                <w:sz w:val="26"/>
                <w:szCs w:val="26"/>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6"/>
                <w:szCs w:val="26"/>
              </w:rPr>
            </w:pPr>
            <w:r>
              <w:rPr>
                <w:b w:val="false"/>
                <w:sz w:val="26"/>
                <w:szCs w:val="26"/>
              </w:rPr>
              <w:t>Место нахождения: 675000, Амурская обл., г. Благовещенск, ул. Шевченко, 32</w:t>
            </w:r>
          </w:p>
          <w:p>
            <w:pPr>
              <w:pStyle w:val="Tableheader"/>
              <w:widowControl w:val="false"/>
              <w:suppressAutoHyphens w:val="true"/>
              <w:spacing w:before="0" w:after="0"/>
              <w:jc w:val="left"/>
              <w:rPr>
                <w:sz w:val="26"/>
                <w:szCs w:val="26"/>
              </w:rPr>
            </w:pPr>
            <w:r>
              <w:rPr>
                <w:b w:val="false"/>
                <w:sz w:val="26"/>
                <w:szCs w:val="26"/>
              </w:rPr>
              <w:t>Почтовый адрес: 675000, Амурская обл., г. Благовещенск, ул. Шевченко, 32</w:t>
            </w:r>
          </w:p>
          <w:p>
            <w:pPr>
              <w:pStyle w:val="Tableheader"/>
              <w:widowControl w:val="false"/>
              <w:suppressAutoHyphens w:val="true"/>
              <w:spacing w:before="0" w:after="0"/>
              <w:jc w:val="left"/>
              <w:rPr/>
            </w:pPr>
            <w:r>
              <w:rPr>
                <w:b w:val="false"/>
                <w:sz w:val="26"/>
                <w:szCs w:val="26"/>
              </w:rPr>
              <w:t xml:space="preserve">Адрес электронной почты: </w:t>
            </w:r>
            <w:hyperlink r:id="rId5">
              <w:r>
                <w:rPr>
                  <w:rStyle w:val="Hyperlink"/>
                  <w:rFonts w:eastAsia="Calibri" w:cs=""/>
                  <w:b w:val="false"/>
                  <w:i w:val="false"/>
                  <w:iCs w:val="false"/>
                  <w:color w:val="000000"/>
                  <w:kern w:val="0"/>
                  <w:sz w:val="26"/>
                  <w:szCs w:val="26"/>
                  <w:shd w:fill="auto" w:val="clear"/>
                  <w:lang w:val="ru-RU" w:eastAsia="en-US" w:bidi="ar-SA"/>
                </w:rPr>
                <w:t>sherbakova-tv@drsk.ru</w:t>
              </w:r>
            </w:hyperlink>
          </w:p>
          <w:p>
            <w:pPr>
              <w:pStyle w:val="Tableheader"/>
              <w:widowControl w:val="false"/>
              <w:suppressAutoHyphens w:val="true"/>
              <w:spacing w:before="120" w:after="120"/>
              <w:rPr/>
            </w:pPr>
            <w:r>
              <w:rPr>
                <w:rStyle w:val="Style19"/>
                <w:b/>
                <w:i w:val="false"/>
                <w:sz w:val="26"/>
                <w:szCs w:val="26"/>
                <w:shd w:fill="auto" w:val="clear"/>
              </w:rPr>
              <w:t>Контактный телефон: (4162) 397-</w:t>
            </w:r>
            <w:r>
              <w:rPr>
                <w:rStyle w:val="Style19"/>
                <w:b/>
                <w:i w:val="false"/>
                <w:iCs w:val="false"/>
                <w:sz w:val="26"/>
                <w:szCs w:val="26"/>
                <w:shd w:fill="auto" w:val="clear"/>
              </w:rPr>
              <w:t>284</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812" w:type="dxa"/>
            <w:tcBorders/>
          </w:tcPr>
          <w:p>
            <w:pPr>
              <w:pStyle w:val="Style30"/>
              <w:widowControl w:val="false"/>
              <w:suppressAutoHyphens w:val="true"/>
              <w:spacing w:before="60" w:after="60"/>
              <w:rPr>
                <w:rStyle w:val="Style8"/>
                <w:rFonts w:ascii="Times New Roman" w:hAnsi="Times New Roman" w:eastAsia="Calibri" w:cs=""/>
                <w:kern w:val="0"/>
                <w:sz w:val="26"/>
                <w:szCs w:val="22"/>
                <w:lang w:val="ru-RU" w:eastAsia="en-US" w:bidi="ar-SA"/>
              </w:rPr>
            </w:pPr>
            <w:r>
              <w:rPr>
                <w:rStyle w:val="Style8"/>
                <w:b w:val="false"/>
                <w:i w:val="false"/>
                <w:iCs w:val="false"/>
                <w:sz w:val="24"/>
                <w:shd w:fill="auto" w:val="clear"/>
                <w:lang w:val="ru-RU"/>
              </w:rPr>
              <w:t>Контактное лицо: Щербакова Татьяна Викторовна Контактный телефон: 8 (4162) 397-284</w:t>
            </w:r>
          </w:p>
          <w:p>
            <w:pPr>
              <w:pStyle w:val="Style30"/>
              <w:widowControl w:val="false"/>
              <w:suppressAutoHyphens w:val="true"/>
              <w:spacing w:before="60" w:after="60"/>
              <w:rPr>
                <w:rStyle w:val="Style8"/>
              </w:rPr>
            </w:pPr>
            <w:r>
              <w:rPr>
                <w:rStyle w:val="Style8"/>
                <w:i w:val="false"/>
                <w:iCs w:val="false"/>
                <w:sz w:val="24"/>
                <w:shd w:fill="auto" w:val="clear"/>
              </w:rPr>
              <w:t xml:space="preserve">Адрес электронной почты: </w:t>
            </w:r>
            <w:hyperlink r:id="rId6">
              <w:r>
                <w:rPr>
                  <w:rStyle w:val="Hyperlink"/>
                  <w:i w:val="false"/>
                  <w:iCs w:val="false"/>
                  <w:color w:val="000000"/>
                  <w:sz w:val="24"/>
                  <w:shd w:fill="auto" w:val="clear"/>
                </w:rPr>
                <w:t>sherbakova-tv@drsk.ru</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«24» сентября 2026 г.</w:t>
            </w:r>
          </w:p>
          <w:p>
            <w:pPr>
              <w:pStyle w:val="Style30"/>
              <w:widowControl w:val="false"/>
              <w:suppressAutoHyphens w:val="true"/>
              <w:spacing w:before="60" w:after="60"/>
              <w:rPr>
                <w:rStyle w:val="Style8"/>
              </w:rPr>
            </w:pPr>
            <w:r>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НМЦ составляет </w:t>
            </w:r>
            <w:r>
              <w:rPr>
                <w:rFonts w:eastAsia="Calibri" w:cs="" w:cstheme="minorBidi" w:eastAsiaTheme="minorHAnsi"/>
                <w:color w:val="auto"/>
                <w:kern w:val="0"/>
                <w:sz w:val="26"/>
                <w:szCs w:val="22"/>
                <w:lang w:val="ru-RU" w:eastAsia="en-US" w:bidi="ar-SA"/>
              </w:rPr>
              <w:t>16 912 040,61</w:t>
            </w:r>
            <w:r>
              <w:rPr>
                <w:rFonts w:eastAsia="Calibri" w:cs=""/>
                <w:kern w:val="0"/>
                <w:sz w:val="26"/>
                <w:szCs w:val="22"/>
                <w:lang w:val="ru-RU" w:eastAsia="en-US" w:bidi="ar-SA"/>
              </w:rPr>
              <w:t> руб., без учета НДС.</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30"/>
              <w:widowControl w:val="false"/>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1"/>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p>
            <w:pPr>
              <w:pStyle w:val="Style30"/>
              <w:widowControl w:val="false"/>
              <w:suppressAutoHyphens w:val="true"/>
              <w:spacing w:before="60" w:after="60"/>
              <w:rPr>
                <w:rStyle w:val="Style8"/>
              </w:rPr>
            </w:pPr>
            <w:r>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30"/>
              <w:widowControl w:val="false"/>
              <w:suppressAutoHyphens w:val="true"/>
              <w:spacing w:before="60" w:after="60"/>
              <w:rPr/>
            </w:pPr>
            <w:r>
              <w:rPr>
                <w:rStyle w:val="Style8"/>
                <w:rFonts w:eastAsia="Calibri" w:cs=""/>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812" w:type="dxa"/>
            <w:tcBorders/>
          </w:tcPr>
          <w:p>
            <w:pPr>
              <w:pStyle w:val="Style30"/>
              <w:widowControl w:val="false"/>
              <w:suppressAutoHyphens w:val="true"/>
              <w:spacing w:before="60" w:after="60"/>
              <w:rPr/>
            </w:pPr>
            <w:r>
              <w:rPr>
                <w:rFonts w:eastAsia="Calibri" w:c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Национальный режим предоставляется.</w:t>
            </w:r>
          </w:p>
          <w:p>
            <w:pPr>
              <w:pStyle w:val="Style33"/>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533737"/>
            <w:bookmarkStart w:id="37" w:name="_Ref125533737"/>
            <w:bookmarkEnd w:id="37"/>
          </w:p>
        </w:tc>
        <w:tc>
          <w:tcPr>
            <w:tcW w:w="2974" w:type="dxa"/>
            <w:tcBorders/>
          </w:tcPr>
          <w:p>
            <w:pPr>
              <w:pStyle w:val="Normal"/>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Дополнительный этап закупки – Предзаявочное обсуждение:</w:t>
            </w:r>
          </w:p>
          <w:p>
            <w:pPr>
              <w:pStyle w:val="Normal"/>
              <w:widowControl w:val="false"/>
              <w:suppressAutoHyphens w:val="true"/>
              <w:spacing w:before="60" w:after="60"/>
              <w:jc w:val="left"/>
              <w:rPr>
                <w:i/>
                <w:i/>
                <w:iCs/>
                <w:sz w:val="22"/>
              </w:rPr>
            </w:pPr>
            <w:r>
              <w:rPr>
                <w:rFonts w:eastAsia="Calibri" w:cs=""/>
                <w:i/>
                <w:iCs/>
                <w:kern w:val="0"/>
                <w:sz w:val="22"/>
                <w:szCs w:val="22"/>
                <w:lang w:val="ru-RU" w:eastAsia="en-US" w:bidi="ar-SA"/>
              </w:rPr>
              <w:t>(проведение в срок до окончания срока подачи заявок Заказчиком обсуждения с Участниками функциональных характеристик (потребительских свойств) продукции и иных условий исполнения договора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12" w:type="dxa"/>
            <w:tcBorders/>
          </w:tcPr>
          <w:p>
            <w:pPr>
              <w:pStyle w:val="Style30"/>
              <w:widowControl w:val="false"/>
              <w:suppressAutoHyphens w:val="true"/>
              <w:spacing w:before="60" w:after="60"/>
              <w:rPr>
                <w:szCs w:val="26"/>
              </w:rPr>
            </w:pPr>
            <w:r>
              <w:rPr>
                <w:rFonts w:eastAsia="Calibri" w:cs=""/>
                <w:kern w:val="0"/>
                <w:sz w:val="26"/>
                <w:szCs w:val="26"/>
                <w:lang w:val="ru-RU" w:eastAsia="en-US" w:bidi="ar-SA"/>
              </w:rPr>
              <w:t>Не предусмотрен.</w:t>
            </w:r>
          </w:p>
          <w:p>
            <w:pPr>
              <w:pStyle w:val="Style33"/>
              <w:widowControl w:val="false"/>
              <w:suppressAutoHyphens w:val="true"/>
              <w:spacing w:before="60" w:after="60"/>
              <w:rPr>
                <w:szCs w:val="26"/>
              </w:rPr>
            </w:pPr>
            <w:r>
              <w:rPr>
                <w:szCs w:val="26"/>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32896648"/>
            <w:bookmarkStart w:id="39" w:name="_Ref132896648"/>
            <w:bookmarkEnd w:id="39"/>
          </w:p>
        </w:tc>
        <w:tc>
          <w:tcPr>
            <w:tcW w:w="2974" w:type="dxa"/>
            <w:tcBorders/>
          </w:tcPr>
          <w:p>
            <w:pPr>
              <w:pStyle w:val="Normal"/>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Дополнительный этап закупки – Обсуждение заявок:</w:t>
            </w:r>
          </w:p>
          <w:p>
            <w:pPr>
              <w:pStyle w:val="Normal"/>
              <w:widowControl w:val="false"/>
              <w:suppressAutoHyphens w:val="true"/>
              <w:spacing w:before="60" w:after="60"/>
              <w:jc w:val="left"/>
              <w:rPr>
                <w:i/>
                <w:i/>
                <w:iCs/>
                <w:sz w:val="22"/>
              </w:rPr>
            </w:pPr>
            <w:r>
              <w:rPr>
                <w:rFonts w:eastAsia="Calibri" w:cs=""/>
                <w:i/>
                <w:iCs/>
                <w:kern w:val="0"/>
                <w:sz w:val="22"/>
                <w:szCs w:val="22"/>
                <w:lang w:val="ru-RU" w:eastAsia="en-US" w:bidi="ar-SA"/>
              </w:rPr>
              <w:t>(обсуждение Заказчиком предложений о функциональных характеристиках (потребительских свойствах) продукции и об иных условиях исполнения договора, содержащихся в заявках Участников,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12" w:type="dxa"/>
            <w:tcBorders/>
          </w:tcPr>
          <w:p>
            <w:pPr>
              <w:pStyle w:val="Style30"/>
              <w:widowControl w:val="false"/>
              <w:suppressAutoHyphens w:val="true"/>
              <w:spacing w:before="60" w:after="60"/>
              <w:rPr>
                <w:szCs w:val="26"/>
              </w:rPr>
            </w:pPr>
            <w:r>
              <w:rPr>
                <w:rFonts w:eastAsia="Calibri" w:cs=""/>
                <w:kern w:val="0"/>
                <w:sz w:val="26"/>
                <w:szCs w:val="26"/>
                <w:lang w:val="ru-RU" w:eastAsia="en-US" w:bidi="ar-SA"/>
              </w:rPr>
              <w:t>Не предусмотрен.</w:t>
            </w:r>
          </w:p>
          <w:p>
            <w:pPr>
              <w:pStyle w:val="Style33"/>
              <w:widowControl w:val="false"/>
              <w:suppressAutoHyphens w:val="true"/>
              <w:spacing w:before="60" w:after="60"/>
              <w:rPr>
                <w:szCs w:val="26"/>
              </w:rPr>
            </w:pPr>
            <w:r>
              <w:rPr>
                <w:szCs w:val="26"/>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5086"/>
            <w:bookmarkStart w:id="41" w:name="_Ref125475086"/>
            <w:bookmarkEnd w:id="41"/>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w:t>
              <w:br/>
              <w:t>подачи заявок:</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0779"/>
            <w:bookmarkStart w:id="43" w:name="_Ref125360779"/>
            <w:bookmarkEnd w:id="43"/>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 (окончательных предложений):</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«24» сентября 2026 г.</w:t>
            </w:r>
          </w:p>
          <w:p>
            <w:pPr>
              <w:pStyle w:val="Style30"/>
              <w:widowControl w:val="false"/>
              <w:suppressAutoHyphens w:val="true"/>
              <w:spacing w:before="60" w:after="60"/>
              <w:rPr>
                <w:rStyle w:val="Style8"/>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подачи заявок (окончательных предложений):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«05» октября 2026 г. в 09 ч. 00 мин.</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_Ref125533737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1.2.16</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или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_Ref132896648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1.2.17</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предусмотрено соответственно проведение Предзаявочного обсуждения или Обсуждения заявок, и по результатам проведения соответствующего обсуждения Заказчиком будет принято решение о необходимости уточнения функциональных характеристик (потребительских свойств) закупаемой продукции, иных условий исполнения договора, Организатор вправе, при необходимости, изменить данный срок для подачи окончательных предложений Участников.</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«05» октября 2026 г. в 09 ч. 00 мин.</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московскому времени).</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_Ref125360779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1.2.19</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25476197"/>
            <w:bookmarkStart w:id="45" w:name="_Ref125476197"/>
            <w:bookmarkEnd w:id="45"/>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33"/>
            <w:bookmarkStart w:id="47" w:name="_Ref125362733"/>
            <w:bookmarkEnd w:id="47"/>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первых частей заявок (первых частей заявок, содержащихся в окончательных предложениях):</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«12» октября 2026 г.</w:t>
            </w:r>
          </w:p>
          <w:p>
            <w:pPr>
              <w:pStyle w:val="Style30"/>
              <w:widowControl w:val="false"/>
              <w:suppressAutoHyphens w:val="true"/>
              <w:spacing w:before="60" w:after="60"/>
              <w:rPr>
                <w:rStyle w:val="Style8"/>
              </w:rPr>
            </w:pPr>
            <w:r>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32898515"/>
            <w:bookmarkStart w:id="49" w:name="_Ref132898515"/>
            <w:bookmarkEnd w:id="49"/>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вторых частей заявок и ценовых предложений:</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«28» октября 2026 г.</w:t>
            </w:r>
          </w:p>
          <w:p>
            <w:pPr>
              <w:pStyle w:val="Style30"/>
              <w:widowControl w:val="false"/>
              <w:suppressAutoHyphens w:val="true"/>
              <w:spacing w:before="60" w:after="60"/>
              <w:rPr>
                <w:rStyle w:val="Style8"/>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Дополнительный этап закупки – Переторжка (подача дополнительных ценовых предложений):</w:t>
            </w:r>
          </w:p>
        </w:tc>
        <w:tc>
          <w:tcPr>
            <w:tcW w:w="5812" w:type="dxa"/>
            <w:tcBorders/>
          </w:tcPr>
          <w:p>
            <w:pPr>
              <w:pStyle w:val="Style30"/>
              <w:widowControl w:val="false"/>
              <w:suppressAutoHyphens w:val="true"/>
              <w:spacing w:before="60" w:after="60"/>
              <w:rPr>
                <w:szCs w:val="26"/>
              </w:rPr>
            </w:pPr>
            <w:r>
              <w:rPr>
                <w:rFonts w:eastAsia="Calibri" w:cs=""/>
                <w:kern w:val="0"/>
                <w:sz w:val="26"/>
                <w:szCs w:val="26"/>
                <w:lang w:val="ru-RU" w:eastAsia="en-US" w:bidi="ar-SA"/>
              </w:rPr>
              <w:t>Не предусмотрен.</w:t>
            </w:r>
          </w:p>
          <w:p>
            <w:pPr>
              <w:pStyle w:val="Style33"/>
              <w:widowControl w:val="false"/>
              <w:suppressAutoHyphens w:val="true"/>
              <w:spacing w:before="60" w:after="60"/>
              <w:rPr>
                <w:szCs w:val="26"/>
              </w:rPr>
            </w:pPr>
            <w:r>
              <w:rPr>
                <w:szCs w:val="26"/>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2757"/>
            <w:bookmarkStart w:id="51" w:name="_Ref125362757"/>
            <w:bookmarkEnd w:id="51"/>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«29» октября 2026 г.</w:t>
            </w:r>
          </w:p>
          <w:p>
            <w:pPr>
              <w:pStyle w:val="Style30"/>
              <w:widowControl w:val="false"/>
              <w:suppressAutoHyphens w:val="true"/>
              <w:spacing w:before="60" w:after="60"/>
              <w:rPr>
                <w:rStyle w:val="Style8"/>
              </w:rPr>
            </w:pPr>
            <w:r>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047"/>
            <w:bookmarkStart w:id="53" w:name="_Ref125366047"/>
            <w:bookmarkEnd w:id="53"/>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1769"/>
            <w:bookmarkStart w:id="55" w:name="_Ref125361769"/>
            <w:bookmarkEnd w:id="55"/>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 итогов закупки:</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6606"/>
            <w:bookmarkStart w:id="57" w:name="_Ref125366606"/>
            <w:bookmarkEnd w:id="57"/>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Один победитель.</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8" w:name="_Ref125366813"/>
            <w:bookmarkStart w:id="59" w:name="_Ref125366813"/>
            <w:bookmarkEnd w:id="59"/>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2" w:type="dxa"/>
            <w:tcBorders/>
          </w:tcPr>
          <w:p>
            <w:pPr>
              <w:pStyle w:val="Style30"/>
              <w:keepNext w:val="true"/>
              <w:widowControl w:val="false"/>
              <w:suppressAutoHyphens w:val="true"/>
              <w:spacing w:before="60" w:after="60"/>
              <w:rPr/>
            </w:pPr>
            <w:r>
              <w:rPr>
                <w:rFonts w:eastAsia="Calibri" w:cs=""/>
                <w:kern w:val="0"/>
                <w:sz w:val="26"/>
                <w:szCs w:val="22"/>
                <w:lang w:val="ru-RU" w:eastAsia="en-US" w:bidi="ar-SA"/>
              </w:rPr>
              <w:t>Для подачи документов в бумажной форме:</w:t>
            </w:r>
          </w:p>
          <w:p>
            <w:pPr>
              <w:pStyle w:val="Style30"/>
              <w:keepNext w:val="true"/>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Контактное лицо (Ф.И.О.):</w:t>
            </w:r>
          </w:p>
          <w:p>
            <w:pPr>
              <w:pStyle w:val="Tableheader"/>
              <w:widowControl w:val="false"/>
              <w:suppressAutoHyphens w:val="true"/>
              <w:spacing w:before="0" w:after="60"/>
              <w:jc w:val="left"/>
              <w:rPr/>
            </w:pPr>
            <w:r>
              <w:rPr>
                <w:rStyle w:val="Style8"/>
                <w:rFonts w:eastAsia="Calibri" w:cs=""/>
                <w:b w:val="false"/>
                <w:bCs w:val="false"/>
                <w:i w:val="false"/>
                <w:iCs w:val="false"/>
                <w:kern w:val="0"/>
                <w:sz w:val="26"/>
                <w:szCs w:val="22"/>
                <w:shd w:fill="FFFFFF" w:val="clear"/>
                <w:lang w:val="ru-RU" w:eastAsia="en-US" w:bidi="ar-SA"/>
              </w:rPr>
              <w:t xml:space="preserve">Ярый Виталий Сергеевич </w:t>
            </w:r>
            <w:r>
              <w:rPr>
                <w:rStyle w:val="Style19"/>
                <w:rFonts w:eastAsia="Calibri" w:cs=""/>
                <w:b w:val="false"/>
                <w:bCs w:val="false"/>
                <w:i w:val="false"/>
                <w:iCs w:val="false"/>
                <w:kern w:val="0"/>
                <w:sz w:val="26"/>
                <w:szCs w:val="22"/>
                <w:shd w:fill="FFFFFF" w:val="clear"/>
                <w:lang w:val="ru-RU" w:eastAsia="en-US" w:bidi="ar-SA"/>
              </w:rPr>
              <w:t xml:space="preserve">- </w:t>
            </w:r>
            <w:r>
              <w:rPr>
                <w:rStyle w:val="Style8"/>
                <w:rFonts w:eastAsia="Calibri" w:cs=""/>
                <w:b w:val="false"/>
                <w:bCs w:val="false"/>
                <w:i w:val="false"/>
                <w:iCs w:val="false"/>
                <w:kern w:val="0"/>
                <w:sz w:val="26"/>
                <w:szCs w:val="22"/>
                <w:shd w:fill="FFFFFF" w:val="clear"/>
                <w:lang w:val="ru-RU" w:eastAsia="en-US" w:bidi="ar-SA"/>
              </w:rPr>
              <w:t>ведущий специалист СЭБ АО «ДРСК»,</w:t>
            </w:r>
            <w:r>
              <w:rPr>
                <w:rFonts w:eastAsia="Calibri" w:cs=""/>
                <w:b w:val="false"/>
                <w:bCs w:val="false"/>
                <w:i w:val="false"/>
                <w:iCs w:val="false"/>
                <w:kern w:val="0"/>
                <w:sz w:val="26"/>
                <w:szCs w:val="22"/>
                <w:shd w:fill="FFFFFF" w:val="clear"/>
                <w:lang w:val="ru-RU" w:eastAsia="en-US" w:bidi="ar-SA"/>
              </w:rPr>
              <w:t xml:space="preserve"> Телефон: (4162) 397-325</w:t>
            </w:r>
          </w:p>
          <w:p>
            <w:pPr>
              <w:pStyle w:val="Style30"/>
              <w:keepNext w:val="true"/>
              <w:widowControl w:val="false"/>
              <w:suppressAutoHyphens w:val="true"/>
              <w:spacing w:before="60" w:after="60"/>
              <w:rPr>
                <w:rFonts w:ascii="Times New Roman" w:hAnsi="Times New Roman" w:eastAsia="Calibri" w:cs=""/>
                <w:b w:val="false"/>
                <w:bCs w:val="false"/>
                <w:i w:val="false"/>
                <w:i w:val="false"/>
                <w:iCs w:val="false"/>
                <w:kern w:val="0"/>
                <w:sz w:val="26"/>
                <w:szCs w:val="22"/>
                <w:highlight w:val="none"/>
                <w:shd w:fill="FFFFFF" w:val="clear"/>
                <w:lang w:val="ru-RU" w:eastAsia="en-US" w:bidi="ar-SA"/>
              </w:rPr>
            </w:pPr>
            <w:r>
              <w:rPr>
                <w:rFonts w:eastAsia="Calibri" w:cs=""/>
                <w:b w:val="false"/>
                <w:bCs w:val="false"/>
                <w:i w:val="false"/>
                <w:iCs w:val="false"/>
                <w:kern w:val="0"/>
                <w:sz w:val="26"/>
                <w:szCs w:val="22"/>
                <w:shd w:fill="FFFFFF" w:val="clear"/>
                <w:lang w:val="ru-RU" w:eastAsia="en-US" w:bidi="ar-SA"/>
              </w:rPr>
              <w:t>Почтовый адрес:</w:t>
            </w:r>
          </w:p>
          <w:p>
            <w:pPr>
              <w:pStyle w:val="Tableheader"/>
              <w:widowControl w:val="false"/>
              <w:suppressAutoHyphens w:val="true"/>
              <w:snapToGrid w:val="false"/>
              <w:spacing w:before="0" w:after="60"/>
              <w:jc w:val="left"/>
              <w:rPr>
                <w:rFonts w:ascii="Times New Roman" w:hAnsi="Times New Roman" w:eastAsia="Calibri" w:cs=""/>
                <w:b w:val="false"/>
                <w:bCs w:val="false"/>
                <w:i w:val="false"/>
                <w:i w:val="false"/>
                <w:iCs w:val="false"/>
                <w:kern w:val="0"/>
                <w:sz w:val="26"/>
                <w:szCs w:val="22"/>
                <w:highlight w:val="none"/>
                <w:shd w:fill="FFFFFF" w:val="clear"/>
                <w:lang w:val="ru-RU" w:eastAsia="en-US" w:bidi="ar-SA"/>
              </w:rPr>
            </w:pPr>
            <w:r>
              <w:rPr>
                <w:rFonts w:eastAsia="Calibri" w:cs=""/>
                <w:b w:val="false"/>
                <w:bCs w:val="false"/>
                <w:i w:val="false"/>
                <w:iCs w:val="false"/>
                <w:kern w:val="0"/>
                <w:sz w:val="26"/>
                <w:szCs w:val="22"/>
                <w:shd w:fill="FFFFFF" w:val="clear"/>
                <w:lang w:val="ru-RU" w:eastAsia="en-US" w:bidi="ar-SA"/>
              </w:rPr>
              <w:t xml:space="preserve">Почтовый адрес: 675004, г. Благовещенск, ул. Шевченко, 32, каб. 214. </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Для подачи документов в электронной форме:</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kern w:val="0"/>
                <w:sz w:val="26"/>
                <w:szCs w:val="22"/>
                <w:lang w:val="ru-RU" w:eastAsia="en-US" w:bidi="ar-SA"/>
              </w:rPr>
              <w:t>Корпоративный сайт ПАО</w:t>
            </w:r>
            <w:r>
              <w:rPr>
                <w:rFonts w:eastAsia="Calibri" w:cs=""/>
                <w:kern w:val="0"/>
                <w:sz w:val="26"/>
                <w:szCs w:val="22"/>
                <w:lang w:val="en-US" w:eastAsia="en-US" w:bidi="ar-SA"/>
              </w:rPr>
              <w:t> </w:t>
            </w:r>
            <w:r>
              <w:rPr>
                <w:rFonts w:eastAsia="Calibri" w:cs=""/>
                <w:kern w:val="0"/>
                <w:sz w:val="26"/>
                <w:szCs w:val="22"/>
                <w:lang w:val="ru-RU" w:eastAsia="en-US" w:bidi="ar-SA"/>
              </w:rPr>
              <w:t>«РусГидро», через специально созданную учетную запись (подробный порядок содержится в разделе</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_Ref126142429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5</w:t>
            </w:r>
            <w:r>
              <w:rPr>
                <w:sz w:val="26"/>
                <w:kern w:val="0"/>
                <w:szCs w:val="22"/>
                <w:rFonts w:eastAsia="Calibri" w:cs=""/>
                <w:lang w:val="en-US" w:eastAsia="en-US" w:bidi="ar-SA"/>
              </w:rPr>
              <w:fldChar w:fldCharType="end"/>
            </w:r>
            <w:r>
              <w:rPr>
                <w:rFonts w:eastAsia="Calibri" w:cs=""/>
                <w:kern w:val="0"/>
                <w:sz w:val="26"/>
                <w:szCs w:val="22"/>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60" w:name="_Ref125368490"/>
            <w:bookmarkStart w:id="61" w:name="_Ref125368490"/>
            <w:bookmarkEnd w:id="61"/>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Отсутствуют.</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4" w:type="dxa"/>
            <w:tcBorders/>
          </w:tcPr>
          <w:p>
            <w:pPr>
              <w:pStyle w:val="Style30"/>
              <w:widowControl w:val="false"/>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812"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bl>
    <w:p>
      <w:pPr>
        <w:pStyle w:val="Style24"/>
        <w:rPr/>
      </w:pPr>
      <w:bookmarkStart w:id="62" w:name="_Ref125360073"/>
      <w:bookmarkStart w:id="63" w:name="_Ref125360337"/>
      <w:bookmarkStart w:id="64" w:name="_Toc228876838"/>
      <w:r>
        <w:rPr/>
        <w:t>Общие положения</w:t>
      </w:r>
      <w:bookmarkEnd w:id="62"/>
      <w:bookmarkEnd w:id="63"/>
      <w:bookmarkEnd w:id="64"/>
    </w:p>
    <w:p>
      <w:pPr>
        <w:pStyle w:val="Style25"/>
        <w:rPr/>
      </w:pPr>
      <w:bookmarkStart w:id="65" w:name="_Toc228876839"/>
      <w:r>
        <w:rPr/>
        <w:t>Общие сведения о закупке</w:t>
      </w:r>
      <w:bookmarkEnd w:id="65"/>
    </w:p>
    <w:p>
      <w:pPr>
        <w:pStyle w:val="Style26"/>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6"/>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6"/>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6" w:name="_Toc228876840"/>
      <w:r>
        <w:rPr/>
        <w:t>Правовой статус документов</w:t>
      </w:r>
      <w:bookmarkEnd w:id="66"/>
    </w:p>
    <w:p>
      <w:pPr>
        <w:pStyle w:val="Style26"/>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26"/>
        <w:rPr/>
      </w:pPr>
      <w:r>
        <w:rPr/>
        <w:t>Заключенный по результатам закупки Договор, в том числе, фиксирует все достигнутые сторонами договоренности.</w:t>
      </w:r>
    </w:p>
    <w:p>
      <w:pPr>
        <w:pStyle w:val="Style26"/>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rPr/>
      </w:pPr>
      <w:r>
        <w:rPr/>
        <w:t>Иные документы Организатора и Участников не определяют права и обязанности сторон в связи с данной закупкой.</w:t>
      </w:r>
    </w:p>
    <w:p>
      <w:pPr>
        <w:pStyle w:val="Style26"/>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8" w:name="_Ref125363536"/>
      <w:bookmarkStart w:id="69" w:name="_Toc228876841"/>
      <w:r>
        <w:rPr/>
        <w:t>Обжалование</w:t>
      </w:r>
      <w:bookmarkEnd w:id="68"/>
      <w:bookmarkEnd w:id="69"/>
    </w:p>
    <w:p>
      <w:pPr>
        <w:pStyle w:val="Style26"/>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296876"/>
      <w:bookmarkStart w:id="71" w:name="_Hlk219301278"/>
      <w:r>
        <w:rPr/>
        <w:t>Красноярского края</w:t>
      </w:r>
      <w:bookmarkEnd w:id="70"/>
      <w:bookmarkEnd w:id="71"/>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72" w:name="_Toc228876842"/>
      <w:r>
        <w:rPr/>
        <w:t>Особые положения при проведении закупки с использованием ЭП</w:t>
      </w:r>
      <w:bookmarkEnd w:id="72"/>
    </w:p>
    <w:p>
      <w:pPr>
        <w:pStyle w:val="Style26"/>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rPr/>
      </w:pPr>
      <w:r>
        <w:rPr/>
        <w:t>Правила проведения закупки в том числе определяются Регламентом ЭП.</w:t>
      </w:r>
    </w:p>
    <w:p>
      <w:pPr>
        <w:pStyle w:val="Style26"/>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73" w:name="_Toc228876843"/>
      <w:r>
        <w:rPr/>
        <w:t>Прочие положения</w:t>
      </w:r>
      <w:bookmarkEnd w:id="73"/>
    </w:p>
    <w:p>
      <w:pPr>
        <w:pStyle w:val="Style26"/>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4" w:name="_Ref125361210"/>
      <w:bookmarkStart w:id="75" w:name="_Toc228876844"/>
      <w:r>
        <w:rPr/>
        <w:t>Требования к Участникам</w:t>
      </w:r>
      <w:bookmarkEnd w:id="74"/>
      <w:bookmarkEnd w:id="75"/>
    </w:p>
    <w:p>
      <w:pPr>
        <w:pStyle w:val="Style25"/>
        <w:rPr/>
      </w:pPr>
      <w:bookmarkStart w:id="76" w:name="_Ref127524530"/>
      <w:bookmarkStart w:id="77" w:name="_Toc228876845"/>
      <w:r>
        <w:rPr/>
        <w:t>Общие требования к Участникам</w:t>
      </w:r>
      <w:bookmarkEnd w:id="76"/>
      <w:bookmarkEnd w:id="77"/>
    </w:p>
    <w:p>
      <w:pPr>
        <w:pStyle w:val="Style26"/>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26"/>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26"/>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6"/>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6"/>
        <w:rPr/>
      </w:pPr>
      <w:bookmarkStart w:id="79" w:name="_Ref125361969"/>
      <w:bookmarkStart w:id="80" w:name="_Ref125361976"/>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25"/>
        <w:rPr/>
      </w:pPr>
      <w:bookmarkStart w:id="82" w:name="_Ref125361702"/>
      <w:bookmarkStart w:id="83" w:name="_Toc228876846"/>
      <w:bookmarkStart w:id="84" w:name="_Ref125361969_Копия_1"/>
      <w:bookmarkStart w:id="85" w:name="_Ref125361976_Копия_1"/>
      <w:bookmarkEnd w:id="84"/>
      <w:bookmarkEnd w:id="85"/>
      <w:r>
        <w:rPr/>
        <w:t>Генеральные подрядчики</w:t>
      </w:r>
      <w:bookmarkEnd w:id="82"/>
      <w:bookmarkEnd w:id="83"/>
    </w:p>
    <w:p>
      <w:pPr>
        <w:pStyle w:val="Style26"/>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88" w:name="_Ref125361211"/>
      <w:bookmarkStart w:id="89" w:name="_Ref125367098"/>
      <w:bookmarkStart w:id="90" w:name="_Ref125367107"/>
      <w:bookmarkStart w:id="91" w:name="_Ref125367974"/>
      <w:bookmarkStart w:id="92" w:name="_Toc228876847"/>
      <w:r>
        <w:rPr/>
        <w:t>Порядок проведения закупки</w:t>
      </w:r>
      <w:bookmarkEnd w:id="88"/>
      <w:bookmarkEnd w:id="89"/>
      <w:bookmarkEnd w:id="90"/>
      <w:bookmarkEnd w:id="91"/>
      <w:bookmarkEnd w:id="92"/>
    </w:p>
    <w:p>
      <w:pPr>
        <w:pStyle w:val="Style25"/>
        <w:rPr/>
      </w:pPr>
      <w:bookmarkStart w:id="93" w:name="_Ref126141932"/>
      <w:bookmarkStart w:id="94" w:name="_Toc228876848"/>
      <w:r>
        <w:rPr/>
        <w:t>Общий порядок проведения закупки</w:t>
      </w:r>
      <w:bookmarkEnd w:id="93"/>
      <w:bookmarkEnd w:id="94"/>
    </w:p>
    <w:p>
      <w:pPr>
        <w:pStyle w:val="Style26"/>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77"/>
        <w:gridCol w:w="3217"/>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3634" w:type="dxa"/>
            <w:gridSpan w:val="6"/>
            <w:tcBorders>
              <w:right w:val="nil"/>
            </w:tcBorders>
          </w:tcPr>
          <w:p>
            <w:pPr>
              <w:pStyle w:val="Style33"/>
              <w:widowControl w:val="false"/>
              <w:suppressAutoHyphens w:val="true"/>
              <w:spacing w:before="60" w:after="6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4.20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bottom w:val="nil"/>
            </w:tcBorders>
            <w:vAlign w:val="bottom"/>
          </w:tcPr>
          <w:p>
            <w:pPr>
              <w:pStyle w:val="Style30"/>
              <w:widowControl w:val="false"/>
              <w:suppressAutoHyphens w:val="true"/>
              <w:spacing w:before="40" w:after="40"/>
              <w:jc w:val="center"/>
              <w:rPr>
                <w:bCs/>
                <w:sz w:val="24"/>
                <w:szCs w:val="24"/>
              </w:rPr>
            </w:pPr>
            <w:r>
              <w:rPr>
                <w:bCs/>
                <w:sz w:val="24"/>
                <w:szCs w:val="24"/>
              </w:rPr>
            </w:r>
          </w:p>
        </w:tc>
        <w:tc>
          <w:tcPr>
            <w:tcW w:w="9130" w:type="dxa"/>
            <w:gridSpan w:val="4"/>
            <w:tcBorders>
              <w:bottom w:val="dashed" w:sz="4" w:space="0" w:color="7F7F7F"/>
            </w:tcBorders>
          </w:tcPr>
          <w:p>
            <w:pPr>
              <w:pStyle w:val="Style33"/>
              <w:widowControl w:val="false"/>
              <w:suppressAutoHyphens w:val="true"/>
              <w:spacing w:before="60" w:after="60"/>
              <w:jc w:val="center"/>
              <w:rPr>
                <w:bCs/>
                <w:sz w:val="24"/>
                <w:szCs w:val="24"/>
              </w:rPr>
            </w:pPr>
            <w:r>
              <w:rPr>
                <w:bCs/>
                <w:sz w:val="24"/>
                <w:szCs w:val="24"/>
              </w:rPr>
            </w:r>
          </w:p>
        </w:tc>
        <w:tc>
          <w:tcPr>
            <w:tcW w:w="2269" w:type="dxa"/>
            <w:tcBorders>
              <w:bottom w:val="nil"/>
            </w:tcBorders>
          </w:tcPr>
          <w:p>
            <w:pPr>
              <w:pStyle w:val="Style30"/>
              <w:widowControl w:val="false"/>
              <w:suppressAutoHyphens w:val="true"/>
              <w:spacing w:before="40" w:after="40"/>
              <w:jc w:val="center"/>
              <w:rPr>
                <w:bCs/>
                <w:sz w:val="24"/>
                <w:szCs w:val="24"/>
              </w:rPr>
            </w:pPr>
            <w:r>
              <w:rPr>
                <w:bCs/>
                <w:sz w:val="24"/>
                <w:szCs w:val="24"/>
              </w:rPr>
            </w:r>
          </w:p>
        </w:tc>
        <w:tc>
          <w:tcPr>
            <w:tcW w:w="2235" w:type="dxa"/>
            <w:tcBorders>
              <w:top w:val="nil"/>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top w:val="nil"/>
              <w:left w:val="nil"/>
              <w:bottom w:val="nil"/>
            </w:tcBorders>
            <w:vAlign w:val="bottom"/>
          </w:tcPr>
          <w:p>
            <w:pPr>
              <w:pStyle w:val="Style30"/>
              <w:widowControl w:val="false"/>
              <w:suppressAutoHyphens w:val="true"/>
              <w:spacing w:before="40" w:after="40"/>
              <w:jc w:val="center"/>
              <w:rPr>
                <w:bCs/>
                <w:sz w:val="24"/>
                <w:szCs w:val="24"/>
              </w:rPr>
            </w:pPr>
            <w:r>
              <w:rPr>
                <w:bCs/>
                <w:sz w:val="24"/>
                <w:szCs w:val="24"/>
              </w:rPr>
            </w:r>
          </w:p>
        </w:tc>
        <w:tc>
          <w:tcPr>
            <w:tcW w:w="9130" w:type="dxa"/>
            <w:gridSpan w:val="4"/>
            <w:tcBorders>
              <w:top w:val="dashed" w:sz="4" w:space="0" w:color="7F7F7F"/>
              <w:bottom w:val="dashed" w:sz="4" w:space="0" w:color="7F7F7F"/>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окончательных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_Ref132722566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tcBorders>
              <w:top w:val="nil"/>
              <w:bottom w:val="nil"/>
            </w:tcBorders>
          </w:tcPr>
          <w:p>
            <w:pPr>
              <w:pStyle w:val="Style30"/>
              <w:widowControl w:val="false"/>
              <w:suppressAutoHyphens w:val="true"/>
              <w:spacing w:before="40" w:after="40"/>
              <w:jc w:val="center"/>
              <w:rPr>
                <w:bCs/>
                <w:sz w:val="24"/>
                <w:szCs w:val="24"/>
              </w:rPr>
            </w:pPr>
            <w:r>
              <w:rPr>
                <w:bCs/>
                <w:sz w:val="24"/>
                <w:szCs w:val="24"/>
              </w:rPr>
            </w:r>
          </w:p>
        </w:tc>
        <w:tc>
          <w:tcPr>
            <w:tcW w:w="2235" w:type="dxa"/>
            <w:tcBorders>
              <w:top w:val="nil"/>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top w:val="nil"/>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op w:val="dashed" w:sz="4" w:space="0" w:color="7F7F7F"/>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окончательным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_Ref132816209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p>
        </w:tc>
        <w:tc>
          <w:tcPr>
            <w:tcW w:w="2269" w:type="dxa"/>
            <w:tcBorders>
              <w:top w:val="nil"/>
              <w:bottom w:val="nil"/>
            </w:tcBorders>
          </w:tcPr>
          <w:p>
            <w:pPr>
              <w:pStyle w:val="Style30"/>
              <w:widowControl w:val="false"/>
              <w:suppressAutoHyphens w:val="true"/>
              <w:spacing w:before="40" w:after="40"/>
              <w:jc w:val="center"/>
              <w:rPr>
                <w:bCs/>
                <w:sz w:val="24"/>
                <w:szCs w:val="24"/>
              </w:rPr>
            </w:pPr>
            <w:r>
              <w:rPr>
                <w:bCs/>
                <w:sz w:val="24"/>
                <w:szCs w:val="24"/>
              </w:rPr>
            </w:r>
          </w:p>
        </w:tc>
        <w:tc>
          <w:tcPr>
            <w:tcW w:w="2235" w:type="dxa"/>
            <w:tcBorders>
              <w:top w:val="nil"/>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 окончательных предложений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4.20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19"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17"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bottom w:val="nil"/>
            </w:tcBorders>
            <w:vAlign w:val="bottom"/>
          </w:tcPr>
          <w:p>
            <w:pPr>
              <w:pStyle w:val="Style30"/>
              <w:widowControl w:val="false"/>
              <w:suppressAutoHyphens w:val="true"/>
              <w:spacing w:before="40" w:after="40"/>
              <w:jc w:val="center"/>
              <w:rPr>
                <w:bCs/>
                <w:sz w:val="24"/>
                <w:szCs w:val="24"/>
              </w:rPr>
            </w:pPr>
            <w:r>
              <w:rPr>
                <w:bCs/>
                <w:sz w:val="24"/>
                <w:szCs w:val="24"/>
              </w:rPr>
            </w:r>
          </w:p>
        </w:tc>
        <w:tc>
          <w:tcPr>
            <w:tcW w:w="6436" w:type="dxa"/>
            <w:gridSpan w:val="3"/>
            <w:tcBorders>
              <w:bottom w:val="dashed" w:sz="4" w:space="0" w:color="7F7F7F"/>
            </w:tcBorders>
          </w:tcPr>
          <w:p>
            <w:pPr>
              <w:pStyle w:val="Style33"/>
              <w:widowControl w:val="false"/>
              <w:suppressAutoHyphens w:val="true"/>
              <w:spacing w:before="60" w:after="60"/>
              <w:jc w:val="center"/>
              <w:rPr>
                <w:sz w:val="24"/>
                <w:szCs w:val="24"/>
              </w:rPr>
            </w:pPr>
            <w:r>
              <w:rPr>
                <w:sz w:val="24"/>
                <w:szCs w:val="24"/>
              </w:rPr>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top w:val="nil"/>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op w:val="dashed" w:sz="4" w:space="0" w:color="7F7F7F"/>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дополнительных ценовых предложений</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_Ref132801206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Ошибка: источник перекрёстной ссылки не найден</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982"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4394" w:type="dxa"/>
            <w:gridSpan w:val="2"/>
            <w:tcBorders/>
          </w:tcPr>
          <w:p>
            <w:pPr>
              <w:pStyle w:val="Style33"/>
              <w:widowControl w:val="false"/>
              <w:suppressAutoHyphens w:val="true"/>
              <w:spacing w:before="60" w:after="60"/>
              <w:jc w:val="center"/>
              <w:rPr>
                <w:sz w:val="24"/>
                <w:szCs w:val="24"/>
              </w:rPr>
            </w:pPr>
            <w:r>
              <w:rPr>
                <w:sz w:val="24"/>
                <w:szCs w:val="24"/>
              </w:rPr>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95" w:name="_Ref130286532"/>
      <w:bookmarkStart w:id="96" w:name="_Toc228876849"/>
      <w:r>
        <w:rPr/>
        <w:t>Официальное размещение Извещения и Документации о закупке</w:t>
      </w:r>
      <w:bookmarkEnd w:id="95"/>
      <w:bookmarkEnd w:id="96"/>
    </w:p>
    <w:p>
      <w:pPr>
        <w:pStyle w:val="Style26"/>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26"/>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98" w:name="_Ref132724378"/>
      <w:bookmarkStart w:id="99" w:name="_Toc228876850"/>
      <w:r>
        <w:rPr/>
        <w:t>Предзаявочное обсуждение</w:t>
      </w:r>
      <w:bookmarkEnd w:id="98"/>
      <w:bookmarkEnd w:id="99"/>
    </w:p>
    <w:p>
      <w:pPr>
        <w:pStyle w:val="Style26"/>
        <w:rPr/>
      </w:pPr>
      <w:r>
        <w:rPr/>
        <w:t>Если это предусмотрено подразделом </w:t>
      </w:r>
      <w:r>
        <w:rPr/>
        <w:fldChar w:fldCharType="begin"/>
      </w:r>
      <w:r>
        <w:rPr/>
        <w:instrText xml:space="preserve"> REF _Ref125359973 \r \h </w:instrText>
      </w:r>
      <w:r>
        <w:rPr/>
        <w:fldChar w:fldCharType="separate"/>
      </w:r>
      <w:r>
        <w:rPr/>
        <w:t>1.2</w:t>
      </w:r>
      <w:r>
        <w:rPr/>
        <w:fldChar w:fldCharType="end"/>
      </w:r>
      <w:r>
        <w:rPr/>
        <w:t xml:space="preserve">, Организатор проводит дополнительный этап </w:t>
      </w:r>
      <w:bookmarkStart w:id="100" w:name="_Hlk139291567"/>
      <w:r>
        <w:rPr/>
        <w:t xml:space="preserve">предзаявочного обсуждения с Участниками функциональных характеристик (потребительских свойств) продукции и иных условий исполнения договора, </w:t>
      </w:r>
      <w:bookmarkEnd w:id="100"/>
      <w:r>
        <w:rPr/>
        <w:t>содержащихся в Документации о закупке, в целях уточнения требуемых технических характеристик закупаемой продукции (</w:t>
      </w:r>
      <w:hyperlink w:anchor="Прил01_ТехТребования">
        <w:r>
          <w:rPr>
            <w:rStyle w:val="Style11"/>
          </w:rPr>
          <w:t>Технические требования (Приложение № 1)</w:t>
        </w:r>
      </w:hyperlink>
      <w:r>
        <w:rPr/>
        <w:t xml:space="preserve">) и условий </w:t>
      </w:r>
      <w:hyperlink w:anchor="Прил02_ПроектДоговора">
        <w:r>
          <w:rPr>
            <w:rStyle w:val="Style11"/>
          </w:rPr>
          <w:t>Проекта договора (Приложение № 2)</w:t>
        </w:r>
      </w:hyperlink>
      <w:r>
        <w:rPr/>
        <w:t>.</w:t>
      </w:r>
    </w:p>
    <w:p>
      <w:pPr>
        <w:pStyle w:val="Style26"/>
        <w:keepNext w:val="true"/>
        <w:rPr/>
      </w:pPr>
      <w:r>
        <w:rPr/>
        <w:t>Предзаявочное обсуждение осуществляется в следующем порядке:</w:t>
      </w:r>
    </w:p>
    <w:p>
      <w:pPr>
        <w:pStyle w:val="Style27"/>
        <w:rPr/>
      </w:pPr>
      <w:r>
        <w:rPr/>
        <w:t>предметом обсуждения могут являться исключительно функциональные характеристики (потребительские свойства) закупаемой продукции и иные условия исполнения договора, содержащиеся в Документации о закупке, при этом конкретный перечень вопросов к обсуждению приведен в Предложениях на предзаявочное обсуждение (форма 10) (</w:t>
      </w:r>
      <w:hyperlink w:anchor="Прил04_ФормыЗаявки">
        <w:r>
          <w:rPr>
            <w:rStyle w:val="Style11"/>
          </w:rPr>
          <w:t>Приложение № 4</w:t>
        </w:r>
      </w:hyperlink>
      <w:r>
        <w:rPr/>
        <w:t>);</w:t>
      </w:r>
    </w:p>
    <w:p>
      <w:pPr>
        <w:pStyle w:val="Style27"/>
        <w:rPr/>
      </w:pPr>
      <w:r>
        <w:rPr/>
        <w:t>в обсуждении имеет право принять участие любой Поставщик;</w:t>
      </w:r>
    </w:p>
    <w:p>
      <w:pPr>
        <w:pStyle w:val="Style27"/>
        <w:keepNext w:val="true"/>
        <w:rPr/>
      </w:pPr>
      <w:r>
        <w:rPr/>
        <w:t>обсуждение проводится в следующем порядке:</w:t>
      </w:r>
    </w:p>
    <w:p>
      <w:pPr>
        <w:pStyle w:val="Style28"/>
        <w:rPr/>
      </w:pPr>
      <w:r>
        <w:rPr/>
        <w:t>при наличии у Участника предложений по изменению функциональных характеристик (потребительских свойств) продукции и иных условий исполнения договора, содержащихся в Документации о закупке, Участник формирует предложения по перечню вопросов для обсуждения и заполняет соответствующую форму (Предложения на предзаявочное обсуждение (форма 10) (</w:t>
      </w:r>
      <w:hyperlink w:anchor="Прил04_ФормыЗаявки">
        <w:r>
          <w:rPr>
            <w:rStyle w:val="Style11"/>
          </w:rPr>
          <w:t>Приложение № 4</w:t>
        </w:r>
      </w:hyperlink>
      <w:r>
        <w:rPr/>
        <w:t>)); заполненная форма с предложениями на обсуждение направляется посредством ЭП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w:t>
      </w:r>
    </w:p>
    <w:p>
      <w:pPr>
        <w:pStyle w:val="Style28"/>
        <w:rPr/>
      </w:pPr>
      <w:r>
        <w:rPr/>
        <w:t>все поступившие в срок предложения Участников подлежат рассмотрению Заказчиком и по результатам рассмотрения принимается решение о необходимости внесения изменений в Извещение и Документацию о закупке (в форме выпуска их уточненных версий) или об отсутствии такой необходимости.</w:t>
      </w:r>
    </w:p>
    <w:p>
      <w:pPr>
        <w:pStyle w:val="Style26"/>
        <w:rPr/>
      </w:pPr>
      <w:bookmarkStart w:id="101" w:name="_Ref139095506"/>
      <w:r>
        <w:rPr/>
        <w:t>Обсуждение не проводится если по окончанию срока подачи предложений на обсуждение не поступило ни одного предложения. Обсуждение проводится если поступило хотя бы одно предложение на обсуждение.</w:t>
      </w:r>
      <w:bookmarkEnd w:id="101"/>
    </w:p>
    <w:p>
      <w:pPr>
        <w:pStyle w:val="Style26"/>
        <w:keepNext w:val="true"/>
        <w:rPr/>
      </w:pPr>
      <w:r>
        <w:rPr/>
        <w:t>Результаты обсуждения оформляются протоколом, в котором, как минимум, указываются</w:t>
      </w:r>
      <w:r>
        <w:rPr>
          <w:rStyle w:val="FootnoteReference"/>
        </w:rPr>
        <w:footnoteReference w:id="3"/>
      </w:r>
      <w:r>
        <w:rPr/>
        <w:t>:</w:t>
      </w:r>
    </w:p>
    <w:p>
      <w:pPr>
        <w:pStyle w:val="Style27"/>
        <w:rPr/>
      </w:pPr>
      <w:r>
        <w:rPr/>
        <w:t>дата подписания протокола;</w:t>
      </w:r>
    </w:p>
    <w:p>
      <w:pPr>
        <w:pStyle w:val="Style27"/>
        <w:rPr/>
      </w:pPr>
      <w:r>
        <w:rPr/>
        <w:t>общее количество поступивших предложений на обсуждение (при наличии таковых) или информация о том, что предложения не поступили;</w:t>
      </w:r>
    </w:p>
    <w:p>
      <w:pPr>
        <w:pStyle w:val="Style27"/>
        <w:rPr/>
      </w:pPr>
      <w:r>
        <w:rPr/>
        <w:t>информация о принятом Заказчиком решении по результатам обсуждения: о необходимости внесения изменений в Документацию о закупке (для уточнения функциональных характеристик (потребительских свойств) закупаемой продукции, иных условий исполнения договора) либо об отсутствии такой необходимости;</w:t>
      </w:r>
    </w:p>
    <w:p>
      <w:pPr>
        <w:pStyle w:val="Style27"/>
        <w:rPr/>
      </w:pPr>
      <w:r>
        <w:rPr/>
        <w:t>если обсуждение не проводилось в соответствии с пунктом </w:t>
      </w:r>
      <w:r>
        <w:rPr/>
        <w:fldChar w:fldCharType="begin"/>
      </w:r>
      <w:r>
        <w:rPr/>
        <w:instrText xml:space="preserve"> REF _Ref139095506 \r \h </w:instrText>
      </w:r>
      <w:r>
        <w:rPr/>
        <w:fldChar w:fldCharType="separate"/>
      </w:r>
      <w:r>
        <w:rPr/>
        <w:t>4.3.3</w:t>
      </w:r>
      <w:r>
        <w:rPr/>
        <w:fldChar w:fldCharType="end"/>
      </w:r>
      <w:r>
        <w:rPr/>
        <w:t>, в протоколе указывается причина: на обсуждение не поступило ни одного предложения.</w:t>
      </w:r>
    </w:p>
    <w:p>
      <w:pPr>
        <w:pStyle w:val="Style26"/>
        <w:rPr/>
      </w:pPr>
      <w:bookmarkStart w:id="102" w:name="_Ref139095876"/>
      <w:r>
        <w:rPr/>
        <w:t>Если по результатам проведения обсуждения Заказчик примет решение о необходимости внесения изменений в Документацию о закупке, Организатор в течение срока подачи заявок, установленного подразделом </w:t>
      </w:r>
      <w:r>
        <w:rPr/>
        <w:fldChar w:fldCharType="begin"/>
      </w:r>
      <w:r>
        <w:rPr/>
        <w:instrText xml:space="preserve"> REF _Ref125359973 \r \h </w:instrText>
      </w:r>
      <w:r>
        <w:rPr/>
        <w:fldChar w:fldCharType="separate"/>
      </w:r>
      <w:r>
        <w:rPr/>
        <w:t>1.2</w:t>
      </w:r>
      <w:r>
        <w:rPr/>
        <w:fldChar w:fldCharType="end"/>
      </w:r>
      <w:r>
        <w:rPr/>
        <w:t>, официально размещает в ЕИС изменения: уточненные Извещение и Документацию о закупке, в том числе в части сроков всех остальных этапов закупки.</w:t>
      </w:r>
      <w:bookmarkEnd w:id="102"/>
    </w:p>
    <w:p>
      <w:pPr>
        <w:pStyle w:val="Style26"/>
        <w:rPr/>
      </w:pPr>
      <w:bookmarkStart w:id="103" w:name="_Ref139095831"/>
      <w:r>
        <w:rPr/>
        <w:t>В случае, указанном в пункте </w:t>
      </w:r>
      <w:r>
        <w:rPr/>
        <w:fldChar w:fldCharType="begin"/>
      </w:r>
      <w:r>
        <w:rPr/>
        <w:instrText xml:space="preserve"> REF _Ref139095876 \r \h </w:instrText>
      </w:r>
      <w:r>
        <w:rPr/>
        <w:fldChar w:fldCharType="separate"/>
      </w:r>
      <w:r>
        <w:rPr/>
        <w:t>4.3.5</w:t>
      </w:r>
      <w:r>
        <w:rPr/>
        <w:fldChar w:fldCharType="end"/>
      </w:r>
      <w:r>
        <w:rPr/>
        <w:t>, всем Участникам предлагается представить свои заявки (либо окончательные предложения посредством внесения изменений в заявку (подраздел </w:t>
      </w:r>
      <w:r>
        <w:rPr/>
        <w:fldChar w:fldCharType="begin"/>
      </w:r>
      <w:r>
        <w:rPr/>
        <w:instrText xml:space="preserve"> REF _Ref125362130 \r \h </w:instrText>
      </w:r>
      <w:r>
        <w:rPr/>
        <w:fldChar w:fldCharType="separate"/>
      </w:r>
      <w:r>
        <w:rPr/>
        <w:t>4.8</w:t>
      </w:r>
      <w:r>
        <w:rPr/>
        <w:fldChar w:fldCharType="end"/>
      </w:r>
      <w:r>
        <w:rPr/>
        <w:t>) в случае наличия ранее поданной заявки) с учетом уточненных функциональных характеристик (потребительских свойств) закупаемой продукции, иных условий исполнения договора. При этом Организатор устанавливает новый срок окончания подачи заявок и размещает в ЕИС уточненные Извещение и Документацию о закупке в следующие сроки:</w:t>
      </w:r>
      <w:bookmarkEnd w:id="103"/>
    </w:p>
    <w:p>
      <w:pPr>
        <w:pStyle w:val="Style27"/>
        <w:rPr/>
      </w:pPr>
      <w:r>
        <w:rPr/>
        <w:t>не менее чем за 7 (семь) календарных дней до даты окончания срока подачи заявок если НМЦ, указанная в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27"/>
        <w:rPr/>
      </w:pPr>
      <w:r>
        <w:rPr/>
        <w:t>не менее чем за 15 (пятнадцать) календарных дней до даты окончания срока подачи заявок если НМЦ, указанная в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26"/>
        <w:rPr/>
      </w:pPr>
      <w:r>
        <w:rPr/>
        <w:t>После размещения в ЕИС протокола, составляемого по результатам обсуждения, любой Участник вправе отказаться от дальнейшего участия в закупке. Такой отказ выражается в непредставлении Участником окончательного предложения (а при наличии ранее поданной заявки / окончательного предложения – в отзыве заявки в соответствии с подразделом </w:t>
      </w:r>
      <w:r>
        <w:rPr/>
        <w:fldChar w:fldCharType="begin"/>
      </w:r>
      <w:r>
        <w:rPr/>
        <w:instrText xml:space="preserve"> REF _Ref125362130 \r \h </w:instrText>
      </w:r>
      <w:r>
        <w:rPr/>
        <w:fldChar w:fldCharType="separate"/>
      </w:r>
      <w:r>
        <w:rPr/>
        <w:t>4.8</w:t>
      </w:r>
      <w:r>
        <w:rPr/>
        <w:fldChar w:fldCharType="end"/>
      </w:r>
      <w:r>
        <w:rPr/>
        <w:t>).</w:t>
      </w:r>
    </w:p>
    <w:p>
      <w:pPr>
        <w:pStyle w:val="Style26"/>
        <w:rPr/>
      </w:pPr>
      <w:r>
        <w:rPr/>
        <w:t>С момента официального размещения уточненных Извещения и Документации о закупке в сроки, установленные пунктом </w:t>
      </w:r>
      <w:r>
        <w:rPr/>
        <w:fldChar w:fldCharType="begin"/>
      </w:r>
      <w:r>
        <w:rPr/>
        <w:instrText xml:space="preserve"> REF _Ref139095831 \r \h </w:instrText>
      </w:r>
      <w:r>
        <w:rPr/>
        <w:fldChar w:fldCharType="separate"/>
      </w:r>
      <w:r>
        <w:rPr/>
        <w:t>4.3.6</w:t>
      </w:r>
      <w:r>
        <w:rPr/>
        <w:fldChar w:fldCharType="end"/>
      </w:r>
      <w:r>
        <w:rPr/>
        <w:t>, и до окончания срока подачи заявок Организатор вправе вносить в указанные Извещения и (или) Документацию о закупке изменения в общем порядке, предусмотренном в подразделе </w:t>
      </w:r>
      <w:r>
        <w:rPr/>
        <w:fldChar w:fldCharType="begin"/>
      </w:r>
      <w:r>
        <w:rPr/>
        <w:instrText xml:space="preserve"> REF _Ref125362076 \r \h </w:instrText>
      </w:r>
      <w:r>
        <w:rPr/>
        <w:fldChar w:fldCharType="separate"/>
      </w:r>
      <w:r>
        <w:rPr/>
        <w:t>4.6</w:t>
      </w:r>
      <w:r>
        <w:rPr/>
        <w:fldChar w:fldCharType="end"/>
      </w:r>
      <w:r>
        <w:rPr/>
        <w:t>.</w:t>
      </w:r>
    </w:p>
    <w:p>
      <w:pPr>
        <w:pStyle w:val="Style25"/>
        <w:rPr/>
      </w:pPr>
      <w:bookmarkStart w:id="104" w:name="_Ref130281199"/>
      <w:bookmarkStart w:id="105" w:name="_Ref130394681"/>
      <w:bookmarkStart w:id="106" w:name="_Toc228876851"/>
      <w:r>
        <w:rPr/>
        <w:t>Подготовка заявки</w:t>
      </w:r>
      <w:bookmarkEnd w:id="104"/>
      <w:bookmarkEnd w:id="105"/>
      <w:bookmarkEnd w:id="106"/>
    </w:p>
    <w:p>
      <w:pPr>
        <w:pStyle w:val="Style26"/>
        <w:rPr/>
      </w:pPr>
      <w:r>
        <w:rPr/>
        <w:t>Участник должен подготовить заявку с учетом требований Документации о закупке.</w:t>
      </w:r>
    </w:p>
    <w:p>
      <w:pPr>
        <w:pStyle w:val="Style26"/>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4.7</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rPr/>
      </w:pPr>
      <w:r>
        <w:rPr/>
        <w:t xml:space="preserve">Непосредственно перед подачей заявки Участник должен разделить подготовленные документы на отдельные части: </w:t>
      </w:r>
      <w:bookmarkStart w:id="107" w:name="_Hlk132886098"/>
      <w:r>
        <w:rPr/>
        <w:t>первую часть, вторую часть и ценовое предложение</w:t>
      </w:r>
      <w:bookmarkEnd w:id="107"/>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rPr/>
      </w:pPr>
      <w:bookmarkStart w:id="108" w:name="_Ref130394854"/>
      <w:bookmarkStart w:id="109"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8"/>
      <w:bookmarkEnd w:id="109"/>
    </w:p>
    <w:p>
      <w:pPr>
        <w:pStyle w:val="Style26"/>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rPr/>
      </w:pPr>
      <w:bookmarkStart w:id="110" w:name="_Ref125370700"/>
      <w:bookmarkStart w:id="111"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6"/>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10"/>
      <w:bookmarkEnd w:id="111"/>
    </w:p>
    <w:p>
      <w:pPr>
        <w:pStyle w:val="Style26"/>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6"/>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12" w:name="_Ref125370398"/>
      <w:bookmarkStart w:id="113" w:name="_Ref125714384"/>
      <w:r>
        <w:rPr/>
        <w:t>противоречия между документами заявки и сведениями, указанными Участником в структурированных формах на ЭП.</w:t>
      </w:r>
      <w:bookmarkEnd w:id="112"/>
      <w:bookmarkEnd w:id="113"/>
    </w:p>
    <w:p>
      <w:pPr>
        <w:pStyle w:val="Style26"/>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14" w:name="_Ref130394205"/>
      <w:bookmarkStart w:id="115" w:name="_Ref130394785"/>
      <w:bookmarkStart w:id="116" w:name="_Ref130394802"/>
      <w:bookmarkStart w:id="117" w:name="_Toc228876852"/>
      <w:bookmarkStart w:id="118" w:name="_Ref125361260"/>
      <w:bookmarkStart w:id="119" w:name="_Ref125362071"/>
      <w:bookmarkStart w:id="120" w:name="_Ref125366672"/>
      <w:r>
        <w:rPr/>
        <w:t>Разъяснение Документации о закупке</w:t>
      </w:r>
      <w:bookmarkEnd w:id="114"/>
      <w:bookmarkEnd w:id="115"/>
      <w:bookmarkEnd w:id="116"/>
      <w:bookmarkEnd w:id="117"/>
      <w:bookmarkEnd w:id="118"/>
      <w:bookmarkEnd w:id="119"/>
      <w:bookmarkEnd w:id="120"/>
    </w:p>
    <w:p>
      <w:pPr>
        <w:pStyle w:val="Style26"/>
        <w:rPr/>
      </w:pPr>
      <w:r>
        <w:rPr/>
        <w:t>Участники вправе обратиться к Организатору за разъяснениями Документации о закупке.</w:t>
      </w:r>
    </w:p>
    <w:p>
      <w:pPr>
        <w:pStyle w:val="Style26"/>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21" w:name="_Ref125362076"/>
      <w:bookmarkStart w:id="122" w:name="_Ref125363891"/>
      <w:bookmarkStart w:id="123" w:name="_Ref125364404"/>
      <w:bookmarkStart w:id="124" w:name="_Toc228876853"/>
      <w:r>
        <w:rPr/>
        <w:t>Изменения Извещения и (или) Документации о закупке</w:t>
      </w:r>
      <w:bookmarkEnd w:id="121"/>
      <w:bookmarkEnd w:id="122"/>
      <w:bookmarkEnd w:id="123"/>
      <w:bookmarkEnd w:id="124"/>
    </w:p>
    <w:p>
      <w:pPr>
        <w:pStyle w:val="Style26"/>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 / окончательных предложений;</w:t>
      </w:r>
    </w:p>
    <w:p>
      <w:pPr>
        <w:pStyle w:val="Style27"/>
        <w:rPr/>
      </w:pPr>
      <w:r>
        <w:rPr/>
        <w:t>рассмотрения вторых частей заявок и ценовых предложений;</w:t>
      </w:r>
    </w:p>
    <w:p>
      <w:pPr>
        <w:pStyle w:val="Style27"/>
        <w:rPr/>
      </w:pPr>
      <w:r>
        <w:rPr/>
        <w:t>проведения переторжки, если предусмотрен данный этап;</w:t>
      </w:r>
    </w:p>
    <w:p>
      <w:pPr>
        <w:pStyle w:val="Style27"/>
        <w:rPr/>
      </w:pPr>
      <w:r>
        <w:rPr/>
        <w:t>подведения итогов закупки;</w:t>
      </w:r>
    </w:p>
    <w:p>
      <w:pPr>
        <w:pStyle w:val="Style30"/>
        <w:ind w:left="1134" w:hanging="0"/>
        <w:rPr/>
      </w:pPr>
      <w:bookmarkStart w:id="125" w:name="_Ref125550844"/>
      <w:r>
        <w:rPr/>
        <w:t>в пределах срока действия заявок и с уведомлением Участников, подавших заявки.</w:t>
      </w:r>
      <w:bookmarkEnd w:id="125"/>
    </w:p>
    <w:p>
      <w:pPr>
        <w:pStyle w:val="Style26"/>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27"/>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27"/>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26"/>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26" w:name="_Ref125362119"/>
      <w:bookmarkStart w:id="127" w:name="_Toc228876854"/>
      <w:r>
        <w:rPr/>
        <w:t>Подача заявок и их прием</w:t>
      </w:r>
      <w:bookmarkEnd w:id="126"/>
      <w:bookmarkEnd w:id="127"/>
    </w:p>
    <w:p>
      <w:pPr>
        <w:pStyle w:val="Style26"/>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rPr/>
      </w:pPr>
      <w:r>
        <w:rPr/>
        <w:t xml:space="preserve">Заявка должна быть подписана </w:t>
      </w:r>
      <w:bookmarkStart w:id="128" w:name="_Hlk219296949"/>
      <w:r>
        <w:rPr/>
        <w:t xml:space="preserve">усиленной квалифицированной </w:t>
      </w:r>
      <w:bookmarkEnd w:id="128"/>
      <w:r>
        <w:rPr/>
        <w:t>электронной подписью лица, которое является уполномоченным представителем Участника.</w:t>
      </w:r>
    </w:p>
    <w:p>
      <w:pPr>
        <w:pStyle w:val="Style26"/>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29" w:name="_Ref125362130"/>
      <w:bookmarkStart w:id="130" w:name="_Ref125362192"/>
      <w:bookmarkStart w:id="131" w:name="_Ref125363819"/>
      <w:bookmarkStart w:id="132" w:name="_Ref125365136"/>
      <w:bookmarkStart w:id="133" w:name="_Toc228876855"/>
      <w:r>
        <w:rPr/>
        <w:t>Изменение и отзыв заявок</w:t>
      </w:r>
      <w:bookmarkEnd w:id="129"/>
      <w:bookmarkEnd w:id="130"/>
      <w:bookmarkEnd w:id="131"/>
      <w:bookmarkEnd w:id="132"/>
      <w:bookmarkEnd w:id="133"/>
    </w:p>
    <w:p>
      <w:pPr>
        <w:pStyle w:val="Style26"/>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4.7</w:t>
      </w:r>
      <w:r>
        <w:rPr/>
        <w:fldChar w:fldCharType="end"/>
      </w:r>
      <w:r>
        <w:rPr/>
        <w:t>.</w:t>
      </w:r>
    </w:p>
    <w:p>
      <w:pPr>
        <w:pStyle w:val="Style26"/>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34" w:name="_Ref132816188"/>
      <w:bookmarkStart w:id="135" w:name="_Toc228876856"/>
      <w:r>
        <w:rPr/>
        <w:t>Открытие доступа к первым частям заявок</w:t>
      </w:r>
      <w:bookmarkEnd w:id="134"/>
      <w:bookmarkEnd w:id="135"/>
    </w:p>
    <w:p>
      <w:pPr>
        <w:pStyle w:val="Style26"/>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6"/>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33"/>
        <w:keepNext w:val="true"/>
        <w:rPr/>
      </w:pPr>
      <w:r>
        <w:rPr/>
      </w:r>
    </w:p>
    <w:p>
      <w:pPr>
        <w:pStyle w:val="Style33"/>
        <w:keepNext w:val="true"/>
        <w:rPr/>
      </w:pPr>
      <w:r>
        <w:rPr/>
      </w:r>
    </w:p>
    <w:p>
      <w:pPr>
        <w:pStyle w:val="Style25"/>
        <w:rPr/>
      </w:pPr>
      <w:bookmarkStart w:id="136" w:name="_Ref132722566"/>
      <w:bookmarkStart w:id="137" w:name="_Toc228876858"/>
      <w:r>
        <w:rPr/>
        <w:t>Подача окончательных предложений</w:t>
      </w:r>
      <w:bookmarkEnd w:id="136"/>
      <w:bookmarkEnd w:id="137"/>
    </w:p>
    <w:p>
      <w:pPr>
        <w:pStyle w:val="Style26"/>
        <w:rPr/>
      </w:pPr>
      <w:r>
        <w:rPr/>
        <w:t>Если по результатам предзаявочного обсуждения (подраздел</w:t>
      </w:r>
      <w:r>
        <w:rPr>
          <w:lang w:val="en-US"/>
        </w:rPr>
        <w:t> </w:t>
      </w:r>
      <w:r>
        <w:rPr>
          <w:lang w:val="en-US"/>
        </w:rPr>
        <w:fldChar w:fldCharType="begin"/>
      </w:r>
      <w:r>
        <w:rPr>
          <w:lang w:val="en-US"/>
        </w:rPr>
        <w:instrText xml:space="preserve"> REF _Ref132724378 \w \h </w:instrText>
      </w:r>
      <w:r>
        <w:rPr>
          <w:lang w:val="en-US"/>
        </w:rPr>
        <w:fldChar w:fldCharType="separate"/>
      </w:r>
      <w:r>
        <w:rPr>
          <w:lang w:val="en-US"/>
        </w:rPr>
        <w:t>4.3</w:t>
      </w:r>
      <w:r>
        <w:rPr>
          <w:lang w:val="en-US"/>
        </w:rPr>
        <w:fldChar w:fldCharType="end"/>
      </w:r>
      <w:r>
        <w:rPr/>
        <w:t>) или обсуждения заявок (подраздел</w:t>
      </w:r>
      <w:r>
        <w:rPr>
          <w:lang w:val="en-US"/>
        </w:rPr>
        <w:t> </w:t>
      </w:r>
      <w:r>
        <w:rPr>
          <w:lang w:val="en-US"/>
        </w:rPr>
        <w:fldChar w:fldCharType="begin"/>
      </w:r>
      <w:r>
        <w:rPr>
          <w:lang w:val="en-US"/>
        </w:rPr>
        <w:instrText xml:space="preserve"> REF _Ref132724398 \w \h </w:instrText>
      </w:r>
      <w:r>
        <w:rPr>
          <w:lang w:val="en-US"/>
        </w:rPr>
        <w:fldChar w:fldCharType="separate"/>
      </w:r>
      <w:r>
        <w:rPr>
          <w:lang w:val="en-US"/>
        </w:rPr>
        <w:t>Ошибка: источник перекрёстной ссылки не найден</w:t>
      </w:r>
      <w:r>
        <w:rPr>
          <w:lang w:val="en-US"/>
        </w:rPr>
        <w:fldChar w:fldCharType="end"/>
      </w:r>
      <w:r>
        <w:rPr/>
        <w:t>), Организатором были уточнены первоначальные Извещение и (или) Документация о закупке, то любой Участник, ранее подавший заявку на участие в закупке, вправе внести в нее изменения (подраздел </w:t>
      </w:r>
      <w:r>
        <w:rPr/>
        <w:fldChar w:fldCharType="begin"/>
      </w:r>
      <w:r>
        <w:rPr/>
        <w:instrText xml:space="preserve"> REF _Ref125362130 \w \h </w:instrText>
      </w:r>
      <w:r>
        <w:rPr/>
        <w:fldChar w:fldCharType="separate"/>
      </w:r>
      <w:r>
        <w:rPr/>
        <w:t>4.8</w:t>
      </w:r>
      <w:r>
        <w:rPr/>
        <w:fldChar w:fldCharType="end"/>
      </w:r>
      <w:r>
        <w:rPr/>
        <w:t>) и подать свое одно окончательное предложение с учетом уточненных функциональных характеристик (потребительских свойств) закупаемой продукции, иных условий исполнения договора.</w:t>
      </w:r>
    </w:p>
    <w:p>
      <w:pPr>
        <w:pStyle w:val="Style26"/>
        <w:rPr/>
      </w:pPr>
      <w:r>
        <w:rPr/>
        <w:t>Заявки с окончательными предложениями принимаются в любое время с момента официального размещения (подраздел </w:t>
      </w:r>
      <w:r>
        <w:rPr/>
        <w:fldChar w:fldCharType="begin"/>
      </w:r>
      <w:r>
        <w:rPr/>
        <w:instrText xml:space="preserve"> REF _Ref130286532 \w \h </w:instrText>
      </w:r>
      <w:r>
        <w:rPr/>
        <w:fldChar w:fldCharType="separate"/>
      </w:r>
      <w:r>
        <w:rPr/>
        <w:t>4.2</w:t>
      </w:r>
      <w:r>
        <w:rPr/>
        <w:fldChar w:fldCharType="end"/>
      </w:r>
      <w:r>
        <w:rPr/>
        <w:t>) Организатором уточненных Извещения и Документации о закупке до момента окончания срока подачи окончательных предложений (подраздел </w:t>
      </w:r>
      <w:r>
        <w:rPr/>
        <w:fldChar w:fldCharType="begin"/>
      </w:r>
      <w:r>
        <w:rPr/>
        <w:instrText xml:space="preserve"> REF _Ref125359973 \w \h </w:instrText>
      </w:r>
      <w:r>
        <w:rPr/>
        <w:fldChar w:fldCharType="separate"/>
      </w:r>
      <w:r>
        <w:rPr/>
        <w:t>1.2</w:t>
      </w:r>
      <w:r>
        <w:rPr/>
        <w:fldChar w:fldCharType="end"/>
      </w:r>
      <w:r>
        <w:rPr/>
        <w:t>). Окончательные предложения, поданные позднее установленного срока, не могут быть приняты Оператором ЭП, независимо от причин опоздания.</w:t>
      </w:r>
    </w:p>
    <w:p>
      <w:pPr>
        <w:pStyle w:val="Style26"/>
        <w:rPr/>
      </w:pPr>
      <w:r>
        <w:rPr/>
        <w:t>Одновременно с подачей окончательного предложения Участник вправе подать одно новое ценовое предложение.</w:t>
      </w:r>
    </w:p>
    <w:p>
      <w:pPr>
        <w:pStyle w:val="Style26"/>
        <w:rPr/>
      </w:pPr>
      <w:r>
        <w:rPr/>
        <w:t>Любой Участник вправе отказаться от дальнейшего участия в закупке по результатам проведения обсуждений. Такой отказ выражается в непредставлении Участником окончательного предложения.</w:t>
      </w:r>
    </w:p>
    <w:p>
      <w:pPr>
        <w:pStyle w:val="Style26"/>
        <w:rPr/>
      </w:pPr>
      <w:r>
        <w:rPr/>
        <w:t>Подробные правила подачи окончательных предложений определяются Регламентом ЭП, с использованием которой проводится закупка. Требования к порядку подготовки и оформлению таких окончательных предложений аналогичны общим требованиям к заявкам (подраздел </w:t>
      </w:r>
      <w:r>
        <w:rPr/>
        <w:fldChar w:fldCharType="begin"/>
      </w:r>
      <w:r>
        <w:rPr/>
        <w:instrText xml:space="preserve"> REF _Ref130281199 \w \h </w:instrText>
      </w:r>
      <w:r>
        <w:rPr/>
        <w:fldChar w:fldCharType="separate"/>
      </w:r>
      <w:r>
        <w:rPr/>
        <w:t>4.4</w:t>
      </w:r>
      <w:r>
        <w:rPr/>
        <w:fldChar w:fldCharType="end"/>
      </w:r>
      <w:r>
        <w:rPr/>
        <w:t>).</w:t>
      </w:r>
    </w:p>
    <w:p>
      <w:pPr>
        <w:pStyle w:val="Style25"/>
        <w:rPr/>
      </w:pPr>
      <w:bookmarkStart w:id="138" w:name="_Ref132816209"/>
      <w:bookmarkStart w:id="139" w:name="_Toc228876859"/>
      <w:r>
        <w:rPr/>
        <w:t>Открытие доступа к окончательным предложениям</w:t>
      </w:r>
      <w:bookmarkEnd w:id="138"/>
      <w:bookmarkEnd w:id="139"/>
    </w:p>
    <w:p>
      <w:pPr>
        <w:pStyle w:val="Style26"/>
        <w:rPr/>
      </w:pPr>
      <w:r>
        <w:rPr/>
        <w:t>Оператор ЭП в срок не позднее 1 (одного) дня, следующего за днем окончания срока подачи окончательных предложений (подраздел </w:t>
      </w:r>
      <w:r>
        <w:rPr/>
        <w:fldChar w:fldCharType="begin"/>
      </w:r>
      <w:r>
        <w:rPr/>
        <w:instrText xml:space="preserve"> REF _Ref125359973 \w \h </w:instrText>
      </w:r>
      <w:r>
        <w:rPr/>
        <w:fldChar w:fldCharType="separate"/>
      </w:r>
      <w:r>
        <w:rPr/>
        <w:t>1.2</w:t>
      </w:r>
      <w:r>
        <w:rPr/>
        <w:fldChar w:fldCharType="end"/>
      </w:r>
      <w:r>
        <w:rPr/>
        <w:t>), направляет в адрес Организатора первые части заявок с окончательными предложениями всех Участников, от которых были получены такие предложения.</w:t>
      </w:r>
    </w:p>
    <w:p>
      <w:pPr>
        <w:pStyle w:val="Style26"/>
        <w:rPr/>
      </w:pPr>
      <w:r>
        <w:rPr/>
        <w:t>Подробные правила открытия Организатору доступа к первым частям заявок с окончательными предложениями определяются Регламентом ЭП, с использованием которой проводится закупка. При этом Оператор ЭП обеспечивает конфиденциальность сведений содержащихся в первых частях заявок с окончательными предложений от Участников такой закупки.</w:t>
      </w:r>
    </w:p>
    <w:p>
      <w:pPr>
        <w:pStyle w:val="Style33"/>
        <w:rPr>
          <w:lang w:val="en-US"/>
        </w:rPr>
      </w:pPr>
      <w:r>
        <w:rPr>
          <w:lang w:val="en-US"/>
        </w:rPr>
      </w:r>
    </w:p>
    <w:p>
      <w:pPr>
        <w:pStyle w:val="Style25"/>
        <w:rPr/>
      </w:pPr>
      <w:bookmarkStart w:id="140" w:name="_Ref125362364"/>
      <w:bookmarkStart w:id="141" w:name="_Ref125366689"/>
      <w:bookmarkStart w:id="142" w:name="_Toc228876860"/>
      <w:r>
        <w:rPr/>
        <w:t>Рассмотрение первых частей заявок / окончательных предложений (отборочная стадия)</w:t>
      </w:r>
      <w:bookmarkEnd w:id="140"/>
      <w:bookmarkEnd w:id="141"/>
      <w:bookmarkEnd w:id="142"/>
    </w:p>
    <w:p>
      <w:pPr>
        <w:pStyle w:val="Style26"/>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26"/>
        <w:keepNext w:val="true"/>
        <w:rPr/>
      </w:pPr>
      <w:bookmarkStart w:id="143"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43"/>
    </w:p>
    <w:p>
      <w:pPr>
        <w:pStyle w:val="Style27"/>
        <w:rPr/>
      </w:pPr>
      <w:r>
        <w:rPr/>
        <w:t>несоответствие первой части заявки / окончательного предложения по составу</w:t>
      </w:r>
      <w:r>
        <w:rPr>
          <w:rStyle w:val="FootnoteReference"/>
        </w:rPr>
        <w:footnoteReference w:id="4"/>
      </w:r>
      <w:r>
        <w:rPr/>
        <w:t>, содержанию и соблюдению требований Документации о закупке к подготовке (оформлению) заявки, в том числе наличие:</w:t>
      </w:r>
    </w:p>
    <w:p>
      <w:pPr>
        <w:pStyle w:val="Style28"/>
        <w:rPr/>
      </w:pPr>
      <w:r>
        <w:rPr/>
        <w:t>недостоверных сведений или намеренно искаженной информации или документов;</w:t>
      </w:r>
    </w:p>
    <w:p>
      <w:pPr>
        <w:pStyle w:val="Style28"/>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26"/>
        <w:keepNext w:val="true"/>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5"/>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 окончательных предложений с указанием, в том числе:</w:t>
      </w:r>
    </w:p>
    <w:p>
      <w:pPr>
        <w:pStyle w:val="Style28"/>
        <w:rPr/>
      </w:pPr>
      <w:r>
        <w:rPr/>
        <w:t>количества заявок, которые были отклонены по результатам рассмотрения первых частей заявок / окончательных предложений;</w:t>
      </w:r>
    </w:p>
    <w:p>
      <w:pPr>
        <w:pStyle w:val="Style28"/>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4.19</w:t>
      </w:r>
      <w:r>
        <w:rPr/>
        <w:fldChar w:fldCharType="end"/>
      </w:r>
      <w:r>
        <w:rPr/>
        <w:t xml:space="preserve"> (в случае ее признания таковой).</w:t>
      </w:r>
    </w:p>
    <w:p>
      <w:pPr>
        <w:pStyle w:val="Style26"/>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5"/>
        <w:rPr/>
      </w:pPr>
      <w:bookmarkStart w:id="144" w:name="_Ref132801184"/>
      <w:bookmarkStart w:id="145" w:name="_Toc228876861"/>
      <w:r>
        <w:rPr/>
        <w:t>Открытие доступа ко вторым частям заявок и ценовым предложениям</w:t>
      </w:r>
      <w:bookmarkEnd w:id="144"/>
      <w:bookmarkEnd w:id="145"/>
    </w:p>
    <w:p>
      <w:pPr>
        <w:pStyle w:val="Style26"/>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6"/>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46" w:name="_Ref132797154"/>
      <w:bookmarkStart w:id="147" w:name="_Toc228876862"/>
      <w:r>
        <w:rPr/>
        <w:t>Рассмотрение вторых частей заявок (отборочная стадия), в том числе (при необходимости) проведение аккредитации, и ценовых предложений</w:t>
      </w:r>
      <w:bookmarkEnd w:id="146"/>
      <w:bookmarkEnd w:id="147"/>
    </w:p>
    <w:p>
      <w:pPr>
        <w:pStyle w:val="Style26"/>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rPr/>
      </w:pPr>
      <w:bookmarkStart w:id="148" w:name="_Ref224834720"/>
      <w:r>
        <w:rPr/>
        <w:t>При выявлении в рамках рассмотрения ценовых предложений наличия арифметических ошибок, в том числе:</w:t>
      </w:r>
      <w:bookmarkEnd w:id="148"/>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rPr/>
      </w:pPr>
      <w:bookmarkStart w:id="149"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49"/>
    </w:p>
    <w:p>
      <w:pPr>
        <w:pStyle w:val="Style27"/>
        <w:rPr/>
      </w:pPr>
      <w:r>
        <w:rPr/>
        <w:t>несоответствие второй части заявки и (или) ценового предложения по составу</w:t>
      </w:r>
      <w:r>
        <w:rPr>
          <w:rStyle w:val="FootnoteReference"/>
        </w:rPr>
        <w:footnoteReference w:id="6"/>
      </w:r>
      <w:r>
        <w:rPr/>
        <w:t>, содержанию и соблюдению требований Документации о закупке к подготовке (оформлению) заявки, в том числе наличие:</w:t>
      </w:r>
    </w:p>
    <w:p>
      <w:pPr>
        <w:pStyle w:val="Style28"/>
        <w:rPr/>
      </w:pPr>
      <w:r>
        <w:rPr/>
        <w:t>недостоверных сведений или намеренно искаженной информации или документов;</w:t>
      </w:r>
    </w:p>
    <w:p>
      <w:pPr>
        <w:pStyle w:val="Style28"/>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4.14.4</w:t>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7"/>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rPr/>
      </w:pPr>
      <w:r>
        <w:rPr/>
        <w:t>количества заявок, которые были отклонены по результатам рассмотрения вторых частей заявок и ценовых предложений;</w:t>
      </w:r>
    </w:p>
    <w:p>
      <w:pPr>
        <w:pStyle w:val="Style28"/>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4.19</w:t>
      </w:r>
      <w:r>
        <w:rPr/>
        <w:fldChar w:fldCharType="end"/>
      </w:r>
      <w:r>
        <w:rPr/>
        <w:t xml:space="preserve"> (в случае ее признания таковой).</w:t>
      </w:r>
    </w:p>
    <w:p>
      <w:pPr>
        <w:pStyle w:val="Style26"/>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5"/>
        <w:rPr/>
      </w:pPr>
      <w:bookmarkStart w:id="150" w:name="_Ref125362381"/>
      <w:bookmarkStart w:id="151" w:name="_Ref125362425"/>
      <w:bookmarkStart w:id="152" w:name="_Ref125362464"/>
      <w:bookmarkStart w:id="153" w:name="_Ref125362610"/>
      <w:bookmarkStart w:id="154" w:name="_Toc228876863"/>
      <w:r>
        <w:rPr/>
        <w:t>Дополнительные запросы разъяснений заявок</w:t>
      </w:r>
      <w:bookmarkEnd w:id="150"/>
      <w:bookmarkEnd w:id="151"/>
      <w:bookmarkEnd w:id="152"/>
      <w:bookmarkEnd w:id="153"/>
      <w:bookmarkEnd w:id="154"/>
    </w:p>
    <w:p>
      <w:pPr>
        <w:pStyle w:val="Style26"/>
        <w:rPr/>
      </w:pPr>
      <w:bookmarkStart w:id="155"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55"/>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rPr/>
      </w:pPr>
      <w:r>
        <w:rPr/>
        <w:t>соответствия Участника требованиям Документации о закупке;</w:t>
      </w:r>
    </w:p>
    <w:p>
      <w:pPr>
        <w:pStyle w:val="Style28"/>
        <w:rPr/>
      </w:pPr>
      <w:bookmarkStart w:id="156" w:name="_Hlk132793683"/>
      <w:r>
        <w:rPr/>
        <w:t>наличия соответствующих полномочий на подписание заявки от имени Участника у лица, подписавшего заявку</w:t>
      </w:r>
      <w:bookmarkEnd w:id="156"/>
      <w:r>
        <w:rPr/>
        <w:t>;</w:t>
      </w:r>
    </w:p>
    <w:p>
      <w:pPr>
        <w:pStyle w:val="Style28"/>
        <w:rPr/>
      </w:pPr>
      <w:r>
        <w:rPr/>
        <w:t xml:space="preserve">соответствия заявки требованиям Документации о закупке в части характеристик предлагаемой продукции, </w:t>
      </w:r>
      <w:bookmarkStart w:id="157"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57"/>
      <w:r>
        <w:rPr/>
        <w:t>(подраздел </w:t>
      </w:r>
      <w:r>
        <w:rPr/>
        <w:fldChar w:fldCharType="begin"/>
      </w:r>
      <w:r>
        <w:rPr/>
        <w:instrText xml:space="preserve"> REF _Ref186181253 \r \h </w:instrText>
      </w:r>
      <w:r>
        <w:rPr/>
        <w:fldChar w:fldCharType="separate"/>
      </w:r>
      <w:r>
        <w:rPr/>
        <w:t>4.17</w:t>
      </w:r>
      <w:r>
        <w:rPr/>
        <w:fldChar w:fldCharType="end"/>
      </w:r>
      <w:r>
        <w:rPr/>
        <w:t>)), договорных условий и расчета цены Договора;</w:t>
      </w:r>
    </w:p>
    <w:p>
      <w:pPr>
        <w:pStyle w:val="Style27"/>
        <w:rPr/>
      </w:pPr>
      <w:bookmarkStart w:id="158"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8"/>
      </w:r>
      <w:r>
        <w:rPr/>
        <w:t>) требованиям Документации о закупке или осуществить оценку и сопоставление заявок.</w:t>
      </w:r>
      <w:bookmarkEnd w:id="158"/>
    </w:p>
    <w:p>
      <w:pPr>
        <w:pStyle w:val="Style26"/>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4.15.1б)</w:t>
      </w:r>
      <w:r>
        <w:rPr/>
        <w:fldChar w:fldCharType="end"/>
      </w:r>
      <w:r>
        <w:rPr/>
        <w:t>).</w:t>
      </w:r>
    </w:p>
    <w:p>
      <w:pPr>
        <w:pStyle w:val="Style26"/>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4.12.4</w:t>
      </w:r>
      <w:r>
        <w:rPr/>
        <w:fldChar w:fldCharType="end"/>
      </w:r>
      <w:r>
        <w:rPr/>
        <w:t xml:space="preserve">, </w:t>
      </w:r>
      <w:r>
        <w:rPr/>
        <w:fldChar w:fldCharType="begin"/>
      </w:r>
      <w:r>
        <w:rPr/>
        <w:instrText xml:space="preserve"> REF _Ref132793926 \r \h </w:instrText>
      </w:r>
      <w:r>
        <w:rPr/>
        <w:fldChar w:fldCharType="separate"/>
      </w:r>
      <w:r>
        <w:rPr/>
        <w:t>4.14.5</w:t>
      </w:r>
      <w:r>
        <w:rPr/>
        <w:fldChar w:fldCharType="end"/>
      </w:r>
      <w:r>
        <w:rPr/>
        <w:t xml:space="preserve">, </w:t>
      </w:r>
      <w:r>
        <w:rPr/>
        <w:fldChar w:fldCharType="begin"/>
      </w:r>
      <w:r>
        <w:rPr/>
        <w:instrText xml:space="preserve"> REF _Ref132880719 \r \h </w:instrText>
      </w:r>
      <w:r>
        <w:rPr/>
        <w:fldChar w:fldCharType="separate"/>
      </w:r>
      <w:r>
        <w:rPr/>
        <w:t>Ошибка: источник перекрёстной ссылки не найден</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4.15.1</w:t>
      </w:r>
      <w:r>
        <w:rPr/>
        <w:fldChar w:fldCharType="end"/>
      </w:r>
      <w:r>
        <w:rPr/>
        <w:t>.</w:t>
      </w:r>
    </w:p>
    <w:p>
      <w:pPr>
        <w:pStyle w:val="Style26"/>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4.12.4</w:t>
      </w:r>
      <w:r>
        <w:rPr/>
        <w:fldChar w:fldCharType="end"/>
      </w:r>
      <w:r>
        <w:rPr/>
        <w:t xml:space="preserve">, </w:t>
      </w:r>
      <w:r>
        <w:rPr/>
        <w:fldChar w:fldCharType="begin"/>
      </w:r>
      <w:r>
        <w:rPr/>
        <w:instrText xml:space="preserve"> REF _Ref132793926 \r \h </w:instrText>
      </w:r>
      <w:r>
        <w:rPr/>
        <w:fldChar w:fldCharType="separate"/>
      </w:r>
      <w:r>
        <w:rPr/>
        <w:t>4.14.5</w:t>
      </w:r>
      <w:r>
        <w:rPr/>
        <w:fldChar w:fldCharType="end"/>
      </w:r>
      <w:r>
        <w:rPr/>
        <w:t xml:space="preserve">, </w:t>
      </w:r>
      <w:r>
        <w:rPr/>
        <w:fldChar w:fldCharType="begin"/>
      </w:r>
      <w:r>
        <w:rPr/>
        <w:instrText xml:space="preserve"> REF _Ref132880719 \r \h </w:instrText>
      </w:r>
      <w:r>
        <w:rPr/>
        <w:fldChar w:fldCharType="separate"/>
      </w:r>
      <w:r>
        <w:rPr/>
        <w:t>Ошибка: источник перекрёстной ссылки не найден</w:t>
      </w:r>
      <w:r>
        <w:rPr/>
        <w:fldChar w:fldCharType="end"/>
      </w:r>
      <w:r>
        <w:rPr/>
        <w:t>.</w:t>
      </w:r>
    </w:p>
    <w:p>
      <w:pPr>
        <w:pStyle w:val="Style25"/>
        <w:rPr/>
      </w:pPr>
      <w:bookmarkStart w:id="159" w:name="_Ref125362626"/>
      <w:bookmarkStart w:id="160" w:name="_Ref125365335"/>
      <w:bookmarkStart w:id="161" w:name="_Ref125365519"/>
      <w:bookmarkStart w:id="162" w:name="_Ref125366534"/>
      <w:bookmarkStart w:id="163" w:name="_Ref125369041"/>
      <w:bookmarkStart w:id="164" w:name="_Ref125369308"/>
      <w:bookmarkStart w:id="165" w:name="_Toc228876866"/>
      <w:r>
        <w:rPr/>
        <w:t>Оценка и сопоставление заявок</w:t>
      </w:r>
      <w:bookmarkEnd w:id="159"/>
      <w:bookmarkEnd w:id="160"/>
      <w:bookmarkEnd w:id="161"/>
      <w:bookmarkEnd w:id="162"/>
      <w:bookmarkEnd w:id="163"/>
      <w:bookmarkEnd w:id="164"/>
      <w:bookmarkEnd w:id="165"/>
    </w:p>
    <w:p>
      <w:pPr>
        <w:pStyle w:val="Style26"/>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 а также если проводилась переторжка (подраздел </w:t>
      </w:r>
      <w:r>
        <w:rPr/>
        <w:fldChar w:fldCharType="begin"/>
      </w:r>
      <w:r>
        <w:rPr/>
        <w:instrText xml:space="preserve"> REF _Ref132816263 \r \h </w:instrText>
      </w:r>
      <w:r>
        <w:rPr/>
        <w:fldChar w:fldCharType="separate"/>
      </w:r>
      <w:r>
        <w:rPr/>
        <w:t>Ошибка: источник перекрёстной ссылки не найден</w:t>
      </w:r>
      <w:r>
        <w:rPr/>
        <w:fldChar w:fldCharType="end"/>
      </w:r>
      <w:r>
        <w:rPr/>
        <w:t>), с учетом даты и времени последнего изменения заявки на ЭП, обусловленного переторжкой)).</w:t>
      </w:r>
    </w:p>
    <w:p>
      <w:pPr>
        <w:pStyle w:val="Style26"/>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33"/>
        <w:keepNext w:val="true"/>
        <w:rPr>
          <w:lang w:val="en-US"/>
        </w:rPr>
      </w:pPr>
      <w:r>
        <w:rPr>
          <w:lang w:val="en-US"/>
        </w:rPr>
      </w:r>
    </w:p>
    <w:p>
      <w:pPr>
        <w:pStyle w:val="Style26"/>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4.17</w:t>
      </w:r>
      <w:r>
        <w:rPr/>
        <w:fldChar w:fldCharType="end"/>
      </w:r>
      <w:r>
        <w:rPr/>
        <w:t>).</w:t>
      </w:r>
    </w:p>
    <w:p>
      <w:pPr>
        <w:pStyle w:val="Style33"/>
        <w:keepNext w:val="true"/>
        <w:rPr/>
      </w:pPr>
      <w:r>
        <w:rPr/>
      </w:r>
    </w:p>
    <w:p>
      <w:pPr>
        <w:pStyle w:val="Style26"/>
        <w:rPr/>
      </w:pPr>
      <w:r>
        <w:rPr/>
        <w:t>Результаты оценки и сопоставления заявок указываются в итоговом протоколе по результатам закупки.</w:t>
      </w:r>
    </w:p>
    <w:p>
      <w:pPr>
        <w:pStyle w:val="Style25"/>
        <w:rPr/>
      </w:pPr>
      <w:bookmarkStart w:id="166" w:name="_Ref186181253"/>
      <w:bookmarkStart w:id="167" w:name="_Ref132816300"/>
      <w:bookmarkStart w:id="168" w:name="_Toc228876867"/>
      <w:bookmarkStart w:id="169" w:name="_Ref130985951"/>
      <w:bookmarkStart w:id="170" w:name="_Ref125366064"/>
      <w:bookmarkStart w:id="171" w:name="_Ref125369991"/>
      <w:bookmarkStart w:id="172" w:name="_Ref125370507"/>
      <w:bookmarkStart w:id="173" w:name="_Ref130458671"/>
      <w:r>
        <w:rPr/>
        <w:t>Применение законодательства о национальном режиме</w:t>
      </w:r>
      <w:bookmarkEnd w:id="166"/>
      <w:bookmarkEnd w:id="167"/>
      <w:bookmarkEnd w:id="168"/>
      <w:bookmarkEnd w:id="169"/>
      <w:bookmarkEnd w:id="170"/>
      <w:bookmarkEnd w:id="171"/>
      <w:bookmarkEnd w:id="172"/>
      <w:bookmarkEnd w:id="173"/>
    </w:p>
    <w:p>
      <w:pPr>
        <w:pStyle w:val="Style26"/>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4.14</w:t>
      </w:r>
      <w:r>
        <w:rPr/>
        <w:fldChar w:fldCharType="end"/>
      </w:r>
      <w:r>
        <w:rPr/>
        <w:t>).</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4.14</w:t>
      </w:r>
      <w:r>
        <w:rPr/>
        <w:fldChar w:fldCharType="end"/>
      </w:r>
      <w:r>
        <w:rPr/>
        <w:t>).</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4.16</w:t>
      </w:r>
      <w:r>
        <w:rPr/>
        <w:fldChar w:fldCharType="end"/>
      </w:r>
      <w:r>
        <w:rPr/>
        <w:t>), осуществляется снижение</w:t>
      </w:r>
      <w:r>
        <w:rPr>
          <w:rStyle w:val="FootnoteReference"/>
        </w:rPr>
        <w:footnoteReference w:id="9"/>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rPr/>
      </w:pPr>
      <w:bookmarkStart w:id="174"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4.14</w:t>
      </w:r>
      <w:r>
        <w:rPr/>
        <w:fldChar w:fldCharType="end"/>
      </w:r>
      <w:r>
        <w:rPr/>
        <w:t>).</w:t>
      </w:r>
      <w:bookmarkEnd w:id="174"/>
    </w:p>
    <w:p>
      <w:pPr>
        <w:pStyle w:val="Style26"/>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_Ref207810730 \r \h </w:instrText>
      </w:r>
      <w:r>
        <w:rPr/>
        <w:fldChar w:fldCharType="separate"/>
      </w:r>
      <w:r>
        <w:rPr/>
        <w:t>Ошибка: источник перекрёстной ссылки не найден</w:t>
      </w:r>
      <w:r>
        <w:rPr/>
        <w:fldChar w:fldCharType="end"/>
      </w:r>
      <w:r>
        <w:rPr/>
        <w:t> – </w:t>
      </w:r>
      <w:r>
        <w:rPr/>
        <w:fldChar w:fldCharType="begin"/>
      </w:r>
      <w:r>
        <w:rPr/>
        <w:instrText xml:space="preserve"> REF _Ref207810742 \r \h </w:instrText>
      </w:r>
      <w:r>
        <w:rPr/>
        <w:fldChar w:fldCharType="separate"/>
      </w:r>
      <w:r>
        <w:rPr/>
        <w:t>Ошибка: источник перекрёстной ссылки не найден</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rPr/>
      </w:pPr>
      <w:bookmarkStart w:id="175"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75"/>
      <w:r>
        <w:rPr/>
        <w:t>.</w:t>
      </w:r>
    </w:p>
    <w:p>
      <w:pPr>
        <w:pStyle w:val="Style25"/>
        <w:rPr/>
      </w:pPr>
      <w:bookmarkStart w:id="176" w:name="_Ref125362658"/>
      <w:bookmarkStart w:id="177" w:name="_Ref125366091"/>
      <w:bookmarkStart w:id="178" w:name="_Ref125367242"/>
      <w:bookmarkStart w:id="179" w:name="_Toc228876869"/>
      <w:r>
        <w:rPr/>
        <w:t>Подведение итогов закупки (определение Победителя)</w:t>
      </w:r>
      <w:bookmarkEnd w:id="176"/>
      <w:bookmarkEnd w:id="177"/>
      <w:bookmarkEnd w:id="178"/>
      <w:bookmarkEnd w:id="179"/>
    </w:p>
    <w:p>
      <w:pPr>
        <w:pStyle w:val="Style26"/>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rPr/>
      </w:pPr>
      <w:bookmarkStart w:id="180"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10"/>
      </w:r>
      <w:r>
        <w:rPr/>
        <w:t>:</w:t>
      </w:r>
      <w:bookmarkEnd w:id="180"/>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28"/>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28"/>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rPr/>
      </w:pPr>
      <w:r>
        <w:rPr/>
        <w:t>количества заявок, которые были отклонены;</w:t>
      </w:r>
    </w:p>
    <w:p>
      <w:pPr>
        <w:pStyle w:val="Style28"/>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bookmarkStart w:id="181"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4.5</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81"/>
    </w:p>
    <w:p>
      <w:pPr>
        <w:pStyle w:val="Style25"/>
        <w:rPr/>
      </w:pPr>
      <w:bookmarkStart w:id="182" w:name="_Ref125364149"/>
      <w:bookmarkStart w:id="183" w:name="_Ref125364187"/>
      <w:bookmarkStart w:id="184" w:name="_Ref125365305"/>
      <w:bookmarkStart w:id="185" w:name="_Ref125365570"/>
      <w:bookmarkStart w:id="186" w:name="_Ref125366631"/>
      <w:bookmarkStart w:id="187" w:name="_Ref125366796"/>
      <w:bookmarkStart w:id="188" w:name="_Toc228876870"/>
      <w:r>
        <w:rPr/>
        <w:t>Признание закупки несостоявшейся</w:t>
      </w:r>
      <w:bookmarkEnd w:id="182"/>
      <w:bookmarkEnd w:id="183"/>
      <w:bookmarkEnd w:id="184"/>
      <w:bookmarkEnd w:id="185"/>
      <w:bookmarkEnd w:id="186"/>
      <w:bookmarkEnd w:id="187"/>
      <w:bookmarkEnd w:id="188"/>
    </w:p>
    <w:p>
      <w:pPr>
        <w:pStyle w:val="Style26"/>
        <w:keepNext w:val="true"/>
        <w:rPr/>
      </w:pPr>
      <w:bookmarkStart w:id="189" w:name="_Ref214289498"/>
      <w:r>
        <w:rPr/>
        <w:t>Закупка признается несостоявшейся в следующих случаях:</w:t>
      </w:r>
      <w:bookmarkEnd w:id="189"/>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90"/>
      <w:r>
        <w:rPr/>
        <w:t>).</w:t>
      </w:r>
    </w:p>
    <w:p>
      <w:pPr>
        <w:pStyle w:val="Style26"/>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4.19.1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left="2127" w:hanging="426"/>
        <w:rPr>
          <w:sz w:val="26"/>
          <w:szCs w:val="26"/>
        </w:rPr>
      </w:pPr>
      <w:bookmarkStart w:id="19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1"/>
    </w:p>
    <w:p>
      <w:pPr>
        <w:pStyle w:val="Style27"/>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4.19.1</w:t>
      </w:r>
      <w:r>
        <w:rPr/>
        <w:fldChar w:fldCharType="end"/>
      </w:r>
      <w:r>
        <w:rPr/>
        <w:t xml:space="preserve">), принято решение о признании их не соответствующими требованиям Документации о закупке, </w:t>
      </w:r>
      <w:bookmarkStart w:id="192" w:name="_Hlk219301655"/>
      <w:bookmarkStart w:id="193" w:name="_Hlk219297054"/>
      <w:r>
        <w:rPr/>
        <w:t>либо по результатам проведения закупки от заключения договора уклонились все допущенные Участники</w:t>
      </w:r>
      <w:bookmarkEnd w:id="193"/>
      <w:r>
        <w:rPr/>
        <w:t xml:space="preserve"> </w:t>
      </w:r>
      <w:bookmarkEnd w:id="192"/>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194" w:name="_Ref132816134"/>
      <w:bookmarkStart w:id="195" w:name="_Ref132816141"/>
      <w:bookmarkStart w:id="196" w:name="_Toc228876871"/>
      <w:bookmarkStart w:id="197" w:name="_Ref126141962"/>
      <w:r>
        <w:rPr/>
        <w:t>Отказ от проведения закупки</w:t>
      </w:r>
      <w:bookmarkEnd w:id="197"/>
      <w:r>
        <w:rPr/>
        <w:t xml:space="preserve"> (отмена закупки)</w:t>
      </w:r>
      <w:bookmarkEnd w:id="194"/>
      <w:bookmarkEnd w:id="195"/>
      <w:bookmarkEnd w:id="196"/>
    </w:p>
    <w:p>
      <w:pPr>
        <w:pStyle w:val="Style26"/>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198" w:name="_Ref130455226"/>
      <w:bookmarkStart w:id="199" w:name="_Toc228876872"/>
      <w:r>
        <w:rPr/>
        <w:t>Особенности проведения закупки с необходимостью обеспечения заявки</w:t>
      </w:r>
      <w:bookmarkEnd w:id="198"/>
      <w:bookmarkEnd w:id="199"/>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6"/>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1"/>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4.21.8л)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4.21.14</w:t>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00" w:name="_Ref132716380"/>
      <w:r>
        <w:rPr/>
        <w:t>независимая гарантия должна быть выдана организацией из числа указанных в части 1 статьи 45 Закона 44-ФЗ;</w:t>
      </w:r>
      <w:bookmarkEnd w:id="20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rPr/>
      </w:pPr>
      <w:r>
        <w:rPr/>
        <w:t>При многолотовой закупке (подраздел </w:t>
      </w:r>
      <w:r>
        <w:rPr/>
        <w:fldChar w:fldCharType="begin"/>
      </w:r>
      <w:r>
        <w:rPr/>
        <w:instrText xml:space="preserve"> REF _Ref149317133 \n \h </w:instrText>
      </w:r>
      <w:r>
        <w:rPr/>
        <w:fldChar w:fldCharType="separate"/>
      </w:r>
      <w:r>
        <w:rPr/>
        <w:t>4.22</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rPr/>
      </w:pPr>
      <w:r>
        <w:rPr/>
        <w:t>Подать заявку (принять участие в закупке) могут только Участники, предоставившие надлежащее обеспечение их заявок.</w:t>
      </w:r>
    </w:p>
    <w:p>
      <w:pPr>
        <w:pStyle w:val="Style26"/>
        <w:rPr/>
      </w:pPr>
      <w:r>
        <w:rPr/>
        <w:t>Требование об обеспечении заявки в равной мере распространяется на всех Участников.</w:t>
      </w:r>
    </w:p>
    <w:p>
      <w:pPr>
        <w:pStyle w:val="Style26"/>
        <w:keepNext w:val="true"/>
        <w:rPr/>
      </w:pPr>
      <w:bookmarkStart w:id="20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6"/>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5"/>
        <w:rPr/>
      </w:pPr>
      <w:bookmarkStart w:id="202" w:name="_Ref149317133"/>
      <w:bookmarkStart w:id="203" w:name="_Toc228876873"/>
      <w:bookmarkStart w:id="204" w:name="_Ref130225422"/>
      <w:r>
        <w:rPr/>
        <w:t>Особенности проведения многолотовой закупки</w:t>
      </w:r>
      <w:bookmarkEnd w:id="202"/>
      <w:bookmarkEnd w:id="203"/>
      <w:bookmarkEnd w:id="204"/>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26"/>
        <w:keepNext w:val="true"/>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05" w:name="_Ref126142429"/>
      <w:bookmarkStart w:id="206" w:name="_Ref130224037"/>
      <w:bookmarkStart w:id="207" w:name="_Toc228876875"/>
      <w:bookmarkStart w:id="208" w:name="_Ref125361212"/>
      <w:bookmarkStart w:id="209" w:name="_Ref125362671"/>
      <w:bookmarkStart w:id="210" w:name="_Ref125363439"/>
      <w:bookmarkStart w:id="211" w:name="_Ref125366769"/>
      <w:bookmarkStart w:id="212" w:name="_Ref125367083"/>
      <w:bookmarkStart w:id="213" w:name="_Ref125367087"/>
      <w:r>
        <w:rPr/>
        <w:t>Порядок заключения Договора</w:t>
      </w:r>
      <w:bookmarkEnd w:id="205"/>
      <w:bookmarkEnd w:id="206"/>
      <w:bookmarkEnd w:id="207"/>
      <w:bookmarkEnd w:id="208"/>
      <w:bookmarkEnd w:id="209"/>
      <w:bookmarkEnd w:id="210"/>
      <w:bookmarkEnd w:id="211"/>
      <w:bookmarkEnd w:id="212"/>
      <w:bookmarkEnd w:id="213"/>
    </w:p>
    <w:p>
      <w:pPr>
        <w:pStyle w:val="Style25"/>
        <w:rPr/>
      </w:pPr>
      <w:bookmarkStart w:id="214" w:name="_Toc228876876"/>
      <w:r>
        <w:rPr/>
        <w:t>Общие положения</w:t>
      </w:r>
      <w:bookmarkEnd w:id="214"/>
    </w:p>
    <w:p>
      <w:pPr>
        <w:pStyle w:val="Style26"/>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15" w:name="_Ref138341423"/>
      <w:bookmarkStart w:id="216" w:name="_Toc228876877"/>
      <w:bookmarkStart w:id="217" w:name="_Ref125366947"/>
      <w:bookmarkStart w:id="218" w:name="_Ref125368755"/>
      <w:r>
        <w:rPr/>
        <w:t>Заключение Договора</w:t>
      </w:r>
      <w:bookmarkEnd w:id="215"/>
      <w:bookmarkEnd w:id="216"/>
      <w:bookmarkEnd w:id="217"/>
      <w:bookmarkEnd w:id="218"/>
    </w:p>
    <w:p>
      <w:pPr>
        <w:pStyle w:val="Style26"/>
        <w:rPr/>
      </w:pPr>
      <w:bookmarkStart w:id="219" w:name="_Ref125362935"/>
      <w:bookmarkStart w:id="220"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19"/>
      <w:bookmarkEnd w:id="220"/>
    </w:p>
    <w:p>
      <w:pPr>
        <w:pStyle w:val="Style26"/>
        <w:rPr/>
      </w:pPr>
      <w:r>
        <w:rPr/>
        <w:t>Договор не может быть заключен, если это запрещено законодательством о национальном режиме .</w:t>
      </w:r>
    </w:p>
    <w:p>
      <w:pPr>
        <w:pStyle w:val="Style26"/>
        <w:rPr/>
      </w:pPr>
      <w:bookmarkStart w:id="221" w:name="_Ref125363464"/>
      <w:bookmarkStart w:id="222" w:name="_Hlk207818000"/>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22"/>
      <w:r>
        <w:rPr/>
        <w:t>.</w:t>
      </w:r>
      <w:bookmarkEnd w:id="221"/>
    </w:p>
    <w:p>
      <w:pPr>
        <w:pStyle w:val="Style26"/>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23" w:name="_Hlk207818034"/>
      <w:r>
        <w:rPr/>
        <w:t>Portable Document Format (</w:t>
      </w:r>
      <w:r>
        <w:rPr>
          <w:lang w:val="en-US"/>
        </w:rPr>
        <w:t>pdf</w:t>
      </w:r>
      <w:r>
        <w:rPr/>
        <w:t>)</w:t>
      </w:r>
      <w:bookmarkEnd w:id="223"/>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rPr/>
      </w:pPr>
      <w:bookmarkStart w:id="224"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24"/>
    </w:p>
    <w:p>
      <w:pPr>
        <w:pStyle w:val="Style27"/>
        <w:keepNext w:val="true"/>
        <w:rPr/>
      </w:pPr>
      <w:r>
        <w:rPr/>
        <w:t>для юридического лица:</w:t>
      </w:r>
    </w:p>
    <w:p>
      <w:pPr>
        <w:pStyle w:val="Style28"/>
        <w:rPr/>
      </w:pPr>
      <w:r>
        <w:rPr/>
        <w:t>копия устава в действующей редакции с отметкой ИФНС либо копия нотариально заверенного устава (с отметкой нотариуса);</w:t>
      </w:r>
    </w:p>
    <w:p>
      <w:pPr>
        <w:pStyle w:val="Style28"/>
        <w:rPr/>
      </w:pPr>
      <w:bookmarkStart w:id="225"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25"/>
    </w:p>
    <w:p>
      <w:pPr>
        <w:pStyle w:val="Style28"/>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bookmarkStart w:id="226" w:name="_Ref125361554"/>
      <w:r>
        <w:rPr/>
        <w:t>.</w:t>
      </w:r>
      <w:bookmarkEnd w:id="226"/>
    </w:p>
    <w:p>
      <w:pPr>
        <w:pStyle w:val="Style26"/>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rPr/>
      </w:pPr>
      <w:bookmarkStart w:id="227"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7"/>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rPr/>
      </w:pPr>
      <w:bookmarkStart w:id="228"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28"/>
    </w:p>
    <w:p>
      <w:pPr>
        <w:pStyle w:val="Style26"/>
        <w:rPr/>
      </w:pPr>
      <w:bookmarkStart w:id="229"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0"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0"/>
      <w:r>
        <w:rPr/>
        <w:t>.</w:t>
      </w:r>
      <w:bookmarkEnd w:id="229"/>
    </w:p>
    <w:p>
      <w:pPr>
        <w:pStyle w:val="Style26"/>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1" w:name="_Ref125367068"/>
      <w:bookmarkStart w:id="232" w:name="_Toc228876878"/>
      <w:r>
        <w:rPr/>
        <w:t>Уклонение Победителя от заключения Договора</w:t>
      </w:r>
      <w:bookmarkEnd w:id="231"/>
      <w:bookmarkEnd w:id="232"/>
    </w:p>
    <w:p>
      <w:pPr>
        <w:pStyle w:val="Style26"/>
        <w:keepNext w:val="true"/>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33" w:name="_Ref125363016"/>
      <w:bookmarkStart w:id="234" w:name="_Ref125363023"/>
      <w:bookmarkStart w:id="235" w:name="_Ref125363034"/>
      <w:bookmarkStart w:id="236" w:name="_Ref125363600"/>
      <w:bookmarkStart w:id="237" w:name="_Ref125363752"/>
      <w:bookmarkStart w:id="238" w:name="_Ref125364088"/>
      <w:bookmarkStart w:id="239" w:name="_Ref125364201"/>
      <w:bookmarkStart w:id="240" w:name="_Ref125370732"/>
      <w:bookmarkStart w:id="241" w:name="_Ref125370741"/>
      <w:bookmarkStart w:id="242" w:name="_Ref125370746"/>
      <w:bookmarkStart w:id="243" w:name="_Ref125370750"/>
      <w:bookmarkStart w:id="244" w:name="_Ref125370843"/>
      <w:bookmarkStart w:id="245" w:name="Прил01_ТехТребования"/>
      <w:bookmarkStart w:id="246" w:name="_Toc228876879"/>
      <w:r>
        <w:rPr/>
        <w:t>Приложение № 1 – Технические требования</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Style25"/>
        <w:rPr/>
      </w:pPr>
      <w:bookmarkStart w:id="247" w:name="_Toc228876880"/>
      <w:r>
        <w:rPr/>
        <w:t>Пояснения к Техническим требованиям</w:t>
      </w:r>
      <w:bookmarkEnd w:id="247"/>
    </w:p>
    <w:p>
      <w:pPr>
        <w:pStyle w:val="Style26"/>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48" w:name="_Ref125361746"/>
      <w:bookmarkStart w:id="249" w:name="_Ref125363040"/>
      <w:bookmarkStart w:id="250" w:name="_Ref125363605"/>
      <w:bookmarkStart w:id="251" w:name="_Ref125363759"/>
      <w:bookmarkStart w:id="252" w:name="_Ref125364081"/>
      <w:bookmarkStart w:id="253" w:name="_Ref125364206"/>
      <w:bookmarkStart w:id="254" w:name="_Ref125370754"/>
      <w:bookmarkStart w:id="255" w:name="Прил02_ПроектДоговора"/>
      <w:bookmarkStart w:id="256" w:name="_Toc228876881"/>
      <w:r>
        <w:rPr/>
        <w:t>Приложение № 2 – Проект договора</w:t>
      </w:r>
      <w:bookmarkEnd w:id="248"/>
      <w:bookmarkEnd w:id="249"/>
      <w:bookmarkEnd w:id="250"/>
      <w:bookmarkEnd w:id="251"/>
      <w:bookmarkEnd w:id="252"/>
      <w:bookmarkEnd w:id="253"/>
      <w:bookmarkEnd w:id="254"/>
      <w:bookmarkEnd w:id="255"/>
      <w:bookmarkEnd w:id="256"/>
    </w:p>
    <w:p>
      <w:pPr>
        <w:pStyle w:val="Style25"/>
        <w:rPr/>
      </w:pPr>
      <w:bookmarkStart w:id="257" w:name="_Toc228876882"/>
      <w:r>
        <w:rPr/>
        <w:t>Пояснения к Проекту договора</w:t>
      </w:r>
      <w:bookmarkEnd w:id="257"/>
    </w:p>
    <w:p>
      <w:pPr>
        <w:pStyle w:val="Style26"/>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6"/>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58" w:name="_MON_1736255517"/>
      <w:bookmarkEnd w:id="258"/>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05pt;height:47.8pt;mso-wrap-distance-right:0pt" filled="f" o:ole="">
            <v:imagedata r:id="rId14" o:title=""/>
          </v:shape>
          <o:OLEObject Type="Embed" ProgID="Word.Document.12" ShapeID="ole_rId13" DrawAspect="Icon" ObjectID="_607874680" r:id="rId13"/>
        </w:object>
      </w:r>
    </w:p>
    <w:p>
      <w:pPr>
        <w:pStyle w:val="Style24"/>
        <w:rPr/>
      </w:pPr>
      <w:bookmarkStart w:id="259" w:name="_Ref125361494"/>
      <w:bookmarkStart w:id="260" w:name="_Ref125361908"/>
      <w:bookmarkStart w:id="261" w:name="_Ref125365476"/>
      <w:bookmarkStart w:id="262" w:name="_Ref125370013"/>
      <w:bookmarkStart w:id="263" w:name="Прил03_ТребованияУчастникам"/>
      <w:bookmarkStart w:id="264" w:name="_Toc228876883"/>
      <w:r>
        <w:rPr/>
        <w:t>Приложение № 3 – Требования к Участникам</w:t>
      </w:r>
      <w:bookmarkEnd w:id="259"/>
      <w:bookmarkEnd w:id="260"/>
      <w:bookmarkEnd w:id="261"/>
      <w:bookmarkEnd w:id="262"/>
      <w:bookmarkEnd w:id="263"/>
      <w:bookmarkEnd w:id="264"/>
    </w:p>
    <w:p>
      <w:pPr>
        <w:pStyle w:val="Style25"/>
        <w:rPr/>
      </w:pPr>
      <w:bookmarkStart w:id="265" w:name="_Toc228876884"/>
      <w:r>
        <w:rPr/>
        <w:t>Пояснения к требованиям к Участникам</w:t>
      </w:r>
      <w:bookmarkEnd w:id="265"/>
    </w:p>
    <w:p>
      <w:pPr>
        <w:pStyle w:val="Style26"/>
        <w:rPr/>
      </w:pPr>
      <w:bookmarkStart w:id="266"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66"/>
    </w:p>
    <w:p>
      <w:pPr>
        <w:pStyle w:val="Style25"/>
        <w:spacing w:before="360" w:after="120"/>
        <w:rPr/>
      </w:pPr>
      <w:bookmarkStart w:id="267" w:name="_Ref125361435"/>
      <w:bookmarkStart w:id="268" w:name="_Ref125361590"/>
      <w:bookmarkStart w:id="269" w:name="_Ref125361617"/>
      <w:bookmarkStart w:id="270" w:name="_Ref125361832"/>
      <w:bookmarkStart w:id="271" w:name="_Ref125361846"/>
      <w:bookmarkStart w:id="272" w:name="_Ref125361926"/>
      <w:bookmarkStart w:id="273" w:name="_Ref125366879"/>
      <w:bookmarkStart w:id="274" w:name="_Ref125368812"/>
      <w:bookmarkStart w:id="275" w:name="_Ref125368895"/>
      <w:bookmarkStart w:id="276" w:name="_Ref125369088"/>
      <w:bookmarkStart w:id="277" w:name="_Ref125370058"/>
      <w:bookmarkStart w:id="278" w:name="_Ref125370064"/>
      <w:bookmarkStart w:id="279" w:name="_Ref125370071"/>
      <w:bookmarkStart w:id="280" w:name="_Toc228876885"/>
      <w:r>
        <w:rPr/>
        <w:t>Обязательные требования</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1" w:name="_Ref125552433"/>
            <w:bookmarkStart w:id="282" w:name="_Ref125552433"/>
            <w:bookmarkEnd w:id="282"/>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4"/>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5"/>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4"/>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5"/>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5"/>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5"/>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3" w:name="_Ref132893662"/>
            <w:bookmarkStart w:id="284" w:name="_Ref132893662"/>
            <w:bookmarkEnd w:id="284"/>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5" w:name="_Ref139029906"/>
            <w:bookmarkStart w:id="286" w:name="_Ref139029906"/>
            <w:bookmarkEnd w:id="286"/>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3"/>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7" w:name="_Ref186181914"/>
            <w:bookmarkStart w:id="288" w:name="_Ref186181914"/>
            <w:bookmarkEnd w:id="288"/>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9" w:name="_Ref186181918"/>
            <w:bookmarkStart w:id="290" w:name="_Ref186181918"/>
            <w:bookmarkEnd w:id="290"/>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1" w:name="_Ref125361442"/>
      <w:bookmarkStart w:id="292" w:name="_Ref125361633"/>
      <w:bookmarkStart w:id="293" w:name="_Ref125361671"/>
      <w:bookmarkStart w:id="294" w:name="_Ref125361869"/>
      <w:bookmarkStart w:id="295" w:name="_Ref125361937"/>
      <w:bookmarkStart w:id="296" w:name="_Ref125365459"/>
      <w:bookmarkStart w:id="297" w:name="_Ref125367521"/>
      <w:bookmarkStart w:id="298" w:name="_Ref125367539"/>
      <w:bookmarkStart w:id="299" w:name="_Ref125368818"/>
      <w:bookmarkStart w:id="300" w:name="_Ref125368901"/>
      <w:bookmarkStart w:id="301" w:name="_Ref125368916"/>
      <w:bookmarkStart w:id="302" w:name="_Ref125369099"/>
      <w:bookmarkStart w:id="303" w:name="_Ref125370079"/>
      <w:bookmarkStart w:id="304" w:name="_Ref125709153"/>
      <w:bookmarkStart w:id="305" w:name="_Ref125709250"/>
      <w:bookmarkStart w:id="306" w:name="_Ref125709401"/>
      <w:bookmarkStart w:id="307" w:name="_Ref125709888"/>
      <w:bookmarkStart w:id="308" w:name="_Toc228876886"/>
      <w:r>
        <w:rPr/>
        <w:t>Специальные требования</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spacing w:before="120" w:after="0"/>
              <w:rPr>
                <w:sz w:val="24"/>
                <w:szCs w:val="24"/>
              </w:rPr>
            </w:pPr>
            <w:r>
              <w:rPr>
                <w:rFonts w:eastAsia="Times New Roman" w:cs="Times New Roman"/>
                <w:i/>
                <w:color w:val="00000A"/>
                <w:sz w:val="24"/>
                <w:szCs w:val="24"/>
                <w:lang w:eastAsia="ru-RU"/>
              </w:rPr>
              <w:t xml:space="preserve">   </w:t>
            </w:r>
            <w:r>
              <w:rPr>
                <w:rFonts w:eastAsia="Calibri"/>
                <w:i/>
                <w:color w:val="000000"/>
                <w:sz w:val="24"/>
                <w:szCs w:val="24"/>
              </w:rPr>
              <w:t xml:space="preserve">В соответствии со ст. 55.8 Градостроительного кодекса РФ от 29.12.2004 № 190-ФЗ: </w:t>
            </w:r>
            <w:r>
              <w:rPr>
                <w:rFonts w:eastAsia="Calibri"/>
                <w:i/>
                <w:iCs/>
                <w:color w:val="000000"/>
                <w:sz w:val="24"/>
                <w:szCs w:val="24"/>
              </w:rPr>
              <w:t xml:space="preserve">Участник закупки должен быть </w:t>
            </w:r>
            <w:r>
              <w:rPr>
                <w:rFonts w:eastAsia="Calibri"/>
                <w:i/>
                <w:color w:val="000000"/>
                <w:sz w:val="24"/>
                <w:szCs w:val="24"/>
              </w:rPr>
              <w:t xml:space="preserve">(в течение срока действия заявки на участие в закупке) </w:t>
            </w:r>
            <w:r>
              <w:rPr>
                <w:rFonts w:eastAsia="Calibri"/>
                <w:i/>
                <w:iCs/>
                <w:color w:val="000000"/>
                <w:sz w:val="24"/>
                <w:szCs w:val="24"/>
              </w:rPr>
              <w:t>членом саморегулируемой организации, основанной на членстве лиц, осуществляющих строительство</w:t>
            </w:r>
            <w:r>
              <w:rPr>
                <w:rFonts w:eastAsia="Calibri"/>
                <w:i/>
                <w:iCs/>
                <w:color w:val="000000"/>
                <w:sz w:val="24"/>
                <w:szCs w:val="24"/>
                <w:vertAlign w:val="superscript"/>
              </w:rPr>
              <w:t>1</w:t>
            </w:r>
            <w:r>
              <w:rPr>
                <w:rFonts w:eastAsia="Calibri"/>
                <w:i/>
                <w:iCs/>
                <w:color w:val="000000"/>
                <w:sz w:val="24"/>
                <w:szCs w:val="24"/>
              </w:rPr>
              <w:t xml:space="preserve">, и зарегистрированной на территории субъекта Российской Федерации, в котором зарегистрирован Участник (с учетом исключений, предусмотренных законодательством), и иметь право выполнять работы в отношении </w:t>
            </w:r>
            <w:r>
              <w:rPr>
                <w:i/>
                <w:iCs/>
                <w:color w:val="000000"/>
                <w:sz w:val="24"/>
                <w:szCs w:val="24"/>
              </w:rPr>
              <w:t>объектов капитального строительства (кроме особо опасных, технически сложных и уникальных объектов, объектов использования атомной энергии).</w:t>
            </w:r>
          </w:p>
          <w:p>
            <w:pPr>
              <w:pStyle w:val="Normal"/>
              <w:widowControl w:val="false"/>
              <w:tabs>
                <w:tab w:val="clear" w:pos="708"/>
                <w:tab w:val="left" w:pos="358" w:leader="none"/>
                <w:tab w:val="left" w:pos="426" w:leader="none"/>
              </w:tabs>
              <w:spacing w:before="60" w:after="60"/>
              <w:ind w:left="74" w:right="0" w:hanging="0"/>
              <w:jc w:val="both"/>
              <w:rPr>
                <w:i/>
                <w:i/>
                <w:color w:val="000000"/>
                <w:sz w:val="24"/>
                <w:szCs w:val="24"/>
              </w:rPr>
            </w:pPr>
            <w:r>
              <w:rPr>
                <w:i/>
                <w:color w:val="000000"/>
                <w:sz w:val="24"/>
                <w:szCs w:val="24"/>
              </w:rPr>
              <w:t>При этом:</w:t>
            </w:r>
          </w:p>
          <w:p>
            <w:pPr>
              <w:pStyle w:val="ListParagraph"/>
              <w:widowControl w:val="false"/>
              <w:numPr>
                <w:ilvl w:val="0"/>
                <w:numId w:val="0"/>
              </w:numPr>
              <w:tabs>
                <w:tab w:val="clear" w:pos="708"/>
                <w:tab w:val="left" w:pos="426" w:leader="none"/>
              </w:tabs>
              <w:spacing w:before="60" w:after="0"/>
              <w:ind w:left="358" w:right="0" w:hanging="0"/>
              <w:contextualSpacing/>
              <w:jc w:val="both"/>
              <w:rPr>
                <w:sz w:val="24"/>
                <w:szCs w:val="24"/>
              </w:rPr>
            </w:pPr>
            <w:r>
              <w:rPr>
                <w:i/>
                <w:color w:val="000000"/>
                <w:sz w:val="24"/>
                <w:szCs w:val="24"/>
              </w:rPr>
              <w:t>- уровень</w:t>
            </w:r>
            <w:r>
              <w:rPr>
                <w:rFonts w:eastAsia="Times New Roman"/>
                <w:i/>
                <w:color w:val="000000"/>
                <w:sz w:val="24"/>
                <w:szCs w:val="24"/>
              </w:rPr>
              <w:t xml:space="preserve"> ответственности Участника по компенсационному фонду возмещения вреда должен соответствовать (быть не менее) предложенной в заявке стоимости (с учетом НДС) выполнения работ (</w:t>
            </w:r>
            <w:bookmarkStart w:id="309" w:name="_Hlk150331103"/>
            <w:r>
              <w:rPr>
                <w:rFonts w:eastAsia="Times New Roman"/>
                <w:i/>
                <w:color w:val="000000"/>
                <w:sz w:val="24"/>
                <w:szCs w:val="24"/>
              </w:rPr>
              <w:t>строительство, реконструкция, капитальный ремонт объектов капитального строительства</w:t>
            </w:r>
            <w:bookmarkEnd w:id="309"/>
            <w:r>
              <w:rPr>
                <w:rFonts w:eastAsia="Times New Roman"/>
                <w:i/>
                <w:color w:val="000000"/>
                <w:sz w:val="24"/>
                <w:szCs w:val="24"/>
              </w:rPr>
              <w:t>);</w:t>
            </w:r>
          </w:p>
          <w:p>
            <w:pPr>
              <w:pStyle w:val="ListParagraph"/>
              <w:widowControl w:val="false"/>
              <w:numPr>
                <w:ilvl w:val="0"/>
                <w:numId w:val="0"/>
              </w:numPr>
              <w:tabs>
                <w:tab w:val="clear" w:pos="708"/>
                <w:tab w:val="left" w:pos="426" w:leader="none"/>
              </w:tabs>
              <w:spacing w:before="60" w:after="0"/>
              <w:ind w:left="358" w:right="0" w:hanging="0"/>
              <w:contextualSpacing/>
              <w:jc w:val="both"/>
              <w:rPr>
                <w:sz w:val="24"/>
                <w:szCs w:val="24"/>
              </w:rPr>
            </w:pPr>
            <w:r>
              <w:rPr>
                <w:i/>
                <w:color w:val="000000"/>
                <w:sz w:val="24"/>
                <w:szCs w:val="24"/>
              </w:rPr>
              <w:t>- уровень</w:t>
            </w:r>
            <w:r>
              <w:rPr>
                <w:rFonts w:eastAsia="Times New Roman"/>
                <w:i/>
                <w:color w:val="000000"/>
                <w:sz w:val="24"/>
                <w:szCs w:val="24"/>
              </w:rPr>
              <w:t xml:space="preserve">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(строительство, реконструкция, капитальный ремонт объектов капитального строительства), </w:t>
            </w:r>
            <w:r>
              <w:rPr>
                <w:i/>
                <w:color w:val="000000"/>
                <w:sz w:val="24"/>
                <w:szCs w:val="24"/>
              </w:rPr>
              <w:t>а также (в случае их наличия в Технических требованиях</w:t>
            </w:r>
            <w:r>
              <w:rPr>
                <w:rFonts w:eastAsia="Cambria"/>
                <w:i/>
                <w:color w:val="000000"/>
                <w:sz w:val="24"/>
                <w:szCs w:val="24"/>
              </w:rPr>
              <w:t>) поставки оборудования и материально-технических ресурсов</w:t>
            </w:r>
            <w:r>
              <w:rPr>
                <w:rFonts w:eastAsia="Times New Roman"/>
                <w:i/>
                <w:color w:val="000000"/>
                <w:sz w:val="24"/>
                <w:szCs w:val="24"/>
              </w:rPr>
              <w:t>.</w:t>
            </w:r>
          </w:p>
          <w:p>
            <w:pPr>
              <w:pStyle w:val="Normal"/>
              <w:widowControl w:val="false"/>
              <w:tabs>
                <w:tab w:val="clear" w:pos="708"/>
                <w:tab w:val="left" w:pos="426" w:leader="none"/>
              </w:tabs>
              <w:spacing w:before="60" w:after="0"/>
              <w:jc w:val="both"/>
              <w:rPr>
                <w:rFonts w:eastAsia="Calibri"/>
                <w:i/>
                <w:i/>
                <w:color w:val="000000"/>
                <w:sz w:val="24"/>
                <w:szCs w:val="24"/>
              </w:rPr>
            </w:pPr>
            <w:r>
              <w:rPr>
                <w:rFonts w:eastAsia="Calibri"/>
                <w:i/>
                <w:color w:val="000000"/>
                <w:sz w:val="24"/>
                <w:szCs w:val="24"/>
              </w:rPr>
            </w:r>
          </w:p>
          <w:p>
            <w:pPr>
              <w:pStyle w:val="ListParagraph"/>
              <w:widowControl w:val="false"/>
              <w:tabs>
                <w:tab w:val="clear" w:pos="708"/>
                <w:tab w:val="left" w:pos="322" w:leader="none"/>
              </w:tabs>
              <w:spacing w:before="20" w:after="20"/>
              <w:ind w:left="463" w:right="0" w:hanging="463"/>
              <w:contextualSpacing w:val="false"/>
              <w:jc w:val="both"/>
              <w:rPr/>
            </w:pPr>
            <w:r>
              <w:rPr>
                <w:i/>
                <w:color w:val="000000"/>
                <w:sz w:val="24"/>
                <w:szCs w:val="24"/>
              </w:rPr>
              <w:t xml:space="preserve">1 – </w:t>
            </w:r>
            <w:r>
              <w:rPr>
                <w:rFonts w:eastAsia="Times New Roman"/>
                <w:i/>
                <w:color w:val="000000"/>
                <w:sz w:val="24"/>
                <w:szCs w:val="24"/>
              </w:rPr>
              <w:t>Не требуется членство в СРО в области строительства Участникам закупки:</w:t>
            </w:r>
            <w:r>
              <w:rPr>
                <w:rStyle w:val="Style19"/>
                <w:b w:val="false"/>
                <w:color w:val="000000"/>
                <w:sz w:val="24"/>
                <w:szCs w:val="24"/>
              </w:rPr>
              <w:t xml:space="preserve"> </w:t>
            </w:r>
          </w:p>
          <w:p>
            <w:pPr>
              <w:pStyle w:val="ListParagraph"/>
              <w:widowControl w:val="false"/>
              <w:numPr>
                <w:ilvl w:val="0"/>
                <w:numId w:val="4"/>
              </w:numPr>
              <w:tabs>
                <w:tab w:val="clear" w:pos="708"/>
                <w:tab w:val="left" w:pos="142" w:leader="none"/>
              </w:tabs>
              <w:spacing w:before="20" w:after="20"/>
              <w:ind w:left="720" w:right="0" w:hanging="257"/>
              <w:contextualSpacing w:val="false"/>
              <w:jc w:val="both"/>
              <w:rPr>
                <w:rFonts w:eastAsia="Times New Roman"/>
                <w:i/>
                <w:i/>
                <w:color w:val="000000"/>
                <w:sz w:val="24"/>
                <w:szCs w:val="24"/>
              </w:rPr>
            </w:pPr>
            <w:r>
              <w:rPr>
                <w:rFonts w:eastAsia="Times New Roman"/>
                <w:i/>
                <w:color w:val="000000"/>
                <w:sz w:val="24"/>
                <w:szCs w:val="24"/>
              </w:rPr>
              <w:t>перечисленным в ч. 2.2 ст. 52 ГрК РФ;</w:t>
            </w:r>
          </w:p>
          <w:p>
            <w:pPr>
              <w:pStyle w:val="Normal"/>
              <w:widowControl w:val="false"/>
              <w:rPr>
                <w:i/>
                <w:i/>
                <w:iCs/>
                <w:color w:val="000000"/>
                <w:sz w:val="24"/>
                <w:szCs w:val="24"/>
              </w:rPr>
            </w:pPr>
            <w:r>
              <w:rPr>
                <w:i/>
                <w:iCs/>
                <w:color w:val="000000"/>
                <w:sz w:val="24"/>
                <w:szCs w:val="24"/>
              </w:rPr>
              <w:t>предложивших цену договора, не превышающую 10 млн. руб., в соответствии с ч. 2.1 ст. 52 ГрК РФ</w:t>
            </w:r>
          </w:p>
          <w:p>
            <w:pPr>
              <w:pStyle w:val="Normal"/>
              <w:widowControl w:val="false"/>
              <w:rPr>
                <w:i/>
                <w:i/>
                <w:sz w:val="24"/>
                <w:szCs w:val="24"/>
              </w:rPr>
            </w:pPr>
            <w:r>
              <w:rPr>
                <w:rFonts w:eastAsia="Calibri" w:cs=""/>
                <w:i/>
                <w:kern w:val="0"/>
                <w:sz w:val="24"/>
                <w:szCs w:val="24"/>
                <w:lang w:val="en-US" w:eastAsia="en-US" w:bidi="ar-SA"/>
              </w:rPr>
              <w:t xml:space="preserve">     </w:t>
            </w:r>
          </w:p>
        </w:tc>
        <w:tc>
          <w:tcPr>
            <w:tcW w:w="8327" w:type="dxa"/>
            <w:tcBorders/>
          </w:tcPr>
          <w:p>
            <w:pPr>
              <w:pStyle w:val="Normal"/>
              <w:widowControl w:val="false"/>
              <w:tabs>
                <w:tab w:val="clear" w:pos="708"/>
                <w:tab w:val="left" w:pos="426" w:leader="none"/>
              </w:tabs>
              <w:spacing w:before="60" w:after="0"/>
              <w:jc w:val="both"/>
              <w:rPr>
                <w:rFonts w:eastAsia="Calibri"/>
                <w:i/>
                <w:i/>
                <w:sz w:val="24"/>
                <w:szCs w:val="24"/>
              </w:rPr>
            </w:pPr>
            <w:r>
              <w:rPr>
                <w:rFonts w:eastAsia="Calibri"/>
                <w:i/>
                <w:sz w:val="24"/>
                <w:szCs w:val="24"/>
              </w:rPr>
              <w:t>Предоставление документов не требуется.</w:t>
            </w:r>
          </w:p>
          <w:p>
            <w:pPr>
              <w:pStyle w:val="Normal"/>
              <w:widowControl w:val="false"/>
              <w:tabs>
                <w:tab w:val="clear" w:pos="708"/>
                <w:tab w:val="left" w:pos="426" w:leader="none"/>
              </w:tabs>
              <w:spacing w:before="60" w:after="120"/>
              <w:jc w:val="both"/>
              <w:rPr/>
            </w:pPr>
            <w:r>
              <w:rPr>
                <w:rFonts w:eastAsia="Calibri" w:cs=""/>
                <w:i/>
                <w:iCs/>
                <w:kern w:val="0"/>
                <w:sz w:val="24"/>
                <w:szCs w:val="24"/>
                <w:lang w:val="en-US" w:eastAsia="en-US" w:bidi="ar-SA"/>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 – Национальное объединение строителей НОСТРОЙ - сервис «Единый реестр членов СРО» (</w:t>
            </w:r>
            <w:hyperlink r:id="rId19">
              <w:r>
                <w:rPr>
                  <w:rStyle w:val="Hyperlink"/>
                  <w:rFonts w:eastAsia="Calibri" w:cs=""/>
                  <w:i/>
                  <w:iCs/>
                  <w:kern w:val="0"/>
                  <w:sz w:val="24"/>
                  <w:szCs w:val="24"/>
                  <w:lang w:val="en-US" w:eastAsia="en-US" w:bidi="ar-SA"/>
                </w:rPr>
                <w:t>https://reestr.nostroy.ru/sro/all/member/list</w:t>
              </w:r>
            </w:hyperlink>
            <w:r>
              <w:rPr>
                <w:rFonts w:eastAsia="Calibri" w:cs=""/>
                <w:i/>
                <w:iCs/>
                <w:kern w:val="0"/>
                <w:sz w:val="24"/>
                <w:szCs w:val="24"/>
                <w:lang w:val="en-US" w:eastAsia="en-US" w:bidi="ar-SA"/>
              </w:rPr>
              <w:t>).</w:t>
            </w:r>
          </w:p>
        </w:tc>
      </w:tr>
    </w:tbl>
    <w:p>
      <w:pPr>
        <w:pStyle w:val="Style25"/>
        <w:spacing w:before="360" w:after="120"/>
        <w:rPr/>
      </w:pPr>
      <w:bookmarkStart w:id="310" w:name="_Ref125361823"/>
      <w:bookmarkStart w:id="311" w:name="_Ref125362031"/>
      <w:bookmarkStart w:id="312" w:name="_Ref125369117"/>
      <w:bookmarkStart w:id="313" w:name="_Ref125370173"/>
      <w:bookmarkStart w:id="314" w:name="_Ref125370180"/>
      <w:bookmarkStart w:id="315" w:name="_Ref125370209"/>
      <w:bookmarkStart w:id="316" w:name="_Ref125709777"/>
      <w:bookmarkStart w:id="317" w:name="_Ref125709973"/>
      <w:bookmarkStart w:id="318" w:name="_Toc228876887"/>
      <w:r>
        <w:rPr/>
        <w:t>Дополнительные требования к Генеральным подрядчикам</w:t>
      </w:r>
      <w:bookmarkEnd w:id="310"/>
      <w:bookmarkEnd w:id="311"/>
      <w:bookmarkEnd w:id="312"/>
      <w:bookmarkEnd w:id="313"/>
      <w:bookmarkEnd w:id="314"/>
      <w:bookmarkEnd w:id="315"/>
      <w:bookmarkEnd w:id="316"/>
      <w:bookmarkEnd w:id="317"/>
      <w:bookmarkEnd w:id="318"/>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5"/>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19" w:name="_Ref125370187"/>
            <w:bookmarkStart w:id="320" w:name="_Ref125370187"/>
            <w:bookmarkEnd w:id="320"/>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5"/>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1" w:name="_Ref125370193"/>
            <w:bookmarkStart w:id="322" w:name="_Ref125370193"/>
            <w:bookmarkEnd w:id="322"/>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5"/>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3" w:name="_Ref125553847"/>
            <w:bookmarkStart w:id="324" w:name="_Ref125553847"/>
            <w:bookmarkEnd w:id="324"/>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3"/>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bl>
    <w:p>
      <w:pPr>
        <w:sectPr>
          <w:headerReference w:type="default" r:id="rId20"/>
          <w:headerReference w:type="first" r:id="rId21"/>
          <w:footerReference w:type="default" r:id="rId22"/>
          <w:footerReference w:type="first" r:id="rId2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25" w:name="_Toc228876888"/>
      <w:bookmarkStart w:id="326" w:name="Прил04_ФормыЗаявки"/>
      <w:bookmarkEnd w:id="326"/>
      <w:r>
        <w:rPr/>
        <w:t>Приложение № 4 – Образцы форм документов, включаемых в состав заявки</w:t>
      </w:r>
      <w:bookmarkEnd w:id="325"/>
    </w:p>
    <w:p>
      <w:pPr>
        <w:pStyle w:val="Style25"/>
        <w:rPr/>
      </w:pPr>
      <w:bookmarkStart w:id="327" w:name="_Toc228876889"/>
      <w:r>
        <w:rPr/>
        <w:t>Пояснения к Образцам форм документов, включаемых в состав заявки</w:t>
      </w:r>
      <w:bookmarkEnd w:id="327"/>
    </w:p>
    <w:p>
      <w:pPr>
        <w:pStyle w:val="Style26"/>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28" w:name="_Hlk207818315"/>
      <w:r>
        <w:rPr/>
        <w:t>Участник при подготовке заявки обязан придерживаться установленных форм документов</w:t>
      </w:r>
      <w:bookmarkEnd w:id="328"/>
      <w:r>
        <w:rPr/>
        <w:t>.</w:t>
      </w:r>
    </w:p>
    <w:p>
      <w:pPr>
        <w:pStyle w:val="Style24"/>
        <w:rPr/>
      </w:pPr>
      <w:bookmarkStart w:id="329" w:name="_Toc228876890"/>
      <w:bookmarkStart w:id="330" w:name="Прил05_ФормыПобедителя"/>
      <w:bookmarkEnd w:id="330"/>
      <w:r>
        <w:rPr/>
        <w:t>Приложение № 5 – Образцы форм документов, предоставляемых Победителем</w:t>
      </w:r>
      <w:bookmarkEnd w:id="329"/>
    </w:p>
    <w:p>
      <w:pPr>
        <w:pStyle w:val="Style25"/>
        <w:rPr/>
      </w:pPr>
      <w:bookmarkStart w:id="331" w:name="_Toc228876891"/>
      <w:r>
        <w:rPr/>
        <w:t>Пояснения к Образцам форм документов, предоставляемых Победителем</w:t>
      </w:r>
      <w:bookmarkEnd w:id="331"/>
    </w:p>
    <w:p>
      <w:pPr>
        <w:pStyle w:val="Style26"/>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5"/>
        <w:rPr/>
      </w:pPr>
      <w:bookmarkStart w:id="332" w:name="_Ref130395470"/>
      <w:bookmarkStart w:id="333" w:name="_Toc228876892"/>
      <w:r>
        <w:rPr/>
        <w:t>Форма справки «Сведения о цепочке собственников, включая бенефициаров (в том числе конечных)»</w:t>
      </w:r>
      <w:bookmarkEnd w:id="332"/>
      <w:bookmarkEnd w:id="333"/>
    </w:p>
    <w:p>
      <w:pPr>
        <w:pStyle w:val="Style26"/>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34" w:name="_MON_1805621314"/>
    </w:p>
    <w:p>
      <w:pPr>
        <w:pStyle w:val="Style30"/>
        <w:jc w:val="center"/>
        <w:rPr/>
      </w:pPr>
      <w:bookmarkStart w:id="335" w:name="_Hlk207818329"/>
      <w:bookmarkEnd w:id="334"/>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6.25pt;height:50.8pt;mso-wrap-distance-right:0pt" filled="f" o:ole="">
            <v:imagedata r:id="rId25" o:title=""/>
          </v:shape>
          <o:OLEObject Type="Embed" ProgID="Word.Document.12" ShapeID="ole_rId24" DrawAspect="Icon" ObjectID="_358933819" r:id="rId24"/>
        </w:object>
      </w:r>
      <w:bookmarkEnd w:id="335"/>
    </w:p>
    <w:p>
      <w:pPr>
        <w:pStyle w:val="Style25"/>
        <w:rPr/>
      </w:pPr>
      <w:bookmarkStart w:id="336" w:name="_Ref130395475"/>
      <w:bookmarkStart w:id="337" w:name="_Toc228876893"/>
      <w:r>
        <w:rPr/>
        <w:t>Форма «Заверение об обстоятельствах»</w:t>
      </w:r>
      <w:bookmarkEnd w:id="336"/>
      <w:bookmarkEnd w:id="337"/>
    </w:p>
    <w:p>
      <w:pPr>
        <w:pStyle w:val="Style26"/>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38" w:name="_MON_1741074184"/>
    </w:p>
    <w:p>
      <w:pPr>
        <w:pStyle w:val="Style30"/>
        <w:spacing w:before="120" w:after="120"/>
        <w:jc w:val="center"/>
        <w:rPr/>
      </w:pPr>
      <w:bookmarkEnd w:id="338"/>
      <w:r>
        <w:rPr/>
        <w:object>
          <v:shapetype id="_x0000_tole_rId26" coordsize="21600,21600" o:spt="ole_rId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 type="_x0000_tole_rId26" style="width:78.05pt;height:50.8pt;mso-wrap-distance-right:0pt;mso-wrap-distance-bottom:6pt" filled="f" o:ole="">
            <v:imagedata r:id="rId27" o:title=""/>
          </v:shape>
          <o:OLEObject Type="Embed" ProgID="Word.Document.12" ShapeID="ole_rId26" DrawAspect="Icon" ObjectID="_736384234" r:id="rId26"/>
        </w:object>
      </w:r>
    </w:p>
    <w:p>
      <w:pPr>
        <w:pStyle w:val="Style24"/>
        <w:rPr/>
      </w:pPr>
      <w:bookmarkStart w:id="339" w:name="_Toc228876894"/>
      <w:bookmarkStart w:id="340" w:name="_Ref125362865"/>
      <w:bookmarkStart w:id="341" w:name="_Ref125362900"/>
      <w:bookmarkStart w:id="342" w:name="Прил06_СоставЗаявки"/>
      <w:bookmarkEnd w:id="342"/>
      <w:r>
        <w:rPr/>
        <w:t>Приложение № 6 – Состав заявки</w:t>
      </w:r>
      <w:bookmarkEnd w:id="339"/>
      <w:bookmarkEnd w:id="340"/>
      <w:bookmarkEnd w:id="341"/>
    </w:p>
    <w:p>
      <w:pPr>
        <w:pStyle w:val="Style25"/>
        <w:rPr/>
      </w:pPr>
      <w:bookmarkStart w:id="343" w:name="_Toc228876895"/>
      <w:r>
        <w:rPr/>
        <w:t>Состав заявки</w:t>
      </w:r>
      <w:bookmarkEnd w:id="343"/>
    </w:p>
    <w:p>
      <w:pPr>
        <w:pStyle w:val="Style26"/>
        <w:spacing w:before="120" w:after="120"/>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44" w:name="_Hlk207818365"/>
      <w:r>
        <w:rPr/>
        <w:t>по установленным формам и в соответствии с инструкциями, приведенными</w:t>
      </w:r>
      <w:bookmarkEnd w:id="344"/>
      <w:r>
        <w:rPr/>
        <w:t xml:space="preserve">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 (первая часть заявки, содержащиеся в окончательном предложении):</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8"/>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8"/>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5" w:name="_Ref132888537"/>
            <w:bookmarkStart w:id="346" w:name="_Ref132888537"/>
            <w:bookmarkEnd w:id="346"/>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7" w:name="_Ref130389408"/>
            <w:bookmarkStart w:id="348" w:name="_Ref130389408"/>
            <w:bookmarkEnd w:id="348"/>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9" w:name="_Ref130389413"/>
            <w:bookmarkStart w:id="350" w:name="_Ref130389413"/>
            <w:bookmarkEnd w:id="350"/>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0389419"/>
            <w:bookmarkStart w:id="352" w:name="_Ref130389419"/>
            <w:bookmarkEnd w:id="352"/>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8"/>
          <w:headerReference w:type="first" r:id="rId29"/>
          <w:footerReference w:type="default" r:id="rId30"/>
          <w:footerReference w:type="first" r:id="rId3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3" w:name="_Ref125365264"/>
      <w:bookmarkStart w:id="354" w:name="_Toc228876896"/>
      <w:bookmarkStart w:id="355" w:name="Прил07_ОтборочныеКритерии"/>
      <w:bookmarkEnd w:id="355"/>
      <w:r>
        <w:rPr/>
        <w:t>Приложение № 7 – Отборочные критерии рассмотрения заявок</w:t>
      </w:r>
      <w:bookmarkEnd w:id="353"/>
      <w:bookmarkEnd w:id="354"/>
    </w:p>
    <w:p>
      <w:pPr>
        <w:pStyle w:val="Style25"/>
        <w:spacing w:before="360" w:after="120"/>
        <w:rPr>
          <w:rStyle w:val="Style8"/>
          <w:i w:val="false"/>
          <w:i w:val="false"/>
          <w:iCs w:val="false"/>
          <w:shd w:fill="auto" w:val="clear"/>
        </w:rPr>
      </w:pPr>
      <w:bookmarkStart w:id="356" w:name="_Toc228876897"/>
      <w:r>
        <w:rPr>
          <w:rStyle w:val="Style8"/>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56"/>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7"/>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4.7</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7"/>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7"/>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7"/>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7"/>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7"/>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7"/>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7"/>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57" w:name="_Toc228876899"/>
      <w:bookmarkStart w:id="358" w:name="_Hlk132891087"/>
      <w:r>
        <w:rPr>
          <w:rStyle w:val="Style8"/>
          <w:i w:val="false"/>
          <w:iCs w:val="false"/>
          <w:shd w:fill="auto" w:val="clear"/>
        </w:rPr>
        <w:t>Отборочные критерии рассмотрения вторых частей заявок</w:t>
      </w:r>
      <w:bookmarkEnd w:id="357"/>
      <w:bookmarkEnd w:id="358"/>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4.7</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9" w:name="_Ref132890414"/>
            <w:bookmarkStart w:id="360" w:name="_Ref132890414"/>
            <w:bookmarkEnd w:id="360"/>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4.21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11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_Ref186181914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_Ref132816300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4.17</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_Ref186181253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4.17</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_Ref186181918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_Ref132816300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4.17</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_Ref186181253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4.17</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1"/>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1"/>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numPr>
                <w:ilvl w:val="0"/>
                <w:numId w:val="8"/>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_Ref186181253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4.17</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4.4</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_Ref186181253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4.17</w:t>
            </w:r>
            <w:r>
              <w:rPr>
                <w:sz w:val="26"/>
                <w:kern w:val="0"/>
                <w:szCs w:val="22"/>
                <w:rFonts w:eastAsia="Calibri" w:cs=""/>
                <w:lang w:val="en-US"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1" w:name="_Toc228876900"/>
      <w:r>
        <w:rPr>
          <w:rStyle w:val="Style8"/>
          <w:i w:val="false"/>
          <w:iCs w:val="false"/>
          <w:shd w:fill="auto" w:val="clear"/>
        </w:rPr>
        <w:t>Отборочные критерии рассмотрения ценовых предложений (дополнительных ценовых предложений)</w:t>
      </w:r>
      <w:bookmarkEnd w:id="361"/>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4.7</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2"/>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_Ref186181253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4.17</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_Ref186181253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4.17</w:t>
            </w:r>
            <w:r>
              <w:rPr>
                <w:sz w:val="26"/>
                <w:kern w:val="0"/>
                <w:szCs w:val="22"/>
                <w:rFonts w:eastAsia="Calibri" w:cs=""/>
                <w:lang w:val="en-US"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2"/>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2" w:name="_Toc228876901"/>
      <w:r>
        <w:rPr>
          <w:rStyle w:val="Style8"/>
          <w:i w:val="false"/>
          <w:iCs w:val="false"/>
          <w:shd w:fill="auto" w:val="clear"/>
        </w:rPr>
        <w:t>Дополнительные критерии проверки заявок на соответствие условиям Документации о закупке</w:t>
      </w:r>
      <w:bookmarkEnd w:id="362"/>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3"/>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_Ref130985951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4.17</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4.17</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63"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63"/>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r>
      <w:bookmarkStart w:id="364" w:name="_Hlk207821342"/>
      <w:bookmarkStart w:id="365" w:name="_Hlk207818793"/>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64"/>
      <w:bookmarkEnd w:id="365"/>
      <w:r>
        <w:rPr/>
        <w:t xml:space="preserve">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6" w:name="_Ref125361648"/>
      <w:bookmarkStart w:id="367" w:name="_Ref125361951"/>
      <w:bookmarkStart w:id="368" w:name="_Ref125366013"/>
      <w:bookmarkStart w:id="369" w:name="_Ref125366280"/>
      <w:bookmarkStart w:id="370" w:name="_Ref125366285"/>
      <w:bookmarkStart w:id="371" w:name="_Ref125368140"/>
      <w:bookmarkStart w:id="372" w:name="_Ref125368150"/>
      <w:bookmarkStart w:id="373" w:name="_Ref125368165"/>
      <w:bookmarkStart w:id="374" w:name="_Ref125368172"/>
      <w:bookmarkStart w:id="375" w:name="_Ref125368184"/>
      <w:bookmarkStart w:id="376" w:name="_Ref125368283"/>
      <w:bookmarkStart w:id="377" w:name="_Ref125368291"/>
      <w:bookmarkStart w:id="378" w:name="_Ref125368302"/>
      <w:bookmarkStart w:id="379" w:name="_Ref125368313"/>
      <w:bookmarkStart w:id="380" w:name="_Ref125368331"/>
      <w:bookmarkStart w:id="381" w:name="_Ref125369021"/>
      <w:bookmarkStart w:id="382" w:name="_Ref125369438"/>
      <w:bookmarkStart w:id="383" w:name="_Toc228876902"/>
      <w:bookmarkStart w:id="384" w:name="Прил08_ПорядокОценки"/>
      <w:bookmarkEnd w:id="384"/>
      <w:r>
        <w:rPr/>
        <w:t>Приложение № 8 – Порядок и критерии оценки и сопоставления заявок</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Style25"/>
        <w:rPr/>
      </w:pPr>
      <w:bookmarkStart w:id="385" w:name="_Toc228876903"/>
      <w:r>
        <w:rPr/>
        <w:t>Порядок и критерии оценки и сопоставления заявок</w:t>
      </w:r>
      <w:bookmarkEnd w:id="385"/>
    </w:p>
    <w:p>
      <w:pPr>
        <w:pStyle w:val="Style26"/>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26"/>
        <w:numPr>
          <w:ilvl w:val="0"/>
          <w:numId w:val="0"/>
        </w:numPr>
        <w:ind w:left="1134" w:hanging="0"/>
        <w:rPr/>
      </w:pPr>
      <w:r>
        <w:rPr/>
      </w:r>
    </w:p>
    <w:tbl>
      <w:tblPr>
        <w:tblStyle w:val="af8"/>
        <w:tblW w:w="14539" w:type="dxa"/>
        <w:jc w:val="left"/>
        <w:tblInd w:w="810" w:type="dxa"/>
        <w:tblLayout w:type="fixed"/>
        <w:tblCellMar>
          <w:top w:w="0" w:type="dxa"/>
          <w:left w:w="52" w:type="dxa"/>
          <w:bottom w:w="0" w:type="dxa"/>
          <w:right w:w="57" w:type="dxa"/>
        </w:tblCellMar>
        <w:tblLook w:val="04a0" w:noVBand="1" w:noHBand="0" w:lastColumn="0" w:firstColumn="1" w:lastRow="0" w:firstRow="1"/>
      </w:tblPr>
      <w:tblGrid>
        <w:gridCol w:w="898"/>
        <w:gridCol w:w="1845"/>
        <w:gridCol w:w="1307"/>
        <w:gridCol w:w="1070"/>
        <w:gridCol w:w="2046"/>
        <w:gridCol w:w="1813"/>
        <w:gridCol w:w="5559"/>
      </w:tblGrid>
      <w:tr>
        <w:trPr>
          <w:cnfStyle w:val="100000000000" w:firstRow="1" w:lastRow="0" w:firstColumn="0" w:lastColumn="0" w:oddVBand="0" w:evenVBand="0" w:oddHBand="0" w:evenHBand="0" w:firstRowFirstColumn="0" w:firstRowLastColumn="0" w:lastRowFirstColumn="0" w:lastRowLastColumn="0"/>
        </w:trPr>
        <w:tc>
          <w:tcPr>
            <w:tcW w:w="898" w:type="dxa"/>
            <w:vMerge w:val="restart"/>
            <w:tcBorders/>
            <w:shd w:fill="auto" w:val="clear"/>
          </w:tcPr>
          <w:p>
            <w:pPr>
              <w:pStyle w:val="Style30"/>
              <w:keepNext w:val="true"/>
              <w:keepLines w:val="false"/>
              <w:widowControl w:val="false"/>
              <w:suppressAutoHyphens w:val="true"/>
              <w:spacing w:before="60" w:after="60"/>
              <w:jc w:val="center"/>
              <w:rPr>
                <w:sz w:val="18"/>
                <w:szCs w:val="18"/>
              </w:rPr>
            </w:pPr>
            <w:r>
              <w:rPr>
                <w:rFonts w:eastAsia="Calibri" w:cs=""/>
                <w:b/>
                <w:kern w:val="0"/>
                <w:sz w:val="18"/>
                <w:szCs w:val="18"/>
                <w:lang w:val="ru-RU" w:eastAsia="en-US" w:bidi="ar-SA"/>
              </w:rPr>
              <w:t>Номер критерия оценки в</w:t>
            </w:r>
            <w:r>
              <w:rPr>
                <w:rFonts w:eastAsia="Calibri" w:cs=""/>
                <w:b/>
                <w:kern w:val="0"/>
                <w:sz w:val="18"/>
                <w:szCs w:val="18"/>
                <w:lang w:val="en-US" w:eastAsia="en-US" w:bidi="ar-SA"/>
              </w:rPr>
              <w:t> </w:t>
            </w:r>
            <w:r>
              <w:rPr>
                <w:rFonts w:eastAsia="Calibri" w:cs=""/>
                <w:b/>
                <w:kern w:val="0"/>
                <w:sz w:val="18"/>
                <w:szCs w:val="18"/>
                <w:lang w:val="ru-RU" w:eastAsia="en-US" w:bidi="ar-SA"/>
              </w:rPr>
              <w:t>структуре</w:t>
            </w:r>
          </w:p>
        </w:tc>
        <w:tc>
          <w:tcPr>
            <w:tcW w:w="1845" w:type="dxa"/>
            <w:vMerge w:val="restart"/>
            <w:tcBorders/>
            <w:shd w:fill="auto" w:val="clear"/>
          </w:tcPr>
          <w:p>
            <w:pPr>
              <w:pStyle w:val="Style30"/>
              <w:keepNext w:val="true"/>
              <w:keepLines w:val="false"/>
              <w:widowControl w:val="false"/>
              <w:suppressAutoHyphens w:val="true"/>
              <w:spacing w:before="60" w:after="60"/>
              <w:jc w:val="center"/>
              <w:rPr>
                <w:sz w:val="18"/>
                <w:szCs w:val="18"/>
              </w:rPr>
            </w:pPr>
            <w:r>
              <w:rPr>
                <w:rFonts w:eastAsia="Calibri" w:cs=""/>
                <w:b/>
                <w:kern w:val="0"/>
                <w:sz w:val="18"/>
                <w:szCs w:val="18"/>
                <w:lang w:val="ru-RU" w:eastAsia="en-US" w:bidi="ar-SA"/>
              </w:rPr>
              <w:t>Вид критерия оценки / направление оценки заявок</w:t>
            </w:r>
          </w:p>
        </w:tc>
        <w:tc>
          <w:tcPr>
            <w:tcW w:w="2377" w:type="dxa"/>
            <w:gridSpan w:val="2"/>
            <w:tcBorders/>
            <w:shd w:fill="auto" w:val="clear"/>
          </w:tcPr>
          <w:p>
            <w:pPr>
              <w:pStyle w:val="Style30"/>
              <w:keepNext w:val="true"/>
              <w:keepLines w:val="false"/>
              <w:widowControl w:val="false"/>
              <w:suppressAutoHyphens w:val="true"/>
              <w:spacing w:before="60" w:after="60"/>
              <w:jc w:val="center"/>
              <w:rPr>
                <w:sz w:val="18"/>
                <w:szCs w:val="18"/>
              </w:rPr>
            </w:pPr>
            <w:r>
              <w:rPr>
                <w:rFonts w:eastAsia="Calibri" w:cs=""/>
                <w:b/>
                <w:kern w:val="0"/>
                <w:sz w:val="18"/>
                <w:szCs w:val="18"/>
                <w:lang w:val="ru-RU" w:eastAsia="en-US" w:bidi="ar-SA"/>
              </w:rPr>
              <w:t>Наименование критерия оценки</w:t>
            </w:r>
          </w:p>
        </w:tc>
        <w:tc>
          <w:tcPr>
            <w:tcW w:w="2046" w:type="dxa"/>
            <w:vMerge w:val="restart"/>
            <w:tcBorders/>
            <w:shd w:fill="auto" w:val="clear"/>
          </w:tcPr>
          <w:p>
            <w:pPr>
              <w:pStyle w:val="Style30"/>
              <w:keepNext w:val="true"/>
              <w:keepLines w:val="false"/>
              <w:widowControl w:val="false"/>
              <w:suppressAutoHyphens w:val="true"/>
              <w:spacing w:before="60" w:after="60"/>
              <w:jc w:val="center"/>
              <w:rPr>
                <w:sz w:val="18"/>
                <w:szCs w:val="18"/>
              </w:rPr>
            </w:pPr>
            <w:r>
              <w:rPr>
                <w:rFonts w:eastAsia="Calibri" w:cs=""/>
                <w:b/>
                <w:kern w:val="0"/>
                <w:sz w:val="18"/>
                <w:szCs w:val="18"/>
                <w:lang w:val="ru-RU" w:eastAsia="en-US" w:bidi="ar-SA"/>
              </w:rPr>
              <w:t>Значимость</w:t>
              <w:br/>
              <w:t>критерия оценки</w:t>
            </w:r>
          </w:p>
        </w:tc>
        <w:tc>
          <w:tcPr>
            <w:tcW w:w="1813" w:type="dxa"/>
            <w:vMerge w:val="restart"/>
            <w:tcBorders/>
            <w:shd w:fill="auto" w:val="clear"/>
          </w:tcPr>
          <w:p>
            <w:pPr>
              <w:pStyle w:val="Style30"/>
              <w:keepNext w:val="true"/>
              <w:keepLines w:val="false"/>
              <w:widowControl w:val="false"/>
              <w:suppressAutoHyphens w:val="true"/>
              <w:spacing w:before="60" w:after="60"/>
              <w:jc w:val="center"/>
              <w:rPr>
                <w:sz w:val="18"/>
                <w:szCs w:val="18"/>
              </w:rPr>
            </w:pPr>
            <w:r>
              <w:rPr>
                <w:rFonts w:eastAsia="Calibri" w:cs=""/>
                <w:b/>
                <w:kern w:val="0"/>
                <w:sz w:val="18"/>
                <w:szCs w:val="18"/>
                <w:lang w:val="ru-RU" w:eastAsia="en-US" w:bidi="ar-SA"/>
              </w:rPr>
              <w:t>Содержание частного критерия оценки</w:t>
            </w:r>
          </w:p>
        </w:tc>
        <w:tc>
          <w:tcPr>
            <w:tcW w:w="5559" w:type="dxa"/>
            <w:vMerge w:val="restart"/>
            <w:tcBorders/>
            <w:shd w:fill="auto" w:val="clear"/>
          </w:tcPr>
          <w:p>
            <w:pPr>
              <w:pStyle w:val="Style30"/>
              <w:keepNext w:val="true"/>
              <w:keepLines w:val="false"/>
              <w:widowControl w:val="false"/>
              <w:suppressAutoHyphens w:val="true"/>
              <w:spacing w:before="60" w:after="60"/>
              <w:jc w:val="center"/>
              <w:rPr>
                <w:sz w:val="18"/>
                <w:szCs w:val="18"/>
              </w:rPr>
            </w:pPr>
            <w:r>
              <w:rPr>
                <w:rFonts w:eastAsia="Calibri" w:cs=""/>
                <w:b/>
                <w:kern w:val="0"/>
                <w:sz w:val="18"/>
                <w:szCs w:val="18"/>
                <w:lang w:val="ru-RU" w:eastAsia="en-US" w:bidi="ar-SA"/>
              </w:rPr>
              <w:t>Расчет оценки предпочтительности заявки</w:t>
            </w:r>
          </w:p>
        </w:tc>
      </w:tr>
      <w:tr>
        <w:trPr/>
        <w:tc>
          <w:tcPr>
            <w:tcW w:w="898" w:type="dxa"/>
            <w:vMerge w:val="continue"/>
            <w:tcBorders/>
            <w:shd w:fill="auto" w:val="clear"/>
          </w:tcPr>
          <w:p>
            <w:pPr>
              <w:pStyle w:val="Style30"/>
              <w:widowControl w:val="false"/>
              <w:suppressAutoHyphens w:val="true"/>
              <w:spacing w:before="60" w:after="60"/>
              <w:jc w:val="center"/>
              <w:rPr>
                <w:sz w:val="18"/>
                <w:szCs w:val="18"/>
              </w:rPr>
            </w:pPr>
            <w:r>
              <w:rPr>
                <w:sz w:val="18"/>
                <w:szCs w:val="18"/>
              </w:rPr>
            </w:r>
          </w:p>
        </w:tc>
        <w:tc>
          <w:tcPr>
            <w:tcW w:w="1845" w:type="dxa"/>
            <w:vMerge w:val="continue"/>
            <w:tcBorders/>
            <w:shd w:fill="auto" w:val="clear"/>
          </w:tcPr>
          <w:p>
            <w:pPr>
              <w:pStyle w:val="Style30"/>
              <w:widowControl w:val="false"/>
              <w:suppressAutoHyphens w:val="true"/>
              <w:spacing w:before="60" w:after="60"/>
              <w:jc w:val="center"/>
              <w:rPr>
                <w:sz w:val="18"/>
                <w:szCs w:val="18"/>
              </w:rPr>
            </w:pPr>
            <w:r>
              <w:rPr>
                <w:sz w:val="18"/>
                <w:szCs w:val="18"/>
              </w:rPr>
            </w:r>
          </w:p>
        </w:tc>
        <w:tc>
          <w:tcPr>
            <w:tcW w:w="1307" w:type="dxa"/>
            <w:tcBorders/>
            <w:shd w:fill="auto" w:val="clear"/>
          </w:tcPr>
          <w:p>
            <w:pPr>
              <w:pStyle w:val="Style30"/>
              <w:widowControl w:val="false"/>
              <w:suppressAutoHyphens w:val="true"/>
              <w:spacing w:before="60" w:after="60"/>
              <w:jc w:val="center"/>
              <w:rPr>
                <w:b/>
                <w:bCs/>
                <w:sz w:val="18"/>
                <w:szCs w:val="18"/>
              </w:rPr>
            </w:pPr>
            <w:r>
              <w:rPr>
                <w:rFonts w:eastAsia="Calibri" w:cs=""/>
                <w:b/>
                <w:bCs/>
                <w:kern w:val="0"/>
                <w:sz w:val="18"/>
                <w:szCs w:val="18"/>
                <w:lang w:val="ru-RU" w:eastAsia="en-US" w:bidi="ar-SA"/>
              </w:rPr>
              <w:t>критерий оценки первого уровня</w:t>
            </w:r>
          </w:p>
        </w:tc>
        <w:tc>
          <w:tcPr>
            <w:tcW w:w="1070" w:type="dxa"/>
            <w:tcBorders/>
            <w:shd w:fill="auto" w:val="clear"/>
          </w:tcPr>
          <w:p>
            <w:pPr>
              <w:pStyle w:val="Style30"/>
              <w:widowControl w:val="false"/>
              <w:suppressAutoHyphens w:val="true"/>
              <w:spacing w:before="60" w:after="60"/>
              <w:jc w:val="center"/>
              <w:rPr>
                <w:b/>
                <w:bCs/>
                <w:sz w:val="18"/>
                <w:szCs w:val="18"/>
              </w:rPr>
            </w:pPr>
            <w:r>
              <w:rPr>
                <w:rFonts w:eastAsia="Calibri" w:cs=""/>
                <w:b/>
                <w:bCs/>
                <w:kern w:val="0"/>
                <w:sz w:val="18"/>
                <w:szCs w:val="18"/>
                <w:lang w:val="ru-RU" w:eastAsia="en-US" w:bidi="ar-SA"/>
              </w:rPr>
              <w:t>критерий оценки второго уровня</w:t>
            </w:r>
          </w:p>
        </w:tc>
        <w:tc>
          <w:tcPr>
            <w:tcW w:w="2046" w:type="dxa"/>
            <w:vMerge w:val="continue"/>
            <w:tcBorders/>
            <w:shd w:fill="auto" w:val="clear"/>
          </w:tcPr>
          <w:p>
            <w:pPr>
              <w:pStyle w:val="Style30"/>
              <w:widowControl w:val="false"/>
              <w:suppressAutoHyphens w:val="true"/>
              <w:spacing w:before="60" w:after="60"/>
              <w:jc w:val="center"/>
              <w:rPr>
                <w:sz w:val="18"/>
                <w:szCs w:val="18"/>
              </w:rPr>
            </w:pPr>
            <w:r>
              <w:rPr>
                <w:sz w:val="18"/>
                <w:szCs w:val="18"/>
              </w:rPr>
            </w:r>
          </w:p>
        </w:tc>
        <w:tc>
          <w:tcPr>
            <w:tcW w:w="1813" w:type="dxa"/>
            <w:vMerge w:val="continue"/>
            <w:tcBorders/>
            <w:shd w:fill="auto" w:val="clear"/>
          </w:tcPr>
          <w:p>
            <w:pPr>
              <w:pStyle w:val="Style30"/>
              <w:widowControl w:val="false"/>
              <w:suppressAutoHyphens w:val="true"/>
              <w:spacing w:before="60" w:after="60"/>
              <w:jc w:val="center"/>
              <w:rPr>
                <w:sz w:val="18"/>
                <w:szCs w:val="18"/>
              </w:rPr>
            </w:pPr>
            <w:r>
              <w:rPr>
                <w:sz w:val="18"/>
                <w:szCs w:val="18"/>
              </w:rPr>
            </w:r>
          </w:p>
        </w:tc>
        <w:tc>
          <w:tcPr>
            <w:tcW w:w="5559" w:type="dxa"/>
            <w:vMerge w:val="continue"/>
            <w:tcBorders/>
            <w:shd w:fill="auto" w:val="clear"/>
          </w:tcPr>
          <w:p>
            <w:pPr>
              <w:pStyle w:val="Style30"/>
              <w:widowControl w:val="false"/>
              <w:suppressAutoHyphens w:val="true"/>
              <w:spacing w:before="60" w:after="60"/>
              <w:jc w:val="center"/>
              <w:rPr>
                <w:sz w:val="18"/>
                <w:szCs w:val="18"/>
              </w:rPr>
            </w:pPr>
            <w:r>
              <w:rPr>
                <w:sz w:val="18"/>
                <w:szCs w:val="18"/>
              </w:rPr>
            </w:r>
          </w:p>
        </w:tc>
      </w:tr>
      <w:tr>
        <w:trPr/>
        <w:tc>
          <w:tcPr>
            <w:tcW w:w="898" w:type="dxa"/>
            <w:tcBorders/>
            <w:shd w:fill="auto" w:val="clear"/>
          </w:tcPr>
          <w:p>
            <w:pPr>
              <w:pStyle w:val="Style30"/>
              <w:widowControl w:val="false"/>
              <w:suppressAutoHyphens w:val="true"/>
              <w:spacing w:before="60" w:after="60"/>
              <w:jc w:val="center"/>
              <w:rPr/>
            </w:pPr>
            <w:r>
              <w:rPr>
                <w:rStyle w:val="Style8"/>
                <w:rFonts w:eastAsia="Calibri" w:cs=""/>
                <w:i w:val="false"/>
                <w:iCs w:val="false"/>
                <w:kern w:val="0"/>
                <w:sz w:val="22"/>
                <w:szCs w:val="22"/>
                <w:shd w:fill="FFFFFF" w:val="clear"/>
                <w:lang w:val="ru-RU" w:eastAsia="en-US" w:bidi="ar-SA"/>
              </w:rPr>
              <w:t>1</w:t>
            </w:r>
          </w:p>
        </w:tc>
        <w:tc>
          <w:tcPr>
            <w:tcW w:w="1845" w:type="dxa"/>
            <w:tcBorders/>
            <w:shd w:fill="auto" w:val="clear"/>
          </w:tcPr>
          <w:p>
            <w:pPr>
              <w:pStyle w:val="31"/>
              <w:widowControl w:val="false"/>
              <w:numPr>
                <w:ilvl w:val="0"/>
                <w:numId w:val="0"/>
              </w:numPr>
              <w:suppressAutoHyphens w:val="true"/>
              <w:spacing w:lineRule="auto" w:line="240" w:before="60" w:after="60"/>
              <w:ind w:left="0" w:hanging="0"/>
              <w:contextualSpacing/>
              <w:jc w:val="center"/>
              <w:rPr>
                <w:sz w:val="22"/>
                <w:szCs w:val="22"/>
              </w:rPr>
            </w:pPr>
            <w:r>
              <w:rPr>
                <w:kern w:val="0"/>
                <w:sz w:val="22"/>
                <w:szCs w:val="22"/>
                <w:lang w:eastAsia="ru-RU"/>
              </w:rPr>
              <w:t>Ценовой (стоимостный) частный критерий оценки первого уровня / ЦЕНА</w:t>
            </w:r>
          </w:p>
        </w:tc>
        <w:tc>
          <w:tcPr>
            <w:tcW w:w="1307" w:type="dxa"/>
            <w:tcBorders/>
            <w:shd w:fill="auto" w:val="clear"/>
          </w:tcPr>
          <w:p>
            <w:pPr>
              <w:pStyle w:val="31"/>
              <w:widowControl w:val="false"/>
              <w:numPr>
                <w:ilvl w:val="0"/>
                <w:numId w:val="0"/>
              </w:numPr>
              <w:suppressAutoHyphens w:val="true"/>
              <w:spacing w:lineRule="auto" w:line="240" w:before="60" w:after="60"/>
              <w:ind w:left="0" w:hanging="0"/>
              <w:contextualSpacing/>
              <w:jc w:val="center"/>
              <w:rPr>
                <w:sz w:val="22"/>
                <w:szCs w:val="22"/>
              </w:rPr>
            </w:pPr>
            <w:r>
              <w:rPr>
                <w:kern w:val="0"/>
                <w:sz w:val="22"/>
                <w:szCs w:val="22"/>
                <w:lang w:eastAsia="ru-RU"/>
              </w:rPr>
              <w:t>Цена договора (стоимость заявки)</w:t>
            </w:r>
          </w:p>
        </w:tc>
        <w:tc>
          <w:tcPr>
            <w:tcW w:w="1070" w:type="dxa"/>
            <w:tcBorders/>
            <w:shd w:fill="auto" w:val="clear"/>
          </w:tcPr>
          <w:p>
            <w:pPr>
              <w:pStyle w:val="31"/>
              <w:widowControl w:val="false"/>
              <w:numPr>
                <w:ilvl w:val="0"/>
                <w:numId w:val="0"/>
              </w:numPr>
              <w:suppressAutoHyphens w:val="true"/>
              <w:spacing w:lineRule="auto" w:line="240" w:before="60" w:after="60"/>
              <w:ind w:left="0" w:hanging="0"/>
              <w:contextualSpacing/>
              <w:jc w:val="center"/>
              <w:rPr>
                <w:i/>
                <w:i/>
                <w:iCs/>
                <w:sz w:val="22"/>
                <w:szCs w:val="22"/>
                <w:highlight w:val="white"/>
              </w:rPr>
            </w:pPr>
            <w:r>
              <w:rPr>
                <w:i/>
                <w:iCs/>
                <w:kern w:val="0"/>
                <w:sz w:val="22"/>
                <w:szCs w:val="22"/>
                <w:shd w:fill="FFFFFF" w:val="clear"/>
                <w:lang w:eastAsia="ru-RU"/>
              </w:rPr>
              <w:t>отсутствует</w:t>
            </w:r>
          </w:p>
        </w:tc>
        <w:tc>
          <w:tcPr>
            <w:tcW w:w="2046" w:type="dxa"/>
            <w:tcBorders/>
            <w:shd w:fill="auto" w:val="clear"/>
          </w:tcPr>
          <w:p>
            <w:pPr>
              <w:pStyle w:val="Normal"/>
              <w:widowControl w:val="false"/>
              <w:spacing w:before="60" w:after="60"/>
              <w:jc w:val="center"/>
              <w:rPr>
                <w:sz w:val="18"/>
                <w:szCs w:val="18"/>
              </w:rPr>
            </w:pPr>
            <w:r>
              <w:rPr>
                <w:rStyle w:val="Style8"/>
                <w:rFonts w:eastAsia="Calibri" w:cs=""/>
                <w:i w:val="false"/>
                <w:iCs w:val="false"/>
                <w:kern w:val="0"/>
                <w:sz w:val="18"/>
                <w:szCs w:val="18"/>
                <w:shd w:fill="FFFFFF" w:val="clear"/>
                <w:lang w:val="ru-RU" w:eastAsia="en-US" w:bidi="ar-SA"/>
              </w:rPr>
              <w:t>90%</w:t>
              <w:br/>
              <w:t>(В</w:t>
            </w:r>
            <w:r>
              <w:rPr>
                <w:rStyle w:val="Style8"/>
                <w:rFonts w:eastAsia="Calibri" w:cs=""/>
                <w:i w:val="false"/>
                <w:iCs w:val="false"/>
                <w:kern w:val="0"/>
                <w:sz w:val="18"/>
                <w:szCs w:val="18"/>
                <w:shd w:fill="FFFFFF" w:val="clear"/>
                <w:vertAlign w:val="subscript"/>
                <w:lang w:val="ru-RU" w:eastAsia="en-US" w:bidi="ar-SA"/>
              </w:rPr>
              <w:t>1</w:t>
            </w:r>
            <w:r>
              <w:rPr>
                <w:rStyle w:val="Style8"/>
                <w:rFonts w:eastAsia="Calibri" w:cs=""/>
                <w:i w:val="false"/>
                <w:iCs w:val="false"/>
                <w:kern w:val="0"/>
                <w:sz w:val="18"/>
                <w:szCs w:val="18"/>
                <w:shd w:fill="FFFFFF" w:val="clear"/>
                <w:lang w:val="ru-RU" w:eastAsia="en-US" w:bidi="ar-SA"/>
              </w:rPr>
              <w:t xml:space="preserve"> = 0,90)</w:t>
            </w:r>
          </w:p>
        </w:tc>
        <w:tc>
          <w:tcPr>
            <w:tcW w:w="1813" w:type="dxa"/>
            <w:tcBorders/>
            <w:shd w:fill="auto" w:val="clear"/>
          </w:tcPr>
          <w:p>
            <w:pPr>
              <w:pStyle w:val="Style30"/>
              <w:widowControl w:val="false"/>
              <w:suppressAutoHyphens w:val="true"/>
              <w:spacing w:before="60" w:after="60"/>
              <w:jc w:val="center"/>
              <w:rPr/>
            </w:pPr>
            <w:r>
              <w:rPr>
                <w:rStyle w:val="Style8"/>
                <w:rFonts w:eastAsia="Calibri" w:cs=""/>
                <w:i w:val="false"/>
                <w:iCs w:val="false"/>
                <w:kern w:val="0"/>
                <w:sz w:val="22"/>
                <w:szCs w:val="22"/>
                <w:shd w:fill="FFFFFF" w:val="clear"/>
                <w:lang w:val="ru-RU" w:eastAsia="en-US" w:bidi="ar-SA"/>
              </w:rPr>
              <w:t>Чем меньше цена заявки Участника, тем выше предпочтительность</w:t>
            </w:r>
          </w:p>
        </w:tc>
        <w:tc>
          <w:tcPr>
            <w:tcW w:w="5559" w:type="dxa"/>
            <w:tcBorders/>
            <w:shd w:fill="auto" w:val="clear"/>
          </w:tcPr>
          <w:p>
            <w:pPr>
              <w:pStyle w:val="Style30"/>
              <w:widowControl w:val="false"/>
              <w:suppressAutoHyphens w:val="true"/>
              <w:spacing w:before="40" w:after="40"/>
              <w:jc w:val="left"/>
              <w:rPr>
                <w:rFonts w:ascii="Times New Roman" w:hAnsi="Times New Roman" w:eastAsia="Calibri" w:cs=""/>
                <w:sz w:val="22"/>
                <w:szCs w:val="22"/>
                <w:lang w:val="ru-RU" w:eastAsia="en-US" w:bidi="ar-SA"/>
              </w:rPr>
            </w:pPr>
            <w:r>
              <w:rPr>
                <w:rFonts w:eastAsia="Calibri" w:cs=""/>
                <w:kern w:val="0"/>
                <w:sz w:val="22"/>
                <w:szCs w:val="22"/>
                <w:lang w:val="ru-RU" w:eastAsia="en-US" w:bidi="ar-SA"/>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uppressAutoHyphens w:val="true"/>
              <w:spacing w:before="40" w:after="4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uppressAutoHyphens w:val="true"/>
              <w:spacing w:before="40" w:after="40"/>
              <w:jc w:val="left"/>
              <w:rPr/>
            </w:pPr>
            <w:r>
              <w:rPr>
                <w:rStyle w:val="Style8"/>
                <w:rFonts w:eastAsia="Calibri" w:cs=""/>
                <w:i w:val="false"/>
                <w:iCs w:val="false"/>
                <w:kern w:val="0"/>
                <w:sz w:val="22"/>
                <w:szCs w:val="22"/>
                <w:shd w:fill="FFFFFF" w:val="clear"/>
                <w:lang w:val="ru-RU" w:eastAsia="en-US" w:bidi="ar-SA"/>
              </w:rPr>
              <w:t>где:</w:t>
            </w:r>
          </w:p>
          <w:p>
            <w:pPr>
              <w:pStyle w:val="Style30"/>
              <w:widowControl w:val="false"/>
              <w:suppressAutoHyphens w:val="true"/>
              <w:spacing w:before="40" w:after="40"/>
              <w:jc w:val="left"/>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oMath>
            <w:r>
              <w:rPr>
                <w:rStyle w:val="Style8"/>
                <w:rFonts w:eastAsia="Calibri" w:cs=""/>
                <w:i w:val="false"/>
                <w:iCs w:val="false"/>
                <w:kern w:val="0"/>
                <w:sz w:val="22"/>
                <w:szCs w:val="22"/>
                <w:shd w:fill="FFFFFF" w:val="clear"/>
                <w:lang w:val="ru-RU" w:eastAsia="en-US" w:bidi="ar-SA"/>
              </w:rPr>
              <w:t xml:space="preserve"> – </w:t>
            </w:r>
            <w:r>
              <w:rPr>
                <w:rStyle w:val="Style8"/>
                <w:rFonts w:eastAsia="Calibri" w:cs=""/>
                <w:i w:val="false"/>
                <w:iCs w:val="false"/>
                <w:kern w:val="0"/>
                <w:sz w:val="22"/>
                <w:szCs w:val="22"/>
                <w:shd w:fill="FFFFFF" w:val="clear"/>
                <w:lang w:val="ru-RU" w:eastAsia="en-US" w:bidi="ar-SA"/>
              </w:rPr>
              <w:t>рассчитанная оценка предпочтительности по данному частному критерию оценки в баллах;</w:t>
            </w:r>
          </w:p>
          <w:p>
            <w:pPr>
              <w:pStyle w:val="Style30"/>
              <w:widowControl w:val="false"/>
              <w:suppressAutoHyphens w:val="true"/>
              <w:spacing w:before="40" w:after="40"/>
              <w:jc w:val="left"/>
              <w:rPr/>
            </w:pPr>
            <w:r>
              <w:rPr/>
            </w:r>
            <m:oMath xmlns:m="http://schemas.openxmlformats.org/officeDocument/2006/math">
              <m:sSub>
                <m:e>
                  <m:r>
                    <w:rPr>
                      <w:rFonts w:ascii="Cambria Math" w:hAnsi="Cambria Math"/>
                    </w:rPr>
                    <m:t xml:space="preserve">ЦЕНА</m:t>
                  </m:r>
                </m:e>
                <m:sub>
                  <m:r>
                    <w:rPr>
                      <w:rFonts w:ascii="Cambria Math" w:hAnsi="Cambria Math"/>
                    </w:rPr>
                    <m:t xml:space="preserve">i</m:t>
                  </m:r>
                </m:sub>
              </m:sSub>
            </m:oMath>
            <w:r>
              <w:rPr>
                <w:rStyle w:val="Style8"/>
                <w:rFonts w:eastAsia="Calibri" w:cs=""/>
                <w:i w:val="false"/>
                <w:iCs w:val="false"/>
                <w:kern w:val="0"/>
                <w:sz w:val="22"/>
                <w:szCs w:val="22"/>
                <w:shd w:fill="FFFFFF" w:val="clear"/>
                <w:lang w:val="ru-RU" w:eastAsia="en-US" w:bidi="ar-SA"/>
              </w:rPr>
              <w:t xml:space="preserve"> – </w:t>
            </w:r>
            <w:r>
              <w:rPr>
                <w:rStyle w:val="Style8"/>
                <w:rFonts w:eastAsia="Calibri" w:cs=""/>
                <w:i w:val="false"/>
                <w:iCs w:val="false"/>
                <w:kern w:val="0"/>
                <w:sz w:val="22"/>
                <w:szCs w:val="22"/>
                <w:shd w:fill="FFFFFF" w:val="clear"/>
                <w:lang w:eastAsia="en-US" w:bidi="ar-SA"/>
              </w:rPr>
              <w:t>цена договора (заявки), указанная в i-той заявке (в Коммерческом предложении по установленной в Документации о закупке форме) допущенного Участника, руб. без учета НДС;</w:t>
            </w:r>
          </w:p>
          <w:p>
            <w:pPr>
              <w:pStyle w:val="Style30"/>
              <w:widowControl w:val="false"/>
              <w:spacing w:before="120" w:after="60"/>
              <w:jc w:val="left"/>
              <w:rPr/>
            </w:pPr>
            <w:r>
              <w:rPr/>
            </w:r>
            <m:oMath xmlns:m="http://schemas.openxmlformats.org/officeDocument/2006/math">
              <m:sSub>
                <m:e>
                  <m:r>
                    <w:rPr>
                      <w:rFonts w:ascii="Cambria Math" w:hAnsi="Cambria Math"/>
                    </w:rPr>
                    <m:t xml:space="preserve">Ц</m:t>
                  </m:r>
                  <m:r>
                    <w:rPr>
                      <w:rFonts w:ascii="Cambria Math" w:hAnsi="Cambria Math"/>
                    </w:rPr>
                    <m:t xml:space="preserve">Е</m:t>
                  </m:r>
                  <m:r>
                    <w:rPr>
                      <w:rFonts w:ascii="Cambria Math" w:hAnsi="Cambria Math"/>
                    </w:rPr>
                    <m:t xml:space="preserve">Н</m:t>
                  </m:r>
                  <m:r>
                    <w:rPr>
                      <w:rFonts w:ascii="Cambria Math" w:hAnsi="Cambria Math"/>
                    </w:rPr>
                    <m:t xml:space="preserve">А</m:t>
                  </m:r>
                </m:e>
                <m:sub>
                  <m:r>
                    <w:rPr>
                      <w:rFonts w:ascii="Cambria Math" w:hAnsi="Cambria Math"/>
                    </w:rPr>
                    <m:t xml:space="preserve">m</m:t>
                  </m:r>
                  <m:r>
                    <w:rPr>
                      <w:rFonts w:ascii="Cambria Math" w:hAnsi="Cambria Math"/>
                    </w:rPr>
                    <m:t xml:space="preserve">i</m:t>
                  </m:r>
                  <m:r>
                    <w:rPr>
                      <w:rFonts w:ascii="Cambria Math" w:hAnsi="Cambria Math"/>
                    </w:rPr>
                    <m:t xml:space="preserve">n</m:t>
                  </m:r>
                </m:sub>
              </m:sSub>
            </m:oMath>
            <w:r>
              <w:rPr>
                <w:rStyle w:val="Style8"/>
                <w:rFonts w:eastAsia="Calibri"/>
                <w:i w:val="false"/>
                <w:iCs w:val="false"/>
                <w:kern w:val="0"/>
                <w:sz w:val="22"/>
                <w:szCs w:val="22"/>
                <w:shd w:fill="FFFFFF" w:val="clear"/>
                <w:lang w:eastAsia="en-US" w:bidi="ar-SA"/>
              </w:rPr>
              <w:t xml:space="preserve"> – </w:t>
            </w:r>
            <w:r>
              <w:rPr>
                <w:rStyle w:val="Style8"/>
                <w:rFonts w:eastAsia="Calibri"/>
                <w:i w:val="false"/>
                <w:iCs w:val="false"/>
                <w:kern w:val="0"/>
                <w:sz w:val="22"/>
                <w:szCs w:val="22"/>
                <w:shd w:fill="FFFFFF" w:val="clear"/>
                <w:lang w:eastAsia="en-US" w:bidi="ar-SA"/>
              </w:rPr>
              <w:t>минимальная цена договора (заявки) среди всех допущенных заявок участников, руб. без учета НДС;</w:t>
            </w:r>
          </w:p>
          <w:p>
            <w:pPr>
              <w:pStyle w:val="Style30"/>
              <w:widowControl w:val="false"/>
              <w:spacing w:before="120" w:after="60"/>
              <w:jc w:val="left"/>
              <w:rPr/>
            </w:pPr>
            <w:r>
              <w:rPr/>
            </w:r>
            <m:oMath xmlns:m="http://schemas.openxmlformats.org/officeDocument/2006/math">
              <m:r>
                <w:rPr>
                  <w:rFonts w:ascii="Cambria Math" w:hAnsi="Cambria Math"/>
                </w:rPr>
                <m:t xml:space="preserve">Ш</m:t>
              </m:r>
            </m:oMath>
            <w:r>
              <w:rPr>
                <w:rStyle w:val="Style8"/>
                <w:rFonts w:eastAsia="Calibri"/>
                <w:i w:val="false"/>
                <w:iCs w:val="false"/>
                <w:kern w:val="0"/>
                <w:sz w:val="22"/>
                <w:szCs w:val="22"/>
                <w:shd w:fill="FFFFFF" w:val="clear"/>
                <w:lang w:eastAsia="en-US" w:bidi="ar-SA"/>
              </w:rPr>
              <w:t xml:space="preserve"> – </w:t>
            </w:r>
            <w:r>
              <w:rPr>
                <w:rStyle w:val="Style8"/>
                <w:rFonts w:eastAsia="Calibri"/>
                <w:i w:val="false"/>
                <w:iCs w:val="false"/>
                <w:kern w:val="0"/>
                <w:sz w:val="22"/>
                <w:szCs w:val="22"/>
                <w:shd w:fill="FFFFFF" w:val="clear"/>
                <w:lang w:eastAsia="en-US" w:bidi="ar-SA"/>
              </w:rPr>
              <w:t>максимально возможный балл (максимальная возможная оценка предпочтительности) по шкале оценок</w:t>
              <w:br/>
              <w:t>(Ш = 5)</w:t>
            </w:r>
          </w:p>
          <w:p>
            <w:pPr>
              <w:pStyle w:val="Style30"/>
              <w:widowControl w:val="false"/>
              <w:spacing w:before="120" w:after="60"/>
              <w:jc w:val="left"/>
              <w:rPr/>
            </w:pPr>
            <w:r>
              <w:rPr>
                <w:rStyle w:val="Style8"/>
                <w:rFonts w:eastAsia="Calibri"/>
                <w:i w:val="false"/>
                <w:iCs w:val="false"/>
                <w:kern w:val="0"/>
                <w:sz w:val="22"/>
                <w:szCs w:val="22"/>
                <w:shd w:fill="FFFFFF" w:val="clear"/>
                <w:lang w:eastAsia="en-US" w:bidi="ar-SA"/>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pPr>
              <w:pStyle w:val="Style30"/>
              <w:widowControl w:val="false"/>
              <w:suppressAutoHyphens w:val="true"/>
              <w:spacing w:before="40" w:after="40"/>
              <w:jc w:val="left"/>
              <w:rPr/>
            </w:pPr>
            <w:r>
              <w:rPr>
                <w:rStyle w:val="Style8"/>
                <w:rFonts w:eastAsia="Calibri" w:cs=""/>
                <w:i w:val="false"/>
                <w:iCs w:val="false"/>
                <w:kern w:val="0"/>
                <w:sz w:val="22"/>
                <w:szCs w:val="22"/>
                <w:shd w:fill="FFFFFF" w:val="clear"/>
                <w:lang w:val="ru-RU" w:eastAsia="en-US" w:bidi="ar-SA"/>
              </w:rPr>
              <w:t>Шкала оценок от 0 до 5 баллов.</w:t>
            </w:r>
          </w:p>
        </w:tc>
      </w:tr>
      <w:tr>
        <w:trPr/>
        <w:tc>
          <w:tcPr>
            <w:tcW w:w="898" w:type="dxa"/>
            <w:tcBorders/>
            <w:shd w:fill="auto" w:val="clear"/>
          </w:tcPr>
          <w:p>
            <w:pPr>
              <w:pStyle w:val="Style30"/>
              <w:widowControl w:val="false"/>
              <w:suppressAutoHyphens w:val="true"/>
              <w:spacing w:before="60" w:after="60"/>
              <w:jc w:val="center"/>
              <w:rPr>
                <w:rFonts w:ascii="Times New Roman" w:hAnsi="Times New Roman" w:eastAsia="Calibri" w:cs=""/>
                <w:sz w:val="22"/>
                <w:szCs w:val="22"/>
                <w:lang w:val="ru-RU" w:eastAsia="en-US" w:bidi="ar-SA"/>
              </w:rPr>
            </w:pPr>
            <w:r>
              <w:rPr>
                <w:rFonts w:eastAsia="Calibri" w:cs=""/>
                <w:kern w:val="0"/>
                <w:sz w:val="22"/>
                <w:szCs w:val="22"/>
                <w:lang w:val="ru-RU" w:eastAsia="en-US" w:bidi="ar-SA"/>
              </w:rPr>
              <w:t>2</w:t>
            </w:r>
          </w:p>
        </w:tc>
        <w:tc>
          <w:tcPr>
            <w:tcW w:w="1845" w:type="dxa"/>
            <w:tcBorders/>
            <w:shd w:fill="auto" w:val="clear"/>
          </w:tcPr>
          <w:p>
            <w:pPr>
              <w:pStyle w:val="31"/>
              <w:widowControl w:val="false"/>
              <w:numPr>
                <w:ilvl w:val="0"/>
                <w:numId w:val="0"/>
              </w:numPr>
              <w:suppressAutoHyphens w:val="true"/>
              <w:spacing w:lineRule="auto" w:line="240" w:before="60" w:after="60"/>
              <w:ind w:left="0" w:hanging="0"/>
              <w:contextualSpacing/>
              <w:jc w:val="center"/>
              <w:rPr>
                <w:rFonts w:cs="Times New Roman"/>
                <w:sz w:val="22"/>
                <w:szCs w:val="22"/>
                <w:lang w:eastAsia="ru-RU"/>
              </w:rPr>
            </w:pPr>
            <w:r>
              <w:rPr>
                <w:rFonts w:cs="Times New Roman"/>
                <w:kern w:val="0"/>
                <w:sz w:val="22"/>
                <w:szCs w:val="22"/>
                <w:lang w:eastAsia="ru-RU"/>
              </w:rPr>
              <w:t>Неценовой критерий оценки первого уровня / ТЕХ</w:t>
            </w:r>
          </w:p>
        </w:tc>
        <w:tc>
          <w:tcPr>
            <w:tcW w:w="1307" w:type="dxa"/>
            <w:tcBorders/>
            <w:shd w:fill="auto" w:val="clear"/>
          </w:tcPr>
          <w:p>
            <w:pPr>
              <w:pStyle w:val="31"/>
              <w:widowControl w:val="false"/>
              <w:numPr>
                <w:ilvl w:val="0"/>
                <w:numId w:val="0"/>
              </w:numPr>
              <w:suppressAutoHyphens w:val="true"/>
              <w:spacing w:lineRule="auto" w:line="240" w:before="60" w:after="60"/>
              <w:ind w:left="0" w:hanging="0"/>
              <w:contextualSpacing/>
              <w:jc w:val="center"/>
              <w:rPr>
                <w:rFonts w:cs="Times New Roman"/>
                <w:sz w:val="22"/>
                <w:szCs w:val="22"/>
                <w:lang w:eastAsia="ru-RU"/>
              </w:rPr>
            </w:pPr>
            <w:r>
              <w:rPr>
                <w:rFonts w:cs="Times New Roman"/>
                <w:kern w:val="0"/>
                <w:sz w:val="22"/>
                <w:szCs w:val="22"/>
                <w:lang w:eastAsia="ru-RU"/>
              </w:rPr>
              <w:t>Квалификация (предпочти-тельность) Участника</w:t>
            </w:r>
          </w:p>
        </w:tc>
        <w:tc>
          <w:tcPr>
            <w:tcW w:w="1070" w:type="dxa"/>
            <w:tcBorders/>
            <w:shd w:fill="auto" w:val="clear"/>
          </w:tcPr>
          <w:p>
            <w:pPr>
              <w:pStyle w:val="Style30"/>
              <w:widowControl w:val="false"/>
              <w:suppressAutoHyphens w:val="true"/>
              <w:spacing w:before="60" w:after="60"/>
              <w:jc w:val="center"/>
              <w:rPr>
                <w:rFonts w:ascii="Times New Roman" w:hAnsi="Times New Roman" w:eastAsia="Calibri" w:cs=""/>
                <w:sz w:val="22"/>
                <w:szCs w:val="22"/>
                <w:lang w:val="ru-RU" w:eastAsia="en-US" w:bidi="ar-SA"/>
              </w:rPr>
            </w:pPr>
            <w:r>
              <w:rPr>
                <w:rFonts w:eastAsia="Calibri" w:cs=""/>
                <w:i/>
                <w:iCs/>
                <w:kern w:val="0"/>
                <w:sz w:val="22"/>
                <w:szCs w:val="22"/>
                <w:lang w:val="ru-RU" w:eastAsia="en-US" w:bidi="ar-SA"/>
              </w:rPr>
              <w:t>отсутствует</w:t>
            </w:r>
          </w:p>
        </w:tc>
        <w:tc>
          <w:tcPr>
            <w:tcW w:w="2046" w:type="dxa"/>
            <w:tcBorders/>
            <w:shd w:fill="auto" w:val="clear"/>
          </w:tcPr>
          <w:p>
            <w:pPr>
              <w:pStyle w:val="Normal"/>
              <w:widowControl w:val="false"/>
              <w:spacing w:before="60" w:after="60"/>
              <w:jc w:val="center"/>
              <w:rPr>
                <w:sz w:val="22"/>
                <w:szCs w:val="18"/>
              </w:rPr>
            </w:pPr>
            <w:r>
              <w:rPr>
                <w:kern w:val="0"/>
                <w:sz w:val="22"/>
                <w:szCs w:val="18"/>
              </w:rPr>
              <w:t>5%</w:t>
              <w:br/>
              <w:t>(В</w:t>
            </w:r>
            <w:r>
              <w:rPr>
                <w:kern w:val="0"/>
                <w:sz w:val="22"/>
                <w:szCs w:val="18"/>
                <w:vertAlign w:val="subscript"/>
              </w:rPr>
              <w:t>2</w:t>
            </w:r>
            <w:r>
              <w:rPr>
                <w:kern w:val="0"/>
                <w:sz w:val="22"/>
                <w:szCs w:val="18"/>
              </w:rPr>
              <w:t xml:space="preserve"> = 0,05)</w:t>
            </w:r>
          </w:p>
          <w:p>
            <w:pPr>
              <w:pStyle w:val="Style30"/>
              <w:widowControl w:val="false"/>
              <w:suppressAutoHyphens w:val="true"/>
              <w:spacing w:before="60" w:after="60"/>
              <w:jc w:val="center"/>
              <w:rPr>
                <w:sz w:val="22"/>
                <w:szCs w:val="22"/>
              </w:rPr>
            </w:pPr>
            <w:r>
              <w:rPr>
                <w:sz w:val="22"/>
                <w:szCs w:val="22"/>
              </w:rPr>
            </w:r>
          </w:p>
        </w:tc>
        <w:tc>
          <w:tcPr>
            <w:tcW w:w="1813" w:type="dxa"/>
            <w:tcBorders/>
            <w:shd w:fill="auto" w:val="clear"/>
          </w:tcPr>
          <w:p>
            <w:pPr>
              <w:pStyle w:val="Normal"/>
              <w:widowControl w:val="false"/>
              <w:spacing w:before="60" w:after="60"/>
              <w:jc w:val="center"/>
              <w:rPr>
                <w:sz w:val="22"/>
                <w:szCs w:val="22"/>
              </w:rPr>
            </w:pPr>
            <w:r>
              <w:rPr>
                <w:rFonts w:eastAsia="Calibri" w:cs=""/>
                <w:kern w:val="0"/>
                <w:sz w:val="22"/>
                <w:szCs w:val="22"/>
                <w:lang w:val="ru-RU" w:eastAsia="en-US" w:bidi="ar-SA"/>
              </w:rPr>
              <w:t>Чем больше опыт (более установленного минимума), тем выше предпочтительность</w:t>
            </w:r>
          </w:p>
        </w:tc>
        <w:tc>
          <w:tcPr>
            <w:tcW w:w="5559" w:type="dxa"/>
            <w:tcBorders/>
            <w:shd w:fill="auto" w:val="clear"/>
          </w:tcPr>
          <w:p>
            <w:pPr>
              <w:pStyle w:val="Normal"/>
              <w:widowControl w:val="false"/>
              <w:spacing w:before="60" w:after="60"/>
              <w:jc w:val="both"/>
              <w:rPr>
                <w:sz w:val="22"/>
                <w:szCs w:val="22"/>
              </w:rPr>
            </w:pPr>
            <w:r>
              <w:rPr>
                <w:rFonts w:eastAsia="Calibri"/>
                <w:spacing w:val="-2"/>
                <w:sz w:val="22"/>
                <w:szCs w:val="22"/>
                <w:lang w:eastAsia="en-US"/>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90" w:after="90"/>
              <w:jc w:val="both"/>
              <w:rPr>
                <w:sz w:val="22"/>
                <w:szCs w:val="22"/>
              </w:rPr>
            </w:pPr>
            <w:r>
              <w:rPr>
                <w:rFonts w:eastAsia="Calibri"/>
                <w:spacing w:val="-2"/>
                <w:sz w:val="22"/>
                <w:szCs w:val="22"/>
                <w:lang w:eastAsia="en-US"/>
              </w:rPr>
              <w:t>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w:t>
            </w:r>
            <w:r>
              <w:rPr>
                <w:rFonts w:eastAsia="Calibri" w:cs="Times New Roman"/>
                <w:color w:val="00000A"/>
                <w:spacing w:val="-2"/>
                <w:sz w:val="22"/>
                <w:szCs w:val="22"/>
                <w:lang w:eastAsia="en-US"/>
              </w:rPr>
              <w:t xml:space="preserve">ах, подтверждающих наличие совокупного опыта (в рамках одного или нескольких договоров) выполнения работ </w:t>
            </w:r>
            <w:r>
              <w:rPr>
                <w:rFonts w:eastAsia="Calibri" w:cs="Times New Roman"/>
                <w:b/>
                <w:bCs/>
                <w:color w:val="00000A"/>
                <w:spacing w:val="-2"/>
                <w:sz w:val="22"/>
                <w:szCs w:val="22"/>
                <w:lang w:eastAsia="en-US"/>
              </w:rPr>
              <w:t>по установке птицезащитных устройств на ВЛ</w:t>
            </w:r>
            <w:r>
              <w:rPr>
                <w:rFonts w:eastAsia="Calibri" w:cs="Times New Roman"/>
                <w:color w:val="00000A"/>
                <w:spacing w:val="-2"/>
                <w:sz w:val="22"/>
                <w:szCs w:val="22"/>
                <w:lang w:eastAsia="en-US"/>
              </w:rPr>
              <w:t xml:space="preserve"> за последние 5 (пять) лет, предшествующих дате подачи заявки, с приложением следующих подтверждающих документов:</w:t>
            </w:r>
          </w:p>
          <w:p>
            <w:pPr>
              <w:pStyle w:val="Normal"/>
              <w:widowControl w:val="false"/>
              <w:spacing w:before="40" w:after="40"/>
              <w:jc w:val="both"/>
              <w:rPr>
                <w:rFonts w:ascii="Times New Roman" w:hAnsi="Times New Roman" w:eastAsia="Calibri" w:cs="Times New Roman"/>
                <w:color w:val="00000A"/>
                <w:spacing w:val="-2"/>
                <w:sz w:val="22"/>
                <w:szCs w:val="22"/>
                <w:lang w:eastAsia="en-US"/>
              </w:rPr>
            </w:pPr>
            <w:r>
              <w:rPr>
                <w:rFonts w:eastAsia="Calibri" w:cs="Times New Roman"/>
                <w:color w:val="00000A"/>
                <w:spacing w:val="-2"/>
                <w:sz w:val="22"/>
                <w:szCs w:val="22"/>
                <w:lang w:eastAsia="en-US"/>
              </w:rPr>
              <w:t>-   копии договоров, подписанных с обеих сторон;</w:t>
            </w:r>
          </w:p>
          <w:p>
            <w:pPr>
              <w:pStyle w:val="Normal"/>
              <w:widowControl w:val="false"/>
              <w:spacing w:before="40" w:after="40"/>
              <w:jc w:val="both"/>
              <w:rPr>
                <w:rFonts w:ascii="Times New Roman" w:hAnsi="Times New Roman" w:eastAsia="Calibri" w:cs="Times New Roman"/>
                <w:color w:val="00000A"/>
                <w:spacing w:val="-2"/>
                <w:sz w:val="22"/>
                <w:szCs w:val="22"/>
                <w:lang w:eastAsia="en-US"/>
              </w:rPr>
            </w:pPr>
            <w:r>
              <w:rPr>
                <w:rFonts w:eastAsia="Calibri" w:cs="Times New Roman"/>
                <w:color w:val="00000A"/>
                <w:spacing w:val="-2"/>
                <w:sz w:val="22"/>
                <w:szCs w:val="22"/>
                <w:lang w:eastAsia="en-US"/>
              </w:rPr>
              <w:t xml:space="preserve">- копии актов выполненных работ по форме КС-2 подписанных с обеих сторон с указанием стоимости и наименования выполненных работ/ услуг и/или копии справок о стоимости выполненных работ и затрат по форме КС-3 подписанных с обеих сторон с указанием стоимости и наименования выполненных работ/ услуг, предусмотренных требованиями договора, подтверждающих факт его исполнения; </w:t>
            </w:r>
          </w:p>
          <w:p>
            <w:pPr>
              <w:pStyle w:val="Normal"/>
              <w:widowControl w:val="false"/>
              <w:spacing w:before="40" w:after="40"/>
              <w:jc w:val="both"/>
              <w:rPr/>
            </w:pPr>
            <w:r>
              <w:rPr>
                <w:rFonts w:eastAsia="Calibri" w:cs="Times New Roman"/>
                <w:color w:val="00000A"/>
                <w:spacing w:val="-2"/>
                <w:sz w:val="22"/>
                <w:szCs w:val="22"/>
                <w:lang w:eastAsia="en-US"/>
              </w:rPr>
              <w:t>- 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w:t>
            </w:r>
          </w:p>
          <w:p>
            <w:pPr>
              <w:pStyle w:val="Normal"/>
              <w:widowControl w:val="false"/>
              <w:spacing w:before="40" w:after="40"/>
              <w:jc w:val="both"/>
              <w:rPr/>
            </w:pPr>
            <w:r>
              <w:rPr>
                <w:rFonts w:eastAsia="Calibri"/>
                <w:spacing w:val="-2"/>
                <w:kern w:val="0"/>
                <w:sz w:val="22"/>
                <w:szCs w:val="22"/>
                <w:lang w:eastAsia="en-US"/>
              </w:rPr>
              <w:t xml:space="preserve">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выполнения работ </w:t>
            </w:r>
            <w:r>
              <w:rPr>
                <w:rFonts w:eastAsia="Calibri" w:cs="Times New Roman"/>
                <w:b/>
                <w:bCs/>
                <w:color w:val="00000A"/>
                <w:spacing w:val="-2"/>
                <w:kern w:val="0"/>
                <w:sz w:val="22"/>
                <w:szCs w:val="22"/>
                <w:lang w:eastAsia="en-US"/>
              </w:rPr>
              <w:t>по установке птицезащитных устройств на ВЛ</w:t>
            </w:r>
            <w:r>
              <w:rPr>
                <w:rFonts w:eastAsia="Calibri"/>
                <w:spacing w:val="-2"/>
                <w:kern w:val="0"/>
                <w:sz w:val="22"/>
                <w:szCs w:val="22"/>
                <w:lang w:eastAsia="en-US"/>
              </w:rPr>
              <w:t xml:space="preserve"> за последние 5 (пять) лет, в совокупном (суммарном) объеме:</w:t>
            </w:r>
          </w:p>
          <w:tbl>
            <w:tblPr>
              <w:tblW w:w="6412" w:type="dxa"/>
              <w:jc w:val="left"/>
              <w:tblInd w:w="0" w:type="dxa"/>
              <w:tblLayout w:type="fixed"/>
              <w:tblCellMar>
                <w:top w:w="55" w:type="dxa"/>
                <w:left w:w="98" w:type="dxa"/>
                <w:bottom w:w="55" w:type="dxa"/>
                <w:right w:w="108" w:type="dxa"/>
              </w:tblCellMar>
              <w:tblLook w:val="04a0" w:noVBand="1" w:noHBand="0" w:lastColumn="0" w:firstColumn="1" w:lastRow="0" w:firstRow="1"/>
            </w:tblPr>
            <w:tblGrid>
              <w:gridCol w:w="884"/>
              <w:gridCol w:w="5527"/>
            </w:tblGrid>
            <w:tr>
              <w:trPr>
                <w:cantSplit w:val="true"/>
              </w:trPr>
              <w:tc>
                <w:tcPr>
                  <w:tcW w:w="884" w:type="dxa"/>
                  <w:tcBorders>
                    <w:top w:val="single" w:sz="4" w:space="0" w:color="000001"/>
                    <w:left w:val="single" w:sz="4" w:space="0" w:color="000001"/>
                    <w:bottom w:val="single" w:sz="4" w:space="0" w:color="000001"/>
                  </w:tcBorders>
                  <w:shd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Б</w:t>
                  </w:r>
                  <w:r>
                    <w:rPr>
                      <w:sz w:val="22"/>
                      <w:szCs w:val="22"/>
                      <w:vertAlign w:val="subscript"/>
                      <w:lang w:eastAsia="ru-RU"/>
                    </w:rPr>
                    <w:t>2</w:t>
                  </w:r>
                  <w:r>
                    <w:rPr>
                      <w:sz w:val="22"/>
                      <w:szCs w:val="22"/>
                      <w:lang w:eastAsia="ru-RU"/>
                    </w:rPr>
                    <w:t xml:space="preserve"> = 0</w:t>
                  </w:r>
                </w:p>
              </w:tc>
              <w:tc>
                <w:tcPr>
                  <w:tcW w:w="5527"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numPr>
                      <w:ilvl w:val="0"/>
                      <w:numId w:val="0"/>
                    </w:numPr>
                    <w:spacing w:lineRule="auto" w:line="240" w:before="0" w:after="0"/>
                    <w:ind w:left="28" w:right="0" w:hanging="0"/>
                    <w:contextualSpacing/>
                    <w:jc w:val="left"/>
                    <w:rPr/>
                  </w:pPr>
                  <w:r>
                    <w:rPr>
                      <w:rStyle w:val="Style20"/>
                      <w:rFonts w:eastAsia="Calibri" w:cs="Times New Roman" w:eastAsiaTheme="minorHAnsi"/>
                      <w:color w:val="00000A"/>
                      <w:sz w:val="22"/>
                      <w:szCs w:val="22"/>
                      <w:lang w:eastAsia="ru-RU"/>
                    </w:rPr>
                    <w:t>от 0 %(опыт отсутствует, либо не подтвержден) от НМЦ, без учета НДС, до 30% НМЦ без учета НДС (включительно)  от НМЦ, без учета НДС за последние пять лет;</w:t>
                  </w:r>
                </w:p>
              </w:tc>
            </w:tr>
            <w:tr>
              <w:trPr>
                <w:cantSplit w:val="true"/>
              </w:trPr>
              <w:tc>
                <w:tcPr>
                  <w:tcW w:w="884" w:type="dxa"/>
                  <w:tcBorders>
                    <w:top w:val="single" w:sz="4" w:space="0" w:color="000001"/>
                    <w:left w:val="single" w:sz="4" w:space="0" w:color="000001"/>
                    <w:bottom w:val="single" w:sz="4" w:space="0" w:color="000001"/>
                  </w:tcBorders>
                  <w:shd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Б</w:t>
                  </w:r>
                  <w:r>
                    <w:rPr>
                      <w:sz w:val="22"/>
                      <w:szCs w:val="22"/>
                      <w:vertAlign w:val="subscript"/>
                      <w:lang w:eastAsia="ru-RU"/>
                    </w:rPr>
                    <w:t>2</w:t>
                  </w:r>
                  <w:r>
                    <w:rPr>
                      <w:sz w:val="22"/>
                      <w:szCs w:val="22"/>
                      <w:lang w:eastAsia="ru-RU"/>
                    </w:rPr>
                    <w:t xml:space="preserve"> = 1</w:t>
                  </w:r>
                </w:p>
              </w:tc>
              <w:tc>
                <w:tcPr>
                  <w:tcW w:w="5527"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numPr>
                      <w:ilvl w:val="0"/>
                      <w:numId w:val="0"/>
                    </w:numPr>
                    <w:suppressAutoHyphens w:val="true"/>
                    <w:bidi w:val="0"/>
                    <w:spacing w:lineRule="auto" w:line="240" w:before="40" w:after="40"/>
                    <w:ind w:left="113" w:right="964" w:hanging="0"/>
                    <w:contextualSpacing/>
                    <w:jc w:val="left"/>
                    <w:rPr/>
                  </w:pPr>
                  <w:r>
                    <w:rPr>
                      <w:rStyle w:val="Style20"/>
                      <w:rFonts w:eastAsia="Calibri" w:cs="Times New Roman" w:eastAsiaTheme="minorHAnsi"/>
                      <w:color w:val="00000A"/>
                      <w:sz w:val="22"/>
                      <w:szCs w:val="22"/>
                      <w:lang w:eastAsia="ru-RU"/>
                    </w:rPr>
                    <w:t>более 30% НМЦ «без учета НДС», до 40% НМЦ  без учета НДС (включительно) от НМЦ, без учета НДС за последние пять лет;</w:t>
                  </w:r>
                  <w:r>
                    <w:rPr>
                      <w:rStyle w:val="Style20"/>
                      <w:rFonts w:cs="Times New Roman"/>
                      <w:sz w:val="20"/>
                      <w:szCs w:val="20"/>
                    </w:rPr>
                    <w:t>;</w:t>
                  </w:r>
                </w:p>
              </w:tc>
            </w:tr>
            <w:tr>
              <w:trPr>
                <w:cantSplit w:val="true"/>
              </w:trPr>
              <w:tc>
                <w:tcPr>
                  <w:tcW w:w="884" w:type="dxa"/>
                  <w:tcBorders>
                    <w:top w:val="single" w:sz="4" w:space="0" w:color="000001"/>
                    <w:left w:val="single" w:sz="4" w:space="0" w:color="000001"/>
                    <w:bottom w:val="single" w:sz="4" w:space="0" w:color="000001"/>
                  </w:tcBorders>
                  <w:shd w:fill="auto" w:val="clear"/>
                </w:tcPr>
                <w:p>
                  <w:pPr>
                    <w:pStyle w:val="31"/>
                    <w:widowControl w:val="false"/>
                    <w:numPr>
                      <w:ilvl w:val="0"/>
                      <w:numId w:val="0"/>
                    </w:numPr>
                    <w:spacing w:lineRule="auto" w:line="240" w:before="40" w:after="40"/>
                    <w:ind w:left="0" w:hanging="0"/>
                    <w:contextualSpacing/>
                    <w:jc w:val="center"/>
                    <w:rPr>
                      <w:sz w:val="22"/>
                      <w:szCs w:val="28"/>
                    </w:rPr>
                  </w:pPr>
                  <w:r>
                    <w:rPr>
                      <w:sz w:val="22"/>
                      <w:szCs w:val="28"/>
                      <w:lang w:eastAsia="ru-RU"/>
                    </w:rPr>
                    <w:t>Б</w:t>
                  </w:r>
                  <w:r>
                    <w:rPr>
                      <w:sz w:val="22"/>
                      <w:szCs w:val="28"/>
                      <w:vertAlign w:val="subscript"/>
                      <w:lang w:eastAsia="ru-RU"/>
                    </w:rPr>
                    <w:t>2</w:t>
                  </w:r>
                  <w:r>
                    <w:rPr>
                      <w:sz w:val="22"/>
                      <w:szCs w:val="28"/>
                      <w:lang w:eastAsia="ru-RU"/>
                    </w:rPr>
                    <w:t xml:space="preserve"> = 2</w:t>
                  </w:r>
                </w:p>
              </w:tc>
              <w:tc>
                <w:tcPr>
                  <w:tcW w:w="5527"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numPr>
                      <w:ilvl w:val="0"/>
                      <w:numId w:val="0"/>
                    </w:numPr>
                    <w:suppressAutoHyphens w:val="true"/>
                    <w:bidi w:val="0"/>
                    <w:spacing w:lineRule="auto" w:line="240" w:before="40" w:after="40"/>
                    <w:ind w:left="113" w:right="850" w:hanging="0"/>
                    <w:contextualSpacing/>
                    <w:jc w:val="left"/>
                    <w:rPr/>
                  </w:pPr>
                  <w:r>
                    <w:rPr>
                      <w:rStyle w:val="Style20"/>
                      <w:rFonts w:eastAsia="Calibri" w:cs="Times New Roman" w:eastAsiaTheme="minorHAnsi"/>
                      <w:color w:val="00000A"/>
                      <w:sz w:val="22"/>
                      <w:szCs w:val="22"/>
                      <w:lang w:eastAsia="ru-RU"/>
                    </w:rPr>
                    <w:t>более 40% НМЦ «без учета НДС», до 50% НМЦ  без учета НДС (включительно) от НМЦ, без учета НДС за последние пять лет;</w:t>
                  </w:r>
                </w:p>
              </w:tc>
            </w:tr>
            <w:tr>
              <w:trPr>
                <w:cantSplit w:val="true"/>
              </w:trPr>
              <w:tc>
                <w:tcPr>
                  <w:tcW w:w="884" w:type="dxa"/>
                  <w:tcBorders>
                    <w:top w:val="single" w:sz="4" w:space="0" w:color="000001"/>
                    <w:left w:val="single" w:sz="4" w:space="0" w:color="000001"/>
                    <w:bottom w:val="single" w:sz="4" w:space="0" w:color="000001"/>
                  </w:tcBorders>
                  <w:shd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Б</w:t>
                  </w:r>
                  <w:r>
                    <w:rPr>
                      <w:sz w:val="22"/>
                      <w:szCs w:val="22"/>
                      <w:vertAlign w:val="subscript"/>
                      <w:lang w:eastAsia="ru-RU"/>
                    </w:rPr>
                    <w:t>2</w:t>
                  </w:r>
                  <w:r>
                    <w:rPr>
                      <w:sz w:val="22"/>
                      <w:szCs w:val="22"/>
                      <w:lang w:eastAsia="ru-RU"/>
                    </w:rPr>
                    <w:t xml:space="preserve"> = 3</w:t>
                  </w:r>
                </w:p>
              </w:tc>
              <w:tc>
                <w:tcPr>
                  <w:tcW w:w="5527"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spacing w:lineRule="auto" w:line="240" w:before="120" w:after="0"/>
                    <w:ind w:left="113" w:right="1077" w:hanging="0"/>
                    <w:contextualSpacing/>
                    <w:jc w:val="left"/>
                    <w:rPr>
                      <w:rFonts w:ascii="Times New Roman" w:hAnsi="Times New Roman" w:eastAsia="Calibri" w:cs="Times New Roman" w:eastAsiaTheme="minorHAnsi"/>
                      <w:color w:val="00000A"/>
                      <w:sz w:val="22"/>
                      <w:szCs w:val="22"/>
                      <w:lang w:eastAsia="ru-RU"/>
                    </w:rPr>
                  </w:pPr>
                  <w:r>
                    <w:rPr>
                      <w:rStyle w:val="Style20"/>
                      <w:rFonts w:eastAsia="Calibri" w:cs="Times New Roman" w:eastAsiaTheme="minorHAnsi"/>
                      <w:color w:val="00000A"/>
                      <w:sz w:val="22"/>
                      <w:szCs w:val="22"/>
                      <w:lang w:eastAsia="ru-RU"/>
                    </w:rPr>
                    <w:t>более 50% НМЦ «без учета НДС», до 60% НМЦ  без учета НДС (включительно) от НМЦ, без учета НДС за последние пять лет;</w:t>
                  </w:r>
                </w:p>
              </w:tc>
            </w:tr>
            <w:tr>
              <w:trPr>
                <w:cantSplit w:val="true"/>
              </w:trPr>
              <w:tc>
                <w:tcPr>
                  <w:tcW w:w="884" w:type="dxa"/>
                  <w:tcBorders>
                    <w:top w:val="single" w:sz="4" w:space="0" w:color="000001"/>
                    <w:left w:val="single" w:sz="4" w:space="0" w:color="000001"/>
                    <w:bottom w:val="single" w:sz="4" w:space="0" w:color="000001"/>
                  </w:tcBorders>
                  <w:shd w:fill="auto" w:val="clear"/>
                </w:tcPr>
                <w:p>
                  <w:pPr>
                    <w:pStyle w:val="31"/>
                    <w:widowControl w:val="false"/>
                    <w:numPr>
                      <w:ilvl w:val="0"/>
                      <w:numId w:val="0"/>
                    </w:numPr>
                    <w:spacing w:lineRule="auto" w:line="240" w:before="40" w:after="40"/>
                    <w:ind w:left="0" w:hanging="0"/>
                    <w:contextualSpacing/>
                    <w:jc w:val="center"/>
                    <w:rPr>
                      <w:sz w:val="22"/>
                      <w:szCs w:val="22"/>
                    </w:rPr>
                  </w:pPr>
                  <w:r>
                    <w:rPr>
                      <w:lang w:eastAsia="ru-RU"/>
                    </w:rPr>
                    <w:t>Б</w:t>
                  </w:r>
                  <w:r>
                    <w:rPr>
                      <w:vertAlign w:val="subscript"/>
                      <w:lang w:eastAsia="ru-RU"/>
                    </w:rPr>
                    <w:t>2</w:t>
                  </w:r>
                  <w:r>
                    <w:rPr>
                      <w:lang w:eastAsia="ru-RU"/>
                    </w:rPr>
                    <w:t xml:space="preserve"> = 4</w:t>
                  </w:r>
                </w:p>
              </w:tc>
              <w:tc>
                <w:tcPr>
                  <w:tcW w:w="5527"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spacing w:lineRule="auto" w:line="240" w:before="120" w:after="0"/>
                    <w:ind w:left="113" w:right="964" w:hanging="0"/>
                    <w:contextualSpacing/>
                    <w:jc w:val="left"/>
                    <w:rPr>
                      <w:rFonts w:ascii="Times New Roman" w:hAnsi="Times New Roman" w:eastAsia="Calibri" w:cs="Times New Roman" w:eastAsiaTheme="minorHAnsi"/>
                      <w:color w:val="00000A"/>
                      <w:sz w:val="22"/>
                      <w:szCs w:val="22"/>
                      <w:lang w:eastAsia="ru-RU"/>
                    </w:rPr>
                  </w:pPr>
                  <w:r>
                    <w:rPr>
                      <w:rStyle w:val="Style20"/>
                      <w:rFonts w:eastAsia="Calibri" w:cs="Times New Roman" w:eastAsiaTheme="minorHAnsi"/>
                      <w:color w:val="00000A"/>
                      <w:sz w:val="22"/>
                      <w:szCs w:val="22"/>
                      <w:lang w:eastAsia="ru-RU"/>
                    </w:rPr>
                    <w:t>более 60% НМЦ «без учета НДС», до 70% НМЦ  без учета НДС (включительно) от НМЦ, без учета НДС за последние пять лет;</w:t>
                  </w:r>
                </w:p>
              </w:tc>
            </w:tr>
            <w:tr>
              <w:trPr>
                <w:cantSplit w:val="true"/>
              </w:trPr>
              <w:tc>
                <w:tcPr>
                  <w:tcW w:w="884" w:type="dxa"/>
                  <w:tcBorders>
                    <w:top w:val="single" w:sz="4" w:space="0" w:color="000001"/>
                    <w:left w:val="single" w:sz="4" w:space="0" w:color="000001"/>
                    <w:bottom w:val="single" w:sz="4" w:space="0" w:color="000001"/>
                  </w:tcBorders>
                  <w:shd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Б</w:t>
                  </w:r>
                  <w:r>
                    <w:rPr>
                      <w:sz w:val="22"/>
                      <w:szCs w:val="22"/>
                      <w:vertAlign w:val="subscript"/>
                      <w:lang w:eastAsia="ru-RU"/>
                    </w:rPr>
                    <w:t>2</w:t>
                  </w:r>
                  <w:r>
                    <w:rPr>
                      <w:sz w:val="22"/>
                      <w:szCs w:val="22"/>
                      <w:lang w:eastAsia="ru-RU"/>
                    </w:rPr>
                    <w:t xml:space="preserve"> = 5</w:t>
                  </w:r>
                </w:p>
              </w:tc>
              <w:tc>
                <w:tcPr>
                  <w:tcW w:w="5527" w:type="dxa"/>
                  <w:tcBorders>
                    <w:top w:val="single" w:sz="4" w:space="0" w:color="000001"/>
                    <w:left w:val="single" w:sz="4" w:space="0" w:color="000001"/>
                    <w:bottom w:val="single" w:sz="4" w:space="0" w:color="000001"/>
                    <w:right w:val="single" w:sz="4" w:space="0" w:color="000001"/>
                  </w:tcBorders>
                  <w:shd w:fill="auto" w:val="clear"/>
                </w:tcPr>
                <w:p>
                  <w:pPr>
                    <w:pStyle w:val="-2"/>
                    <w:widowControl w:val="false"/>
                    <w:spacing w:lineRule="auto" w:line="240" w:before="120" w:after="0"/>
                    <w:ind w:left="113" w:right="1020" w:hanging="0"/>
                    <w:contextualSpacing/>
                    <w:jc w:val="left"/>
                    <w:rPr/>
                  </w:pPr>
                  <w:r>
                    <w:rPr>
                      <w:rStyle w:val="Style21"/>
                      <w:rFonts w:eastAsia="Calibri" w:cs="Times New Roman" w:eastAsiaTheme="minorHAnsi"/>
                      <w:color w:val="00000A"/>
                      <w:sz w:val="22"/>
                      <w:szCs w:val="22"/>
                      <w:lang w:eastAsia="ru-RU"/>
                    </w:rPr>
                    <w:t>более</w:t>
                  </w:r>
                  <w:r>
                    <w:rPr>
                      <w:rStyle w:val="Annotationreference"/>
                      <w:rFonts w:eastAsia="Calibri" w:cs="Times New Roman" w:eastAsiaTheme="minorHAnsi"/>
                      <w:color w:val="00000A"/>
                      <w:sz w:val="22"/>
                      <w:szCs w:val="22"/>
                      <w:lang w:eastAsia="ru-RU"/>
                    </w:rPr>
                    <w:t xml:space="preserve"> 70% НМЦ без учета НДС от НМЦ, без учета НДС за последние пять лет;</w:t>
                  </w:r>
                </w:p>
              </w:tc>
            </w:tr>
          </w:tbl>
          <w:p>
            <w:pPr>
              <w:pStyle w:val="22"/>
              <w:widowControl w:val="false"/>
              <w:numPr>
                <w:ilvl w:val="0"/>
                <w:numId w:val="0"/>
              </w:numPr>
              <w:suppressAutoHyphens w:val="true"/>
              <w:spacing w:lineRule="auto" w:line="240" w:before="96" w:after="0"/>
              <w:ind w:left="0" w:hanging="0"/>
              <w:contextualSpacing/>
              <w:jc w:val="left"/>
              <w:rPr>
                <w:sz w:val="22"/>
                <w:szCs w:val="22"/>
              </w:rPr>
            </w:pPr>
            <w:r>
              <w:rPr>
                <w:kern w:val="0"/>
                <w:sz w:val="22"/>
                <w:szCs w:val="22"/>
                <w:lang w:eastAsia="ru-RU"/>
              </w:rPr>
              <w:t>где:</w:t>
            </w:r>
          </w:p>
          <w:p>
            <w:pPr>
              <w:pStyle w:val="22"/>
              <w:widowControl w:val="false"/>
              <w:numPr>
                <w:ilvl w:val="0"/>
                <w:numId w:val="0"/>
              </w:numPr>
              <w:tabs>
                <w:tab w:val="clear" w:pos="708"/>
                <w:tab w:val="left" w:pos="742" w:leader="none"/>
                <w:tab w:val="left" w:pos="1167" w:leader="none"/>
              </w:tabs>
              <w:suppressAutoHyphens w:val="true"/>
              <w:spacing w:lineRule="auto" w:line="240" w:before="0" w:after="0"/>
              <w:ind w:left="0" w:hanging="0"/>
              <w:contextualSpacing/>
              <w:jc w:val="left"/>
              <w:rPr>
                <w:sz w:val="22"/>
                <w:szCs w:val="22"/>
              </w:rPr>
            </w:pPr>
            <w:r>
              <w:rPr>
                <w:kern w:val="0"/>
                <w:sz w:val="22"/>
                <w:szCs w:val="22"/>
                <w:lang w:eastAsia="ru-RU"/>
              </w:rPr>
              <w:t>Б</w:t>
            </w:r>
            <w:r>
              <w:rPr>
                <w:kern w:val="0"/>
                <w:sz w:val="22"/>
                <w:szCs w:val="22"/>
                <w:vertAlign w:val="subscript"/>
                <w:lang w:eastAsia="ru-RU"/>
              </w:rPr>
              <w:t>2.1</w:t>
            </w:r>
            <w:r>
              <w:rPr>
                <w:kern w:val="0"/>
                <w:sz w:val="22"/>
                <w:szCs w:val="22"/>
                <w:lang w:eastAsia="ru-RU"/>
              </w:rPr>
              <w:tab/>
              <w:t>–</w:t>
              <w:tab/>
              <w:t>рассчитанная оценка предпочтительности по данному частному критерию оценки в баллах.</w:t>
            </w:r>
          </w:p>
          <w:p>
            <w:pPr>
              <w:pStyle w:val="Textbody"/>
              <w:widowControl w:val="false"/>
              <w:spacing w:lineRule="auto" w:line="240" w:before="0" w:after="0"/>
              <w:ind w:right="57" w:hanging="0"/>
              <w:jc w:val="both"/>
              <w:rPr>
                <w:rFonts w:ascii="Times New Roman" w:hAnsi="Times New Roman"/>
                <w:sz w:val="22"/>
                <w:szCs w:val="22"/>
              </w:rPr>
            </w:pPr>
            <w:r>
              <w:rPr>
                <w:rFonts w:eastAsia="Calibri" w:cs="Times New Roman" w:ascii="Times New Roman" w:hAnsi="Times New Roman"/>
                <w:spacing w:val="-2"/>
                <w:kern w:val="0"/>
                <w:sz w:val="22"/>
                <w:szCs w:val="22"/>
                <w:lang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1"/>
              <w:widowControl w:val="false"/>
              <w:numPr>
                <w:ilvl w:val="0"/>
                <w:numId w:val="0"/>
              </w:numPr>
              <w:suppressAutoHyphens w:val="true"/>
              <w:spacing w:lineRule="auto" w:line="240" w:before="40" w:after="40"/>
              <w:ind w:left="0" w:hanging="0"/>
              <w:contextualSpacing/>
              <w:jc w:val="left"/>
              <w:rPr>
                <w:sz w:val="22"/>
                <w:szCs w:val="22"/>
              </w:rPr>
            </w:pPr>
            <w:r>
              <w:rPr>
                <w:kern w:val="0"/>
                <w:sz w:val="22"/>
                <w:szCs w:val="22"/>
                <w:lang w:eastAsia="ru-RU"/>
              </w:rPr>
              <w:t>Опыт, несоответствующий установленным в документации о закупке требованиям, не оценивается.</w:t>
            </w:r>
          </w:p>
          <w:p>
            <w:pPr>
              <w:pStyle w:val="31"/>
              <w:widowControl w:val="false"/>
              <w:numPr>
                <w:ilvl w:val="0"/>
                <w:numId w:val="0"/>
              </w:numPr>
              <w:suppressAutoHyphens w:val="true"/>
              <w:spacing w:lineRule="auto" w:line="240" w:before="40" w:after="40"/>
              <w:ind w:left="0" w:hanging="0"/>
              <w:contextualSpacing/>
              <w:jc w:val="left"/>
              <w:rPr>
                <w:sz w:val="22"/>
                <w:szCs w:val="22"/>
              </w:rPr>
            </w:pPr>
            <w:r>
              <w:rPr>
                <w:kern w:val="0"/>
                <w:sz w:val="22"/>
                <w:szCs w:val="22"/>
                <w:lang w:eastAsia="ru-RU"/>
              </w:rPr>
              <w:t>Шкала оценок от 0 до 5 баллов.</w:t>
            </w:r>
          </w:p>
        </w:tc>
      </w:tr>
      <w:tr>
        <w:trPr/>
        <w:tc>
          <w:tcPr>
            <w:tcW w:w="898" w:type="dxa"/>
            <w:tcBorders/>
            <w:shd w:fill="auto" w:val="clear"/>
          </w:tcPr>
          <w:p>
            <w:pPr>
              <w:pStyle w:val="Style30"/>
              <w:widowControl w:val="false"/>
              <w:suppressAutoHyphens w:val="true"/>
              <w:spacing w:before="60" w:after="60"/>
              <w:jc w:val="center"/>
              <w:rPr>
                <w:rFonts w:ascii="Times New Roman" w:hAnsi="Times New Roman" w:eastAsia="Calibri" w:cs=""/>
                <w:sz w:val="22"/>
                <w:szCs w:val="22"/>
                <w:lang w:val="ru-RU" w:eastAsia="en-US" w:bidi="ar-SA"/>
              </w:rPr>
            </w:pPr>
            <w:r>
              <w:rPr>
                <w:rFonts w:eastAsia="Calibri" w:cs=""/>
                <w:kern w:val="0"/>
                <w:sz w:val="22"/>
                <w:szCs w:val="22"/>
                <w:lang w:val="ru-RU" w:eastAsia="en-US" w:bidi="ar-SA"/>
              </w:rPr>
              <w:t>3</w:t>
            </w:r>
          </w:p>
        </w:tc>
        <w:tc>
          <w:tcPr>
            <w:tcW w:w="1845" w:type="dxa"/>
            <w:tcBorders/>
            <w:shd w:fill="auto" w:val="clear"/>
          </w:tcPr>
          <w:p>
            <w:pPr>
              <w:pStyle w:val="31"/>
              <w:widowControl w:val="false"/>
              <w:numPr>
                <w:ilvl w:val="0"/>
                <w:numId w:val="0"/>
              </w:numPr>
              <w:suppressAutoHyphens w:val="true"/>
              <w:spacing w:lineRule="auto" w:line="240" w:before="60" w:after="60"/>
              <w:ind w:left="0" w:hanging="0"/>
              <w:contextualSpacing/>
              <w:jc w:val="center"/>
              <w:rPr/>
            </w:pPr>
            <w:r>
              <w:rPr>
                <w:rStyle w:val="Style8"/>
                <w:rFonts w:eastAsia="Calibri" w:cs=""/>
                <w:i w:val="false"/>
                <w:iCs w:val="false"/>
                <w:kern w:val="0"/>
                <w:sz w:val="22"/>
                <w:szCs w:val="22"/>
                <w:shd w:fill="FFFFFF" w:val="clear"/>
                <w:lang w:val="ru-RU" w:eastAsia="ru-RU" w:bidi="ar-SA"/>
              </w:rPr>
              <w:t>Неценовой критерий оценки первого уровня / ОРГ</w:t>
            </w:r>
          </w:p>
        </w:tc>
        <w:tc>
          <w:tcPr>
            <w:tcW w:w="1307" w:type="dxa"/>
            <w:tcBorders/>
            <w:shd w:fill="auto" w:val="clear"/>
          </w:tcPr>
          <w:p>
            <w:pPr>
              <w:pStyle w:val="Style30"/>
              <w:widowControl w:val="false"/>
              <w:suppressAutoHyphens w:val="true"/>
              <w:spacing w:before="60" w:after="60"/>
              <w:jc w:val="center"/>
              <w:rPr>
                <w:rFonts w:ascii="Times New Roman" w:hAnsi="Times New Roman" w:eastAsia="Calibri" w:cs=""/>
                <w:sz w:val="22"/>
                <w:szCs w:val="22"/>
                <w:lang w:val="ru-RU" w:eastAsia="en-US" w:bidi="ar-SA"/>
              </w:rPr>
            </w:pPr>
            <w:r>
              <w:rPr>
                <w:rFonts w:eastAsia="Calibri" w:cs=""/>
                <w:kern w:val="0"/>
                <w:sz w:val="22"/>
                <w:szCs w:val="22"/>
                <w:lang w:val="ru-RU" w:eastAsia="en-US" w:bidi="ar-SA"/>
              </w:rPr>
              <w:t>Финансовое состояние (устойчивость) Участника</w:t>
            </w:r>
          </w:p>
        </w:tc>
        <w:tc>
          <w:tcPr>
            <w:tcW w:w="1070" w:type="dxa"/>
            <w:tcBorders/>
            <w:shd w:fill="auto" w:val="clear"/>
          </w:tcPr>
          <w:p>
            <w:pPr>
              <w:pStyle w:val="Style30"/>
              <w:widowControl w:val="false"/>
              <w:suppressAutoHyphens w:val="true"/>
              <w:spacing w:before="60" w:after="60"/>
              <w:jc w:val="center"/>
              <w:rPr>
                <w:rFonts w:ascii="Times New Roman" w:hAnsi="Times New Roman" w:eastAsia="Calibri" w:cs=""/>
                <w:sz w:val="22"/>
                <w:szCs w:val="22"/>
                <w:lang w:val="ru-RU" w:eastAsia="en-US" w:bidi="ar-SA"/>
              </w:rPr>
            </w:pPr>
            <w:r>
              <w:rPr>
                <w:rFonts w:eastAsia="Calibri" w:cs=""/>
                <w:i/>
                <w:iCs/>
                <w:kern w:val="0"/>
                <w:sz w:val="22"/>
                <w:szCs w:val="22"/>
                <w:lang w:val="ru-RU" w:eastAsia="en-US" w:bidi="ar-SA"/>
              </w:rPr>
              <w:t>отсутствует</w:t>
            </w:r>
          </w:p>
        </w:tc>
        <w:tc>
          <w:tcPr>
            <w:tcW w:w="2046" w:type="dxa"/>
            <w:tcBorders/>
            <w:shd w:fill="auto" w:val="clear"/>
          </w:tcPr>
          <w:p>
            <w:pPr>
              <w:pStyle w:val="Normal"/>
              <w:widowControl w:val="false"/>
              <w:spacing w:before="60" w:after="60"/>
              <w:jc w:val="center"/>
              <w:rPr/>
            </w:pPr>
            <w:r>
              <w:rPr>
                <w:rStyle w:val="Style20"/>
                <w:rFonts w:eastAsia="Calibri" w:cs=""/>
                <w:i w:val="false"/>
                <w:iCs w:val="false"/>
                <w:kern w:val="0"/>
                <w:sz w:val="22"/>
                <w:szCs w:val="18"/>
                <w:shd w:fill="FFFFFF" w:val="clear"/>
                <w:lang w:val="ru-RU" w:eastAsia="en-US" w:bidi="ar-SA"/>
              </w:rPr>
              <w:t>5%</w:t>
              <w:br/>
              <w:t>(В</w:t>
            </w:r>
            <w:r>
              <w:rPr>
                <w:rStyle w:val="Style20"/>
                <w:rFonts w:eastAsia="Calibri" w:cs=""/>
                <w:i w:val="false"/>
                <w:iCs w:val="false"/>
                <w:kern w:val="0"/>
                <w:sz w:val="22"/>
                <w:szCs w:val="18"/>
                <w:shd w:fill="FFFFFF" w:val="clear"/>
                <w:vertAlign w:val="subscript"/>
                <w:lang w:val="ru-RU" w:eastAsia="en-US" w:bidi="ar-SA"/>
              </w:rPr>
              <w:t>3</w:t>
            </w:r>
            <w:r>
              <w:rPr>
                <w:rStyle w:val="Style20"/>
                <w:rFonts w:eastAsia="Calibri" w:cs=""/>
                <w:i w:val="false"/>
                <w:iCs w:val="false"/>
                <w:kern w:val="0"/>
                <w:sz w:val="22"/>
                <w:szCs w:val="18"/>
                <w:shd w:fill="FFFFFF" w:val="clear"/>
                <w:lang w:val="ru-RU" w:eastAsia="en-US" w:bidi="ar-SA"/>
              </w:rPr>
              <w:t xml:space="preserve"> = 0,05)</w:t>
            </w:r>
          </w:p>
        </w:tc>
        <w:tc>
          <w:tcPr>
            <w:tcW w:w="1813" w:type="dxa"/>
            <w:tcBorders/>
            <w:shd w:fill="auto" w:val="clear"/>
          </w:tcPr>
          <w:p>
            <w:pPr>
              <w:pStyle w:val="Style30"/>
              <w:widowControl w:val="false"/>
              <w:suppressAutoHyphens w:val="true"/>
              <w:spacing w:before="60" w:after="60"/>
              <w:jc w:val="center"/>
              <w:rPr>
                <w:rFonts w:ascii="Times New Roman" w:hAnsi="Times New Roman" w:eastAsia="Calibri" w:cs=""/>
                <w:sz w:val="22"/>
                <w:szCs w:val="22"/>
                <w:lang w:val="ru-RU" w:eastAsia="en-US" w:bidi="ar-SA"/>
              </w:rPr>
            </w:pPr>
            <w:r>
              <w:rPr>
                <w:rFonts w:eastAsia="Calibri" w:cs=""/>
                <w:kern w:val="0"/>
                <w:sz w:val="22"/>
                <w:szCs w:val="22"/>
                <w:lang w:val="ru-RU" w:eastAsia="en-US" w:bidi="ar-SA"/>
              </w:rPr>
              <w:t>Чем выше результат оценки финансового состояния (устойчивости) Участника, тем выше предпочтительность</w:t>
            </w:r>
          </w:p>
        </w:tc>
        <w:tc>
          <w:tcPr>
            <w:tcW w:w="5559" w:type="dxa"/>
            <w:tcBorders/>
            <w:shd w:fill="auto" w:val="clear"/>
          </w:tcPr>
          <w:p>
            <w:pPr>
              <w:pStyle w:val="Normal"/>
              <w:widowControl w:val="false"/>
              <w:spacing w:before="120" w:after="0"/>
              <w:rPr>
                <w:sz w:val="22"/>
                <w:szCs w:val="22"/>
              </w:rPr>
            </w:pPr>
            <w:r>
              <w:rPr>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contextualSpacing/>
              <w:rPr>
                <w:sz w:val="22"/>
                <w:szCs w:val="22"/>
              </w:rPr>
            </w:pPr>
            <w:r>
              <w:rPr>
                <w:sz w:val="22"/>
                <w:szCs w:val="22"/>
              </w:rPr>
              <w:t xml:space="preserve">Порядок осуществления оценки (значение оцениваемого параметра), в зависимости от полученного Участником (с </w:t>
            </w:r>
            <w:r>
              <w:rPr>
                <w:i/>
                <w:sz w:val="22"/>
                <w:szCs w:val="22"/>
                <w:lang w:val="en-US"/>
              </w:rPr>
              <w:t>i</w:t>
            </w:r>
            <w:r>
              <w:rPr>
                <w:sz w:val="22"/>
                <w:szCs w:val="22"/>
              </w:rPr>
              <w:t xml:space="preserve">-ой заявкой) значения расчетного балла </w:t>
            </w:r>
            <w:bookmarkStart w:id="386" w:name="_Hlk140493522"/>
            <w:r>
              <w:rPr>
                <w:sz w:val="22"/>
                <w:szCs w:val="22"/>
              </w:rPr>
              <w:t>(интегрального показателя финансового состояния)</w:t>
            </w:r>
            <w:bookmarkEnd w:id="386"/>
            <w:r>
              <w:rPr>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pacing w:before="120" w:after="0"/>
              <w:ind w:left="62" w:hanging="0"/>
              <w:contextualSpacing/>
              <w:rPr>
                <w:sz w:val="22"/>
                <w:szCs w:val="22"/>
              </w:rPr>
            </w:pPr>
            <w:r>
              <w:rPr>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4"/>
            </w:r>
            <w:r>
              <w:rPr>
                <w:rFonts w:eastAsia="Calibri"/>
                <w:sz w:val="22"/>
                <w:szCs w:val="22"/>
              </w:rPr>
              <w:t xml:space="preserve"> установлен Приложением №4 к Положению об аккредитации;</w:t>
            </w:r>
          </w:p>
          <w:p>
            <w:pPr>
              <w:pStyle w:val="Normal"/>
              <w:widowControl w:val="false"/>
              <w:spacing w:before="120" w:after="0"/>
              <w:ind w:left="62" w:hanging="0"/>
              <w:contextualSpacing/>
              <w:rPr/>
            </w:pPr>
            <w:r>
              <w:rPr>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6">
              <w:r>
                <w:rPr>
                  <w:rStyle w:val="11"/>
                  <w:rFonts w:eastAsia="Calibri"/>
                  <w:sz w:val="22"/>
                  <w:szCs w:val="22"/>
                </w:rPr>
                <w:t>https://bo.nalog.ru</w:t>
              </w:r>
            </w:hyperlink>
            <w:r>
              <w:rPr>
                <w:rFonts w:eastAsia="Calibri"/>
                <w:sz w:val="22"/>
                <w:szCs w:val="22"/>
              </w:rPr>
              <w:t xml:space="preserve">) за предыдущий отчетный период (год) </w:t>
            </w:r>
            <w:r>
              <w:rPr>
                <w:sz w:val="22"/>
                <w:szCs w:val="22"/>
              </w:rPr>
              <w:t>по состоянию на дату окончания срока подачи заявок</w:t>
            </w:r>
            <w:r>
              <w:rPr>
                <w:rFonts w:eastAsia="Calibri"/>
                <w:sz w:val="22"/>
                <w:szCs w:val="22"/>
              </w:rPr>
              <w:t>.</w:t>
            </w:r>
          </w:p>
          <w:p>
            <w:pPr>
              <w:pStyle w:val="Normal"/>
              <w:widowControl w:val="false"/>
              <w:spacing w:before="120" w:after="0"/>
              <w:contextualSpacing/>
              <w:rPr>
                <w:sz w:val="22"/>
                <w:szCs w:val="22"/>
              </w:rPr>
            </w:pPr>
            <w:r>
              <w:rPr>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sz w:val="22"/>
                <w:szCs w:val="22"/>
              </w:rPr>
              <w:t xml:space="preserve">(по формам ОКУД 0710001, 0710002) </w:t>
            </w:r>
            <w:r>
              <w:rPr>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pacing w:before="120" w:after="0"/>
              <w:ind w:hanging="0"/>
              <w:contextualSpacing/>
              <w:rPr>
                <w:sz w:val="22"/>
                <w:szCs w:val="22"/>
              </w:rPr>
            </w:pPr>
            <w:r>
              <w:rPr>
                <w:sz w:val="22"/>
                <w:szCs w:val="22"/>
              </w:rPr>
              <w:t>Если Участник в соответствии с законодательством формирует отчетность по </w:t>
            </w:r>
            <w:r>
              <w:rPr>
                <w:rFonts w:eastAsia="Calibri"/>
                <w:sz w:val="22"/>
                <w:szCs w:val="22"/>
              </w:rPr>
              <w:t>формам</w:t>
            </w:r>
            <w:r>
              <w:rPr>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ind w:left="344" w:hanging="0"/>
              <w:contextualSpacing/>
              <w:jc w:val="left"/>
              <w:rPr>
                <w:sz w:val="22"/>
                <w:szCs w:val="22"/>
              </w:rPr>
            </w:pPr>
            <w:r>
              <w:rPr>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ind w:left="344" w:hanging="0"/>
              <w:contextualSpacing/>
              <w:jc w:val="left"/>
              <w:rPr>
                <w:sz w:val="22"/>
                <w:szCs w:val="22"/>
              </w:rPr>
            </w:pPr>
            <w:r>
              <w:rPr>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contextualSpacing/>
              <w:jc w:val="both"/>
              <w:rPr>
                <w:sz w:val="22"/>
                <w:szCs w:val="22"/>
              </w:rPr>
            </w:pPr>
            <w:r>
              <w:rPr>
                <w:rFonts w:eastAsia="Calibri" w:cs=""/>
                <w:color w:val="000000"/>
                <w:kern w:val="0"/>
                <w:sz w:val="22"/>
                <w:szCs w:val="22"/>
                <w:lang w:val="ru-RU" w:eastAsia="en-US" w:bidi="ar-SA"/>
              </w:rPr>
              <w:t>Оценка предпочтительности по частному критерию осуществляется в соответствии со следующей шкалой:</w:t>
            </w:r>
          </w:p>
          <w:tbl>
            <w:tblPr>
              <w:tblStyle w:val="af8"/>
              <w:tblW w:w="5100"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785"/>
              <w:gridCol w:w="4314"/>
            </w:tblGrid>
            <w:tr>
              <w:trPr>
                <w:cnfStyle w:val="100000000000" w:firstRow="1" w:lastRow="0" w:firstColumn="0" w:lastColumn="0" w:oddVBand="0" w:evenVBand="0" w:oddHBand="0" w:evenHBand="0" w:firstRowFirstColumn="0" w:firstRowLastColumn="0" w:lastRowFirstColumn="0" w:lastRowLastColumn="0"/>
              </w:trPr>
              <w:tc>
                <w:tcPr>
                  <w:tcW w:w="785" w:type="dxa"/>
                  <w:tcBorders/>
                  <w:shd w:fill="auto" w:val="clear"/>
                </w:tcPr>
                <w:p>
                  <w:pPr>
                    <w:pStyle w:val="Style30"/>
                    <w:keepNext w:val="false"/>
                    <w:keepLines w:val="false"/>
                    <w:widowControl w:val="false"/>
                    <w:suppressAutoHyphens w:val="true"/>
                    <w:spacing w:before="60" w:after="60"/>
                    <w:jc w:val="center"/>
                    <w:rPr>
                      <w:rFonts w:ascii="Times New Roman" w:hAnsi="Times New Roman" w:eastAsia="Calibri" w:cs=""/>
                      <w:sz w:val="22"/>
                      <w:szCs w:val="22"/>
                      <w:lang w:val="ru-RU" w:eastAsia="en-US" w:bidi="ar-SA"/>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4314" w:type="dxa"/>
                  <w:tcBorders/>
                  <w:shd w:fill="auto" w:val="clear"/>
                  <w:tcMar>
                    <w:left w:w="52" w:type="dxa"/>
                  </w:tcMar>
                </w:tcPr>
                <w:p>
                  <w:pPr>
                    <w:pStyle w:val="Style30"/>
                    <w:keepNext w:val="true"/>
                    <w:keepLines w:val="false"/>
                    <w:widowControl w:val="false"/>
                    <w:suppressAutoHyphens w:val="true"/>
                    <w:spacing w:before="60" w:after="60"/>
                    <w:jc w:val="center"/>
                    <w:rPr>
                      <w:rFonts w:ascii="Times New Roman" w:hAnsi="Times New Roman" w:eastAsia="Calibri" w:cs=""/>
                      <w:sz w:val="22"/>
                      <w:szCs w:val="22"/>
                      <w:lang w:val="ru-RU" w:eastAsia="en-US" w:bidi="ar-SA"/>
                    </w:rPr>
                  </w:pPr>
                  <w:r>
                    <w:rPr>
                      <w:rFonts w:eastAsia="Calibri" w:cs=""/>
                      <w:b w:val="false"/>
                      <w:kern w:val="0"/>
                      <w:sz w:val="22"/>
                      <w:szCs w:val="22"/>
                      <w:lang w:val="ru-RU" w:eastAsia="en-US" w:bidi="ar-SA"/>
                    </w:rPr>
                    <w:t>результат оценки финансового состояния (устойчивости): менее 0,45 баллов – Кризисное финансовое состояние</w:t>
                  </w:r>
                </w:p>
                <w:p>
                  <w:pPr>
                    <w:pStyle w:val="Style30"/>
                    <w:keepNext w:val="true"/>
                    <w:keepLines w:val="false"/>
                    <w:widowControl w:val="false"/>
                    <w:suppressAutoHyphens w:val="true"/>
                    <w:spacing w:before="60" w:after="60"/>
                    <w:jc w:val="center"/>
                    <w:rPr>
                      <w:rFonts w:ascii="Times New Roman" w:hAnsi="Times New Roman" w:eastAsia="Calibri" w:cs=""/>
                      <w:sz w:val="22"/>
                      <w:szCs w:val="22"/>
                      <w:lang w:val="ru-RU" w:eastAsia="en-US" w:bidi="ar-SA"/>
                    </w:rPr>
                  </w:pPr>
                  <w:r>
                    <w:rPr>
                      <w:rFonts w:eastAsia="Calibri" w:cs=""/>
                      <w:b w:val="false"/>
                      <w:i/>
                      <w:iCs/>
                      <w:kern w:val="0"/>
                      <w:sz w:val="22"/>
                      <w:szCs w:val="22"/>
                      <w:lang w:val="ru-RU" w:eastAsia="en-US" w:bidi="ar-SA"/>
                    </w:rPr>
                    <w:t>или</w:t>
                  </w:r>
                </w:p>
                <w:p>
                  <w:pPr>
                    <w:pStyle w:val="Style30"/>
                    <w:keepNext w:val="true"/>
                    <w:keepLines w:val="false"/>
                    <w:widowControl w:val="false"/>
                    <w:suppressAutoHyphens w:val="true"/>
                    <w:spacing w:before="60" w:after="60"/>
                    <w:jc w:val="center"/>
                    <w:rPr>
                      <w:rFonts w:ascii="Times New Roman" w:hAnsi="Times New Roman" w:eastAsia="Calibri" w:cs=""/>
                      <w:sz w:val="22"/>
                      <w:szCs w:val="22"/>
                      <w:lang w:val="ru-RU" w:eastAsia="en-US" w:bidi="ar-SA"/>
                    </w:rPr>
                  </w:pPr>
                  <w:r>
                    <w:rPr>
                      <w:rFonts w:eastAsia="Calibri" w:cs=""/>
                      <w:b w:val="false"/>
                      <w:kern w:val="0"/>
                      <w:sz w:val="22"/>
                      <w:szCs w:val="22"/>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30"/>
                    <w:keepNext w:val="true"/>
                    <w:keepLines w:val="false"/>
                    <w:widowControl w:val="false"/>
                    <w:numPr>
                      <w:ilvl w:val="0"/>
                      <w:numId w:val="2"/>
                    </w:numPr>
                    <w:suppressAutoHyphens w:val="true"/>
                    <w:spacing w:before="60" w:after="60"/>
                    <w:ind w:left="142" w:hanging="142"/>
                    <w:jc w:val="both"/>
                    <w:rPr/>
                  </w:pPr>
                  <w:r>
                    <w:rPr>
                      <w:rFonts w:eastAsia="Calibri" w:cs=""/>
                      <w:b w:val="false"/>
                      <w:kern w:val="0"/>
                      <w:sz w:val="22"/>
                      <w:szCs w:val="22"/>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30"/>
                    <w:keepNext w:val="false"/>
                    <w:keepLines w:val="false"/>
                    <w:widowControl w:val="false"/>
                    <w:numPr>
                      <w:ilvl w:val="0"/>
                      <w:numId w:val="2"/>
                    </w:numPr>
                    <w:suppressAutoHyphens w:val="true"/>
                    <w:spacing w:before="60" w:after="60"/>
                    <w:ind w:left="142" w:hanging="142"/>
                    <w:jc w:val="both"/>
                    <w:rPr/>
                  </w:pPr>
                  <w:r>
                    <w:rPr>
                      <w:rFonts w:eastAsia="Calibri" w:cs=""/>
                      <w:b w:val="false"/>
                      <w:kern w:val="0"/>
                      <w:sz w:val="22"/>
                      <w:szCs w:val="22"/>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5" w:type="dxa"/>
                  <w:tcBorders/>
                  <w:shd w:fill="auto" w:val="clear"/>
                </w:tcPr>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4314" w:type="dxa"/>
                  <w:tcBorders/>
                  <w:shd w:fill="auto" w:val="clear"/>
                  <w:tcMar>
                    <w:left w:w="52" w:type="dxa"/>
                  </w:tcMar>
                </w:tcPr>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Fonts w:eastAsia="Calibri" w:cs=""/>
                      <w:kern w:val="0"/>
                      <w:sz w:val="22"/>
                      <w:szCs w:val="22"/>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5" w:type="dxa"/>
                  <w:tcBorders/>
                  <w:shd w:fill="auto" w:val="clear"/>
                </w:tcPr>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4314" w:type="dxa"/>
                  <w:tcBorders/>
                  <w:shd w:fill="auto" w:val="clear"/>
                  <w:tcMar>
                    <w:left w:w="52" w:type="dxa"/>
                  </w:tcMar>
                </w:tcPr>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Fonts w:eastAsia="Calibri" w:cs=""/>
                      <w:kern w:val="0"/>
                      <w:sz w:val="22"/>
                      <w:szCs w:val="22"/>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30"/>
              <w:widowControl w:val="false"/>
              <w:suppressAutoHyphens w:val="true"/>
              <w:spacing w:before="40" w:after="40"/>
              <w:jc w:val="left"/>
              <w:rPr>
                <w:rFonts w:ascii="Times New Roman" w:hAnsi="Times New Roman" w:eastAsia="Calibri" w:cs=""/>
                <w:sz w:val="22"/>
                <w:szCs w:val="22"/>
                <w:lang w:val="ru-RU" w:eastAsia="en-US" w:bidi="ar-SA"/>
              </w:rPr>
            </w:pPr>
            <w:r>
              <w:rPr>
                <w:rFonts w:eastAsia="Calibri" w:cs=""/>
                <w:kern w:val="0"/>
                <w:sz w:val="22"/>
                <w:szCs w:val="22"/>
                <w:lang w:val="ru-RU" w:eastAsia="en-US" w:bidi="ar-SA"/>
              </w:rPr>
              <w:t>где:</w:t>
            </w:r>
          </w:p>
          <w:p>
            <w:pPr>
              <w:pStyle w:val="Style30"/>
              <w:widowControl w:val="false"/>
              <w:suppressAutoHyphens w:val="true"/>
              <w:spacing w:before="40" w:after="40"/>
              <w:jc w:val="left"/>
              <w:rPr>
                <w:rFonts w:ascii="Times New Roman" w:hAnsi="Times New Roman" w:eastAsia="Calibri" w:cs=""/>
                <w:sz w:val="22"/>
                <w:szCs w:val="22"/>
                <w:lang w:val="ru-RU" w:eastAsia="en-US" w:bidi="ar-SA"/>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
                <w:kern w:val="0"/>
                <w:sz w:val="22"/>
                <w:szCs w:val="22"/>
                <w:lang w:val="ru-RU" w:eastAsia="en-US" w:bidi="ar-SA"/>
              </w:rPr>
              <w:t xml:space="preserve"> – </w:t>
            </w:r>
            <w:r>
              <w:rPr>
                <w:rFonts w:eastAsia="Calibri" w:cs=""/>
                <w:kern w:val="0"/>
                <w:sz w:val="22"/>
                <w:szCs w:val="22"/>
                <w:lang w:val="ru-RU" w:eastAsia="en-US" w:bidi="ar-SA"/>
              </w:rPr>
              <w:t>рассчитанная оценка предпочтительности по частному критерию оценки в баллах.</w:t>
            </w:r>
          </w:p>
          <w:p>
            <w:pPr>
              <w:pStyle w:val="Style30"/>
              <w:widowControl w:val="false"/>
              <w:suppressAutoHyphens w:val="true"/>
              <w:spacing w:before="40" w:after="40"/>
              <w:jc w:val="left"/>
              <w:rPr>
                <w:rFonts w:ascii="Times New Roman" w:hAnsi="Times New Roman" w:eastAsia="Calibri" w:cs=""/>
                <w:sz w:val="22"/>
                <w:szCs w:val="22"/>
                <w:lang w:val="ru-RU" w:eastAsia="en-US" w:bidi="ar-SA"/>
              </w:rPr>
            </w:pPr>
            <w:r>
              <w:rPr>
                <w:rFonts w:eastAsia="Calibri" w:cs=""/>
                <w:kern w:val="0"/>
                <w:sz w:val="22"/>
                <w:szCs w:val="22"/>
                <w:lang w:val="ru-RU" w:eastAsia="en-US" w:bidi="ar-SA"/>
              </w:rPr>
              <w:t>Шкала оценок от 0 до 5 баллов.</w:t>
            </w:r>
          </w:p>
          <w:p>
            <w:pPr>
              <w:pStyle w:val="Style30"/>
              <w:widowControl w:val="false"/>
              <w:spacing w:before="40" w:after="40"/>
              <w:jc w:val="left"/>
              <w:rPr>
                <w:rFonts w:ascii="Times New Roman" w:hAnsi="Times New Roman" w:eastAsia="Calibri" w:cs=""/>
                <w:kern w:val="0"/>
                <w:sz w:val="22"/>
                <w:szCs w:val="22"/>
                <w:lang w:val="ru-RU" w:eastAsia="en-US" w:bidi="ar-SA"/>
              </w:rPr>
            </w:pPr>
            <w:r>
              <w:rPr>
                <w:rFonts w:eastAsia="Calibri" w:cs=""/>
                <w:i/>
                <w:iCs/>
                <w:kern w:val="0"/>
                <w:sz w:val="22"/>
                <w:szCs w:val="22"/>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120" w:type="dxa"/>
            <w:gridSpan w:val="4"/>
            <w:tcBorders/>
            <w:shd w:fill="auto" w:val="clear"/>
          </w:tcPr>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Fonts w:eastAsia="Calibri" w:cs=""/>
                <w:kern w:val="0"/>
                <w:sz w:val="22"/>
                <w:szCs w:val="22"/>
                <w:lang w:val="ru-RU" w:eastAsia="en-US" w:bidi="ar-SA"/>
              </w:rPr>
              <w:t>Итоговая оценка предпочтительности заявки:</w:t>
            </w:r>
          </w:p>
        </w:tc>
        <w:tc>
          <w:tcPr>
            <w:tcW w:w="9418" w:type="dxa"/>
            <w:gridSpan w:val="3"/>
            <w:tcBorders/>
            <w:shd w:fill="auto" w:val="clear"/>
          </w:tcPr>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Fonts w:eastAsia="Calibri" w:cs=""/>
                <w:kern w:val="0"/>
                <w:sz w:val="22"/>
                <w:szCs w:val="22"/>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
                <w:kern w:val="0"/>
                <w:sz w:val="22"/>
                <w:szCs w:val="22"/>
                <w:lang w:val="ru-RU" w:eastAsia="en-US" w:bidi="ar-SA"/>
              </w:rPr>
              <w:t>-ой заявки:</w:t>
            </w:r>
          </w:p>
          <w:p>
            <w:pPr>
              <w:pStyle w:val="Style30"/>
              <w:widowControl w:val="false"/>
              <w:suppressAutoHyphens w:val="true"/>
              <w:spacing w:before="60" w:after="60"/>
              <w:jc w:val="center"/>
              <w:rPr>
                <w:rFonts w:ascii="Times New Roman" w:hAnsi="Times New Roman" w:eastAsia="Calibri" w:cs=""/>
                <w:sz w:val="22"/>
                <w:szCs w:val="22"/>
                <w:lang w:eastAsia="en-US" w:bidi="ar-SA"/>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Fonts w:eastAsia="Calibri" w:cs=""/>
                <w:kern w:val="0"/>
                <w:sz w:val="22"/>
                <w:szCs w:val="22"/>
                <w:lang w:val="ru-RU" w:eastAsia="en-US" w:bidi="ar-SA"/>
              </w:rPr>
              <w:t>где:</w:t>
            </w:r>
          </w:p>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
                <w:kern w:val="0"/>
                <w:sz w:val="22"/>
                <w:szCs w:val="22"/>
                <w:lang w:val="ru-RU" w:eastAsia="en-US" w:bidi="ar-SA"/>
              </w:rPr>
              <w:t xml:space="preserve"> – </w:t>
            </w:r>
            <w:r>
              <w:rPr>
                <w:rFonts w:eastAsia="Calibri" w:cs=""/>
                <w:kern w:val="0"/>
                <w:sz w:val="22"/>
                <w:szCs w:val="22"/>
                <w:lang w:val="ru-RU" w:eastAsia="en-US" w:bidi="ar-SA"/>
              </w:rPr>
              <w:t>рассчитанная итоговая оценка предпочтительности в баллах;</w:t>
            </w:r>
          </w:p>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22"/>
                <w:szCs w:val="22"/>
                <w:lang w:val="ru-RU" w:eastAsia="en-US" w:bidi="ar-SA"/>
              </w:rPr>
              <w:t xml:space="preserve"> – </w:t>
            </w:r>
            <w:r>
              <w:rPr>
                <w:rFonts w:eastAsia="Calibri" w:cs=""/>
                <w:kern w:val="0"/>
                <w:sz w:val="22"/>
                <w:szCs w:val="22"/>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
                <w:kern w:val="0"/>
                <w:sz w:val="22"/>
                <w:szCs w:val="22"/>
                <w:lang w:val="ru-RU" w:eastAsia="en-US" w:bidi="ar-SA"/>
              </w:rPr>
              <w:t>-тому критерию оценки первого уровня в баллах;</w:t>
            </w:r>
          </w:p>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22"/>
                <w:szCs w:val="22"/>
                <w:lang w:val="ru-RU" w:eastAsia="en-US" w:bidi="ar-SA"/>
              </w:rPr>
              <w:t xml:space="preserve"> – </w:t>
            </w:r>
            <w:r>
              <w:rPr>
                <w:rFonts w:eastAsia="Calibri" w:cs=""/>
                <w:kern w:val="0"/>
                <w:sz w:val="22"/>
                <w:szCs w:val="22"/>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
                <w:kern w:val="0"/>
                <w:sz w:val="22"/>
                <w:szCs w:val="22"/>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
                <w:kern w:val="0"/>
                <w:sz w:val="22"/>
                <w:szCs w:val="22"/>
                <w:lang w:val="ru-RU" w:eastAsia="en-US" w:bidi="ar-SA"/>
              </w:rPr>
              <w:t>-ого критерия оценки первого уровня.</w:t>
            </w:r>
          </w:p>
          <w:p>
            <w:pPr>
              <w:pStyle w:val="Style30"/>
              <w:widowControl w:val="false"/>
              <w:suppressAutoHyphens w:val="true"/>
              <w:spacing w:before="60" w:after="60"/>
              <w:jc w:val="left"/>
              <w:rPr>
                <w:rFonts w:ascii="Times New Roman" w:hAnsi="Times New Roman" w:eastAsia="Calibri" w:cs=""/>
                <w:sz w:val="22"/>
                <w:szCs w:val="22"/>
                <w:lang w:val="ru-RU" w:eastAsia="en-US" w:bidi="ar-SA"/>
              </w:rPr>
            </w:pPr>
            <w:r>
              <w:rPr>
                <w:rFonts w:eastAsia="Calibri" w:cs=""/>
                <w:i/>
                <w:iCs/>
                <w:kern w:val="0"/>
                <w:sz w:val="22"/>
                <w:szCs w:val="22"/>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Normal"/>
        <w:rPr/>
      </w:pPr>
      <w:r>
        <w:rPr/>
      </w:r>
    </w:p>
    <w:p>
      <w:pPr>
        <w:pStyle w:val="Style26"/>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4.17</w:t>
      </w:r>
      <w:r>
        <w:rPr/>
        <w:fldChar w:fldCharType="end"/>
      </w:r>
      <w:r>
        <w:rPr/>
        <w:t>.</w:t>
      </w:r>
    </w:p>
    <w:p>
      <w:pPr>
        <w:pStyle w:val="Style33"/>
        <w:keepNext w:val="true"/>
        <w:rPr/>
      </w:pPr>
      <w:r>
        <w:rPr/>
      </w:r>
    </w:p>
    <w:p>
      <w:pPr>
        <w:sectPr>
          <w:headerReference w:type="default" r:id="rId37"/>
          <w:headerReference w:type="first" r:id="rId38"/>
          <w:footerReference w:type="default" r:id="rId39"/>
          <w:footerReference w:type="first" r:id="rId4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87" w:name="_Ref125360420"/>
      <w:bookmarkStart w:id="388" w:name="_Toc228876904"/>
      <w:bookmarkStart w:id="389" w:name="Прил09_ОбоснованиеНМЦ"/>
      <w:bookmarkEnd w:id="389"/>
      <w:r>
        <w:rPr/>
        <w:t>Приложение № 9 – Обоснование НМЦ</w:t>
      </w:r>
      <w:bookmarkEnd w:id="387"/>
      <w:bookmarkEnd w:id="388"/>
    </w:p>
    <w:p>
      <w:pPr>
        <w:pStyle w:val="Style25"/>
        <w:rPr/>
      </w:pPr>
      <w:bookmarkStart w:id="390" w:name="_Toc228876905"/>
      <w:r>
        <w:rPr/>
        <w:t>Пояснения к Обоснованию НМЦ</w:t>
      </w:r>
      <w:bookmarkEnd w:id="390"/>
    </w:p>
    <w:p>
      <w:pPr>
        <w:pStyle w:val="Style26"/>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1" w:name="_Toc228876906"/>
      <w:bookmarkStart w:id="392" w:name="Прил10_ФормаЗаявкиНаАккредитацию"/>
      <w:bookmarkEnd w:id="392"/>
      <w:r>
        <w:rPr/>
        <w:t>Приложение № 10 – Форма Заявки на аккредитацию</w:t>
      </w:r>
      <w:bookmarkEnd w:id="391"/>
    </w:p>
    <w:p>
      <w:pPr>
        <w:pStyle w:val="Style25"/>
        <w:rPr/>
      </w:pPr>
      <w:bookmarkStart w:id="393" w:name="_Toc228876907"/>
      <w:r>
        <w:rPr/>
        <w:t>Пояснения к форме Заявки на аккредитацию</w:t>
      </w:r>
      <w:bookmarkEnd w:id="393"/>
    </w:p>
    <w:p>
      <w:pPr>
        <w:pStyle w:val="Style26"/>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4"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4"/>
      <w:r>
        <w:rPr/>
        <w:t>.</w:t>
      </w:r>
    </w:p>
    <w:p>
      <w:pPr>
        <w:pStyle w:val="Style30"/>
        <w:jc w:val="center"/>
        <w:rPr/>
      </w:pPr>
      <w:r>
        <w:rPr/>
        <w:object>
          <v:shapetype id="_x0000_tole_rId41" coordsize="21600,21600" o:spt="ole_rId4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1" type="_x0000_tole_rId41" style="width:72pt;height:50.8pt;mso-wrap-distance-right:0pt" filled="f" o:ole="">
            <v:imagedata r:id="rId42" o:title=""/>
          </v:shape>
          <o:OLEObject Type="Embed" ProgID="Excel.Sheet.12" ShapeID="ole_rId41" DrawAspect="Icon" ObjectID="_1873494706" r:id="rId41"/>
        </w:object>
      </w:r>
    </w:p>
    <w:p>
      <w:pPr>
        <w:pStyle w:val="Normal"/>
        <w:rPr/>
      </w:pPr>
      <w:r>
        <w:rPr/>
      </w:r>
    </w:p>
    <w:p>
      <w:pPr>
        <w:pStyle w:val="Style24"/>
        <w:rPr/>
      </w:pPr>
      <w:bookmarkStart w:id="395" w:name="_Toc228876908"/>
      <w:bookmarkStart w:id="396" w:name="Прил11_Данные_бухотчетность"/>
      <w:r>
        <w:rPr/>
        <w:t xml:space="preserve">Приложение № 11 </w:t>
      </w:r>
      <w:bookmarkEnd w:id="396"/>
      <w:r>
        <w:rPr/>
        <w:t>– форма Данных бухгалтерской (финансовой) отчетности</w:t>
      </w:r>
      <w:bookmarkEnd w:id="395"/>
    </w:p>
    <w:p>
      <w:pPr>
        <w:pStyle w:val="Style25"/>
        <w:rPr/>
      </w:pPr>
      <w:bookmarkStart w:id="397" w:name="_Toc228876909"/>
      <w:r>
        <w:rPr/>
        <w:t>Пояснения к форме Данных бухгалтерской (финансовой) отчетности</w:t>
      </w:r>
      <w:bookmarkEnd w:id="397"/>
      <w:r>
        <w:rPr/>
        <w:t xml:space="preserve"> </w:t>
      </w:r>
    </w:p>
    <w:p>
      <w:pPr>
        <w:pStyle w:val="Style26"/>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398" w:name="_MON_1821256687"/>
      <w:bookmarkStart w:id="399" w:name="_MON_1821256687"/>
      <w:bookmarkEnd w:id="399"/>
    </w:p>
    <w:p>
      <w:pPr>
        <w:pStyle w:val="Normal"/>
        <w:jc w:val="center"/>
        <w:rPr/>
      </w:pPr>
      <w:bookmarkStart w:id="400" w:name="_Hlk210644436"/>
      <w:bookmarkStart w:id="401" w:name="_MON_1821256687_Копия_1"/>
      <w:bookmarkEnd w:id="401"/>
      <w:r>
        <w:rPr/>
        <w:object>
          <v:shapetype id="_x0000_tole_rId43" coordsize="21600,21600" o:spt="ole_rId4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3" type="_x0000_tole_rId43" style="width:78.65pt;height:50.8pt;mso-wrap-distance-right:0pt" filled="f" o:ole="">
            <v:imagedata r:id="rId44" o:title=""/>
          </v:shape>
          <o:OLEObject Type="Embed" ProgID="Word.Document.12" ShapeID="ole_rId43" DrawAspect="Icon" ObjectID="_207343638" r:id="rId43"/>
        </w:object>
      </w:r>
      <w:bookmarkEnd w:id="400"/>
    </w:p>
    <w:p>
      <w:pPr>
        <w:pStyle w:val="Normal"/>
        <w:jc w:val="center"/>
        <w:rPr/>
      </w:pPr>
      <w:r>
        <w:rPr/>
      </w:r>
    </w:p>
    <w:sectPr>
      <w:headerReference w:type="default" r:id="rId45"/>
      <w:headerReference w:type="first" r:id="rId46"/>
      <w:footerReference w:type="default" r:id="rId47"/>
      <w:footerReference w:type="first" r:id="rId4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79625176"/>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3386669"/>
    </w:sdtPr>
    <w:sdtContent>
      <w:p>
        <w:pPr>
          <w:pStyle w:val="Footer"/>
          <w:spacing w:before="120" w:after="0"/>
          <w:rPr/>
        </w:pPr>
        <w:r>
          <w:rPr/>
          <w:fldChar w:fldCharType="begin"/>
        </w:r>
        <w:r>
          <w:rPr/>
          <w:instrText xml:space="preserve"> PAGE </w:instrText>
        </w:r>
        <w:r>
          <w:rPr/>
          <w:fldChar w:fldCharType="separate"/>
        </w:r>
        <w:r>
          <w:rPr/>
          <w:t>24</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98208802"/>
    </w:sdtPr>
    <w:sdtContent>
      <w:p>
        <w:pPr>
          <w:pStyle w:val="Footer"/>
          <w:spacing w:before="120" w:after="0"/>
          <w:rPr/>
        </w:pPr>
        <w:r>
          <w:rPr/>
          <w:fldChar w:fldCharType="begin"/>
        </w:r>
        <w:r>
          <w:rPr/>
          <w:instrText xml:space="preserve"> PAGE </w:instrText>
        </w:r>
        <w:r>
          <w:rPr/>
          <w:fldChar w:fldCharType="separate"/>
        </w:r>
        <w:r>
          <w:rPr/>
          <w:t>55</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92026664"/>
    </w:sdtPr>
    <w:sdtContent>
      <w:p>
        <w:pPr>
          <w:pStyle w:val="Footer"/>
          <w:spacing w:before="120" w:after="0"/>
          <w:rPr/>
        </w:pPr>
        <w:r>
          <w:rPr/>
          <w:fldChar w:fldCharType="begin"/>
        </w:r>
        <w:r>
          <w:rPr/>
          <w:instrText xml:space="preserve"> PAGE </w:instrText>
        </w:r>
        <w:r>
          <w:rPr/>
          <w:fldChar w:fldCharType="separate"/>
        </w:r>
        <w:r>
          <w:rPr/>
          <w:t>61</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4344272"/>
    </w:sdtPr>
    <w:sdtContent>
      <w:p>
        <w:pPr>
          <w:pStyle w:val="Footer"/>
          <w:spacing w:before="120" w:after="0"/>
          <w:rPr/>
        </w:pPr>
        <w:r>
          <w:rPr/>
          <w:fldChar w:fldCharType="begin"/>
        </w:r>
        <w:r>
          <w:rPr/>
          <w:instrText xml:space="preserve"> PAGE </w:instrText>
        </w:r>
        <w:r>
          <w:rPr/>
          <w:fldChar w:fldCharType="separate"/>
        </w:r>
        <w:r>
          <w:rPr/>
          <w:t>67</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50559333"/>
    </w:sdtPr>
    <w:sdtContent>
      <w:p>
        <w:pPr>
          <w:pStyle w:val="Footer"/>
          <w:spacing w:before="120" w:after="0"/>
          <w:rPr/>
        </w:pPr>
        <w:r>
          <w:rPr/>
          <w:fldChar w:fldCharType="begin"/>
        </w:r>
        <w:r>
          <w:rPr/>
          <w:instrText xml:space="preserve"> PAGE </w:instrText>
        </w:r>
        <w:r>
          <w:rPr/>
          <w:fldChar w:fldCharType="separate"/>
        </w:r>
        <w:r>
          <w:rPr/>
          <w:t>75</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8875584"/>
    </w:sdtPr>
    <w:sdtContent>
      <w:p>
        <w:pPr>
          <w:pStyle w:val="Footer"/>
          <w:spacing w:before="120" w:after="0"/>
          <w:rPr/>
        </w:pPr>
        <w:r>
          <w:rPr/>
          <w:fldChar w:fldCharType="begin"/>
        </w:r>
        <w:r>
          <w:rPr/>
          <w:instrText xml:space="preserve"> PAGE </w:instrText>
        </w:r>
        <w:r>
          <w:rPr/>
          <w:fldChar w:fldCharType="separate"/>
        </w:r>
        <w:r>
          <w:rPr/>
          <w:t>82</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079314729"/>
    </w:sdtPr>
    <w:sdtContent>
      <w:p>
        <w:pPr>
          <w:pStyle w:val="Footer"/>
          <w:spacing w:before="120" w:after="0"/>
          <w:rPr/>
        </w:pPr>
        <w:r>
          <w:rPr/>
          <w:fldChar w:fldCharType="begin"/>
        </w:r>
        <w:r>
          <w:rPr/>
          <w:instrText xml:space="preserve"> PAGE </w:instrText>
        </w:r>
        <w:r>
          <w:rPr/>
          <w:fldChar w:fldCharType="separate"/>
        </w:r>
        <w:r>
          <w:rPr/>
          <w:t>85</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4">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4.16</w:t>
      </w:r>
      <w:r>
        <w:rPr/>
        <w:fldChar w:fldCharType="end"/>
      </w:r>
      <w:r>
        <w:rPr/>
        <w:t>), не допускается.</w:t>
      </w:r>
    </w:p>
  </w:footnote>
  <w:footnote w:id="5">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6">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4.16</w:t>
      </w:r>
      <w:r>
        <w:rPr/>
        <w:fldChar w:fldCharType="end"/>
      </w:r>
      <w:r>
        <w:rPr/>
        <w:t>), не допускается.</w:t>
      </w:r>
    </w:p>
  </w:footnote>
  <w:footnote w:id="7">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32"/>
        <w:spacing w:before="80" w:after="0"/>
        <w:ind w:left="567" w:hanging="567"/>
        <w:jc w:val="both"/>
        <w:rPr/>
      </w:pPr>
      <w:r>
        <w:rPr>
          <w:rStyle w:val="Style10"/>
        </w:rPr>
        <w:footnoteRef/>
      </w:r>
      <w:r>
        <w:rPr/>
        <w:tab/>
        <w:t>https://minfin.gov.ru/ru/perfomance/tax_relations/policy/bankwarranty/</w:t>
      </w:r>
    </w:p>
  </w:footnote>
  <w:footnote w:id="12">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3">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4">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decimal"/>
      <w:lvlText w:val="%1."/>
      <w:lvlJc w:val="left"/>
      <w:pPr>
        <w:tabs>
          <w:tab w:val="num" w:pos="1134"/>
        </w:tabs>
        <w:ind w:left="1134" w:hanging="1134"/>
      </w:pPr>
      <w:rPr/>
    </w:lvl>
    <w:lvl w:ilvl="1">
      <w:start w:val="1"/>
      <w:pStyle w:val="Style25"/>
      <w:numFmt w:val="decimal"/>
      <w:lvlText w:val="%1.%2"/>
      <w:lvlJc w:val="left"/>
      <w:pPr>
        <w:tabs>
          <w:tab w:val="num" w:pos="1134"/>
        </w:tabs>
        <w:ind w:left="1134" w:hanging="1134"/>
      </w:pPr>
      <w:rPr/>
    </w:lvl>
    <w:lvl w:ilvl="2">
      <w:start w:val="1"/>
      <w:pStyle w:val="Style26"/>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Style28"/>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1a4817"/>
    <w:rPr>
      <w:rFonts w:ascii="Segoe UI" w:hAnsi="Segoe UI" w:cs="Segoe UI"/>
      <w:sz w:val="18"/>
      <w:szCs w:val="18"/>
    </w:rPr>
  </w:style>
  <w:style w:type="character" w:styleId="Style16" w:customStyle="1">
    <w:name w:val="РГ_ЕПоЗ_а) Знак"/>
    <w:basedOn w:val="DefaultParagraphFont"/>
    <w:link w:val="Style37"/>
    <w:qFormat/>
    <w:rsid w:val="00661d24"/>
    <w:rPr>
      <w:rFonts w:eastAsia="Calibri" w:cs="Times New Roman"/>
      <w:sz w:val="28"/>
      <w:szCs w:val="28"/>
    </w:rPr>
  </w:style>
  <w:style w:type="character" w:styleId="-" w:customStyle="1">
    <w:name w:val="РГ_ЕПоЗ_- Знак"/>
    <w:basedOn w:val="DefaultParagraphFont"/>
    <w:link w:val="-1"/>
    <w:qFormat/>
    <w:rsid w:val="00661d24"/>
    <w:rPr>
      <w:rFonts w:eastAsia="Times New Roman" w:cs="Times New Roman"/>
      <w:sz w:val="28"/>
      <w:szCs w:val="20"/>
      <w:lang w:eastAsia="ru-RU"/>
    </w:rPr>
  </w:style>
  <w:style w:type="character" w:styleId="Style17">
    <w:name w:val="Ссылка указателя"/>
    <w:qFormat/>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Style19">
    <w:name w:val="комментарий"/>
    <w:qFormat/>
    <w:rPr>
      <w:b/>
      <w:i/>
      <w:shd w:fill="FFFF99" w:val="clear"/>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character" w:styleId="11">
    <w:name w:val="Гиперссылка1"/>
    <w:qFormat/>
    <w:rPr>
      <w:color w:val="000080"/>
      <w:u w:val="single"/>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10"/>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1a4817"/>
    <w:pPr>
      <w:spacing w:before="0" w:after="0"/>
    </w:pPr>
    <w:rPr>
      <w:rFonts w:ascii="Segoe UI" w:hAnsi="Segoe UI" w:cs="Segoe UI"/>
      <w:sz w:val="18"/>
      <w:szCs w:val="18"/>
    </w:rPr>
  </w:style>
  <w:style w:type="paragraph" w:styleId="12" w:customStyle="1">
    <w:name w:val="РГ_ЕПоЗ_1."/>
    <w:basedOn w:val="Normal"/>
    <w:qFormat/>
    <w:rsid w:val="00661d24"/>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661d24"/>
    <w:pPr>
      <w:keepNext w:val="true"/>
      <w:numPr>
        <w:ilvl w:val="1"/>
        <w:numId w:val="16"/>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661d24"/>
    <w:pPr>
      <w:numPr>
        <w:ilvl w:val="4"/>
        <w:numId w:val="16"/>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661d24"/>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661d24"/>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661d24"/>
    <w:pPr>
      <w:numPr>
        <w:ilvl w:val="2"/>
        <w:numId w:val="16"/>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before="120" w:after="0"/>
      <w:contextualSpacing/>
      <w:jc w:val="both"/>
    </w:pPr>
    <w:rPr>
      <w:rFonts w:cs="Times New Roman"/>
      <w:szCs w:val="28"/>
    </w:rPr>
  </w:style>
  <w:style w:type="paragraph" w:styleId="-2">
    <w:name w:val="УРОВЕНЬ_-"/>
    <w:basedOn w:val="ListParagraph"/>
    <w:qFormat/>
    <w:pPr>
      <w:spacing w:lineRule="exact" w:line="360" w:before="120" w:after="0"/>
      <w:contextualSpacing/>
      <w:jc w:val="both"/>
      <w:outlineLvl w:val="4"/>
    </w:pPr>
    <w:rPr>
      <w:rFonts w:cs="Times New Roman"/>
      <w:szCs w:val="28"/>
    </w:rPr>
  </w:style>
  <w:style w:type="paragraph" w:styleId="22">
    <w:name w:val="УРОВЕНЬ_Абзац_тип2"/>
    <w:basedOn w:val="ListParagraph"/>
    <w:qFormat/>
    <w:pPr>
      <w:spacing w:lineRule="exact" w:line="360" w:before="120" w:after="0"/>
      <w:contextualSpacing/>
      <w:jc w:val="both"/>
    </w:pPr>
    <w:rPr>
      <w:rFonts w:cs="Times New Roman"/>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app/EtpDocList/page" TargetMode="External"/><Relationship Id="rId4" Type="http://schemas.openxmlformats.org/officeDocument/2006/relationships/hyperlink" Target="mailto:sherbakova-tv@drsk.ru" TargetMode="External"/><Relationship Id="rId5" Type="http://schemas.openxmlformats.org/officeDocument/2006/relationships/hyperlink" Target="mailto:sherbakova-tv@drsk.ru" TargetMode="External"/><Relationship Id="rId6" Type="http://schemas.openxmlformats.org/officeDocument/2006/relationships/hyperlink" Target="mailto:sherbakova-tv@drsk.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yperlink" Target="https://reestr.nostroy.ru/sro/all/member/list" TargetMode="Externa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6.xml"/><Relationship Id="rId23" Type="http://schemas.openxmlformats.org/officeDocument/2006/relationships/footer" Target="footer7.xml"/><Relationship Id="rId24" Type="http://schemas.openxmlformats.org/officeDocument/2006/relationships/package" Target="embeddings/oleObject2.docx"/><Relationship Id="rId25" Type="http://schemas.openxmlformats.org/officeDocument/2006/relationships/image" Target="media/image2.wmf"/><Relationship Id="rId26" Type="http://schemas.openxmlformats.org/officeDocument/2006/relationships/package" Target="embeddings/oleObject3.docx"/><Relationship Id="rId27" Type="http://schemas.openxmlformats.org/officeDocument/2006/relationships/image" Target="media/image3.wmf"/><Relationship Id="rId28" Type="http://schemas.openxmlformats.org/officeDocument/2006/relationships/header" Target="header8.xml"/><Relationship Id="rId29" Type="http://schemas.openxmlformats.org/officeDocument/2006/relationships/header" Target="header9.xml"/><Relationship Id="rId30" Type="http://schemas.openxmlformats.org/officeDocument/2006/relationships/footer" Target="footer8.xml"/><Relationship Id="rId31" Type="http://schemas.openxmlformats.org/officeDocument/2006/relationships/footer" Target="footer9.xm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hyperlink" Target="https://bo.nalog.ru/" TargetMode="External"/><Relationship Id="rId37" Type="http://schemas.openxmlformats.org/officeDocument/2006/relationships/header" Target="header12.xml"/><Relationship Id="rId38" Type="http://schemas.openxmlformats.org/officeDocument/2006/relationships/header" Target="header13.xml"/><Relationship Id="rId39" Type="http://schemas.openxmlformats.org/officeDocument/2006/relationships/footer" Target="footer12.xml"/><Relationship Id="rId40" Type="http://schemas.openxmlformats.org/officeDocument/2006/relationships/footer" Target="footer13.xml"/><Relationship Id="rId41" Type="http://schemas.openxmlformats.org/officeDocument/2006/relationships/package" Target="embeddings/oleObject4.xlsx"/><Relationship Id="rId42" Type="http://schemas.openxmlformats.org/officeDocument/2006/relationships/image" Target="media/image4.wmf"/><Relationship Id="rId43" Type="http://schemas.openxmlformats.org/officeDocument/2006/relationships/package" Target="embeddings/oleObject5.docx"/><Relationship Id="rId44" Type="http://schemas.openxmlformats.org/officeDocument/2006/relationships/image" Target="media/image5.wmf"/><Relationship Id="rId45" Type="http://schemas.openxmlformats.org/officeDocument/2006/relationships/header" Target="header14.xml"/><Relationship Id="rId46" Type="http://schemas.openxmlformats.org/officeDocument/2006/relationships/header" Target="header15.xml"/><Relationship Id="rId47" Type="http://schemas.openxmlformats.org/officeDocument/2006/relationships/footer" Target="footer14.xml"/><Relationship Id="rId48" Type="http://schemas.openxmlformats.org/officeDocument/2006/relationships/footer" Target="footer15.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Relationship Id="rId5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C1AF-64FD-491F-9134-B438E4BEA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580</TotalTime>
  <Application>AlterOffice/3.3.1.3$Linux_X86_64 LibreOffice_project/90d829a0d92d6015ad4fa014ce4f460a7fe6c0ba</Application>
  <AppVersion>15.0000</AppVersion>
  <Pages>85</Pages>
  <Words>20901</Words>
  <Characters>144304</Characters>
  <CharactersWithSpaces>162306</CharactersWithSpaces>
  <Paragraphs>1163</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scherbakova_tv</cp:lastModifiedBy>
  <cp:lastPrinted>2026-09-23T13:57:53Z</cp:lastPrinted>
  <dcterms:modified xsi:type="dcterms:W3CDTF">2026-09-24T13:45:46Z</dcterms:modified>
  <cp:revision>178</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