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</w:rPr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4" wp14:anchorId="7774C7C5">
                <wp:simplePos x="0" y="0"/>
                <wp:positionH relativeFrom="column">
                  <wp:posOffset>158115</wp:posOffset>
                </wp:positionH>
                <wp:positionV relativeFrom="paragraph">
                  <wp:posOffset>2504440</wp:posOffset>
                </wp:positionV>
                <wp:extent cx="800100" cy="133350"/>
                <wp:effectExtent l="0" t="0" r="0" b="0"/>
                <wp:wrapNone/>
                <wp:docPr id="1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path="m0,0l-2147483645,0l-2147483645,-2147483646l0,-2147483646xe" stroked="f" o:allowincell="f" style="position:absolute;margin-left:12.45pt;margin-top:197.2pt;width:62.95pt;height:10.45pt;mso-wrap-style:none;v-text-anchor:middle" wp14:anchorId="7774C7C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720EC4AF">
                <wp:simplePos x="0" y="0"/>
                <wp:positionH relativeFrom="column">
                  <wp:posOffset>306070</wp:posOffset>
                </wp:positionH>
                <wp:positionV relativeFrom="paragraph">
                  <wp:posOffset>2687320</wp:posOffset>
                </wp:positionV>
                <wp:extent cx="712470" cy="133350"/>
                <wp:effectExtent l="0" t="0" r="0" b="0"/>
                <wp:wrapNone/>
                <wp:docPr id="3" name="Text 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16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4" path="m0,0l-2147483645,0l-2147483645,-2147483646l0,-2147483646xe" stroked="f" o:allowincell="f" style="position:absolute;margin-left:24.1pt;margin-top:211.6pt;width:56.05pt;height:10.45pt;mso-wrap-style:square;v-text-anchor:top" wp14:anchorId="720EC4AF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16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8" wp14:anchorId="767CEF16">
                <wp:simplePos x="0" y="0"/>
                <wp:positionH relativeFrom="column">
                  <wp:posOffset>1224280</wp:posOffset>
                </wp:positionH>
                <wp:positionV relativeFrom="paragraph">
                  <wp:posOffset>2505710</wp:posOffset>
                </wp:positionV>
                <wp:extent cx="828040" cy="133350"/>
                <wp:effectExtent l="0" t="0" r="0" b="0"/>
                <wp:wrapNone/>
                <wp:docPr id="5" name="Text 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5" path="m0,0l-2147483645,0l-2147483645,-2147483646l0,-2147483646xe" stroked="f" o:allowincell="f" style="position:absolute;margin-left:96.4pt;margin-top:197.3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635" distB="0" distL="635" distR="0" simplePos="0" locked="0" layoutInCell="0" allowOverlap="1" relativeHeight="10" wp14:anchorId="23C48F64">
                <wp:simplePos x="0" y="0"/>
                <wp:positionH relativeFrom="column">
                  <wp:posOffset>3865245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635" t="635" r="0" b="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2600" cy="2510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Потенциальным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 xml:space="preserve">поставщикам    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продукции</w:t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Style14"/>
                              <w:spacing w:lineRule="auto" w:line="36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  <w:t xml:space="preserve">        </w:t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304.35pt;margin-top:4.9pt;width:185.2pt;height:197.6pt;mso-wrap-style:square;v-text-anchor:top" wp14:anchorId="23C48F64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Потенциальным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 xml:space="preserve">поставщикам    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  <w:t>продукции</w:t>
                      </w:r>
                    </w:p>
                    <w:p>
                      <w:pPr>
                        <w:pStyle w:val="Style14"/>
                        <w:spacing w:lineRule="auto" w:line="360"/>
                        <w:jc w:val="right"/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Style14"/>
                        <w:spacing w:lineRule="auto" w:line="360"/>
                        <w:rPr>
                          <w:rFonts w:ascii="Times New Roman" w:hAnsi="Times New Roman"/>
                          <w:color w:val="000000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  <w:t xml:space="preserve">        </w:t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Style14"/>
                        <w:rPr>
                          <w:rFonts w:ascii="Times New Roman" w:hAnsi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" wp14:anchorId="767CEF16">
                <wp:simplePos x="0" y="0"/>
                <wp:positionH relativeFrom="column">
                  <wp:posOffset>1220470</wp:posOffset>
                </wp:positionH>
                <wp:positionV relativeFrom="paragraph">
                  <wp:posOffset>2675890</wp:posOffset>
                </wp:positionV>
                <wp:extent cx="828040" cy="133350"/>
                <wp:effectExtent l="0" t="0" r="0" b="0"/>
                <wp:wrapNone/>
                <wp:docPr id="9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4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" path="m0,0l-2147483645,0l-2147483645,-2147483646l0,-2147483646xe" stroked="f" o:allowincell="f" style="position:absolute;margin-left:96.1pt;margin-top:210.7pt;width:65.15pt;height:10.45pt;mso-wrap-style:none;v-text-anchor:middle" wp14:anchorId="767CE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4"/>
                        <w:rPr>
                          <w:rFonts w:ascii="Times New Roman" w:hAnsi="Times New Roman"/>
                          <w:sz w:val="16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514600" cy="2837180"/>
            <wp:effectExtent l="0" t="0" r="0" b="0"/>
            <wp:docPr id="1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b w:val="false"/>
          <w:bCs w:val="false"/>
        </w:rPr>
      </w:pPr>
      <w:r>
        <w:rPr>
          <w:rFonts w:eastAsia="Times New Roman" w:ascii="Times New Roman" w:hAnsi="Times New Roman"/>
          <w:b w:val="false"/>
          <w:bCs w:val="false"/>
          <w:iCs/>
          <w:sz w:val="24"/>
          <w:szCs w:val="24"/>
        </w:rPr>
        <w:t>Уважаемые господа!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eastAsia="Times New Roman" w:ascii="Times New Roman" w:hAnsi="Times New Roman"/>
          <w:b/>
          <w:bCs/>
          <w:iCs/>
          <w:sz w:val="24"/>
          <w:szCs w:val="24"/>
        </w:rPr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ПАО «Якутскэнерго» в лице филиала Каскад Вилюйских ГЭС им.Е.Н.Батенчука (далее – Заказчик) сообщает о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повторном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 xml:space="preserve">проведении мониторинга цен для </w:t>
      </w: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 xml:space="preserve">планирования закупок продукции на 2027 год, </w:t>
      </w:r>
    </w:p>
    <w:p>
      <w:pPr>
        <w:pStyle w:val="Normal"/>
        <w:ind w:firstLine="720"/>
        <w:jc w:val="both"/>
        <w:rPr/>
      </w:pPr>
      <w:r>
        <w:rPr>
          <w:rStyle w:val="Style10"/>
          <w:rFonts w:eastAsia="Geneva" w:ascii="Times New Roman" w:hAnsi="Times New Roman"/>
          <w:b w:val="false"/>
          <w:bCs w:val="false"/>
          <w:iCs/>
          <w:sz w:val="24"/>
          <w:szCs w:val="24"/>
          <w:lang w:val="ru-RU" w:eastAsia="en-US"/>
        </w:rPr>
        <w:t>в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 xml:space="preserve"> связи с чем приглашает юридических лиц и индивидуальных предпринимателей, являющихся потенциальными поставщиками продукции (далее – Поставщики), подавать свои предложения </w:t>
      </w:r>
      <w:r>
        <w:rPr>
          <w:rFonts w:ascii="Times New Roman" w:hAnsi="Times New Roman"/>
          <w:sz w:val="24"/>
          <w:szCs w:val="24"/>
          <w:lang w:val="ru-RU"/>
        </w:rPr>
        <w:t>по лоту «</w:t>
      </w:r>
      <w:r>
        <w:rPr>
          <w:rFonts w:eastAsia="Geneva"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  <w:lang w:val="ru-RU" w:eastAsia="en-US"/>
        </w:rPr>
        <w:t>О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КПД2 32.99.11.199 Поставка аксессуаров защитных для Каскада Вилюйских ГЭС им.Е.Н. Батенчука под эксплуатационные нужды</w:t>
      </w:r>
      <w:r>
        <w:rPr>
          <w:rFonts w:eastAsia="Geneva" w:ascii="Times New Roman" w:hAnsi="Times New Roman"/>
          <w:sz w:val="24"/>
          <w:szCs w:val="24"/>
          <w:lang w:val="ru-RU" w:eastAsia="en-US"/>
        </w:rPr>
        <w:t>»:</w:t>
      </w:r>
    </w:p>
    <w:p>
      <w:pPr>
        <w:pStyle w:val="Normal"/>
        <w:ind w:firstLine="720"/>
        <w:jc w:val="both"/>
        <w:rPr>
          <w:rFonts w:ascii="Times New Roman" w:hAnsi="Times New Roman" w:eastAsia="Geneva"/>
          <w:sz w:val="24"/>
          <w:szCs w:val="24"/>
          <w:lang w:val="ru-RU" w:eastAsia="en-US"/>
        </w:rPr>
      </w:pPr>
      <w:r>
        <w:rPr>
          <w:rFonts w:eastAsia="Geneva" w:ascii="Times New Roman" w:hAnsi="Times New Roman"/>
          <w:sz w:val="24"/>
          <w:szCs w:val="24"/>
          <w:lang w:val="ru-RU" w:eastAsia="en-US"/>
        </w:rPr>
      </w:r>
    </w:p>
    <w:p>
      <w:pPr>
        <w:pStyle w:val="Normal"/>
        <w:ind w:firstLine="720"/>
        <w:jc w:val="both"/>
        <w:rPr>
          <w:rFonts w:ascii="Times New Roman" w:hAnsi="Times New Roman"/>
          <w:sz w:val="12"/>
          <w:szCs w:val="12"/>
          <w:lang w:val="ru-RU"/>
        </w:rPr>
      </w:pPr>
      <w:r>
        <w:rPr>
          <w:rFonts w:ascii="Times New Roman" w:hAnsi="Times New Roman"/>
          <w:sz w:val="12"/>
          <w:szCs w:val="12"/>
          <w:lang w:val="ru-RU"/>
        </w:rPr>
      </w:r>
    </w:p>
    <w:tbl>
      <w:tblPr>
        <w:tblW w:w="9889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513"/>
        <w:gridCol w:w="3562"/>
        <w:gridCol w:w="599"/>
        <w:gridCol w:w="739"/>
        <w:gridCol w:w="2624"/>
        <w:gridCol w:w="1851"/>
      </w:tblGrid>
      <w:tr>
        <w:trPr>
          <w:trHeight w:val="57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№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Наименование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продукции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изм.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Кол-во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eastAsia="Times New Roman" w:ascii="Times New Roman" w:hAnsi="Times New Roman"/>
                <w:b w:val="false"/>
                <w:bCs w:val="false"/>
                <w:sz w:val="22"/>
                <w:szCs w:val="22"/>
              </w:rPr>
              <w:t>ОКПД2/ расшифровка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ind w:left="0" w:right="0" w:hanging="0"/>
              <w:jc w:val="center"/>
              <w:rPr>
                <w:b w:val="false"/>
                <w:bCs w:val="false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  <w:lang w:val="ru-RU"/>
              </w:rPr>
              <w:t>Применение законодательства о национальном режиме</w:t>
            </w:r>
          </w:p>
        </w:tc>
      </w:tr>
      <w:tr>
        <w:trPr>
          <w:trHeight w:val="683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Буй светящийся (самозажигающийся огонь) спасательного круга РРР,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6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</w:pPr>
            <w:r>
              <w:rPr>
                <w:rFonts w:ascii="Times New Roman" w:hAnsi="Times New Roman"/>
                <w:b w:val="false"/>
                <w:bCs w:val="false"/>
                <w:sz w:val="18"/>
                <w:szCs w:val="18"/>
              </w:rPr>
              <w:t>32.99.11.199 - Средства индивидуальной защиты прочие, не включенные в другие группировки</w:t>
            </w:r>
          </w:p>
        </w:tc>
        <w:tc>
          <w:tcPr>
            <w:tcW w:w="1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color w:val="000000"/>
                <w:sz w:val="22"/>
                <w:szCs w:val="22"/>
              </w:rPr>
              <w:t>Установлен режим ограничения закупок товаров иностранного происхождения</w:t>
            </w:r>
          </w:p>
        </w:tc>
      </w:tr>
      <w:tr>
        <w:trPr>
          <w:trHeight w:val="567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Жилет спасательный речной взрослый 120кг,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45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13.92.29.130 Жилеты спасательные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16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3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Костюм влагозащитный 104-108/182-188 (куртка, брюки) Посейдон 3.218,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  <w:lang w:val="ru-RU"/>
              </w:rPr>
              <w:t>32.99.11.199 - Средства индивидуальной защиты прочие, не включенные в другие группировки</w:t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1"/>
                <w:szCs w:val="21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  <w:shd w:fill="auto" w:val="clear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4</w:t>
            </w:r>
          </w:p>
        </w:tc>
        <w:tc>
          <w:tcPr>
            <w:tcW w:w="3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Костюм влагозащитный 112-116/170-176 (куртка, брюки) Посейдон,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Комбинезон одноразовый защитный от химических воздействий р.2XL Тайвек 500 Xpert DuPont,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Круг спасательный РРР,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73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Лента сигнальная 250м 75мм белый/красный,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22.21.42.130 Полосы (ленты) прочие пластмассовые непористые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Маска сварщика хамелеон Start Optima (светофильтр АСФ 615),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32.99.11.160 - Средства защиты головы и лица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9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Нарукавники ПВХ защитные от общих производственных загрязнений,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10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Нарукавники хлопчатобумажные,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32.99.11.199 - Средства индивидуальной защиты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11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Перчатки нитриловые защитные от проколов и порезов р.7 Cutler Nitrile 8.525 класс 5,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12</w:t>
            </w:r>
          </w:p>
        </w:tc>
        <w:tc>
          <w:tcPr>
            <w:tcW w:w="3562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Перчатки латексные хозяйственные р.7 Comfort RF1 Rubberex желтые,</w:t>
            </w:r>
          </w:p>
        </w:tc>
        <w:tc>
          <w:tcPr>
            <w:tcW w:w="59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</w:t>
            </w:r>
          </w:p>
        </w:tc>
        <w:tc>
          <w:tcPr>
            <w:tcW w:w="262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2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Перчатки латексные хозяйственные р.8 Comfort RF1 Rubberex желтые,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30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Перчатки латексные хозяйственные р.9,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24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15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Перчатки нитриловые защитные от химических воздействий р.8 JSN Natrix 050NATRIX-BL,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5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14.12.30.150 - Рукавицы, перчатки производственные и профессиональные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16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Плакат Не включать работают люди 200х100мм,</w:t>
            </w:r>
          </w:p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r>
          </w:p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110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6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22.21.42.130 Полосы (ленты) прочие пластмассовые непористые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3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17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Плакат Не включать!Работают люди 100х50мм,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7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22.21.42.130 Полосы (ленты) прочие пластмассовые непористые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18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Полумаска фильтрующая для защиты от пыли и дыма FFP2 (клапан выдоха) VS 2200AV Spirotek,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100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8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32.99.11.120 - Респираторы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19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Спрей антисептический для рук флакон с распылителем 100мл Алмадез,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60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19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  <w:lang w:val="ru-RU"/>
                </w:rPr>
                <w:t>21.20.10.159 - Антисептики и дезинфицирующие препараты прочие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20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Средство от кровососущих насекомых Рефтамид спираль,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20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0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21.20.10.243 - Препараты для уничтожения эктопаразитов (включая чесоточного клеща), инсектициды и репелленты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21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Средство репеллентное от кровососущих насекомых Рефтамид экстрим аэрозоль 150мл,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80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1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21.20.10.243 - Препараты для уничтожения эктопаразитов (включая чесоточного клеща), инсектициды и репелленты</w:t>
              </w:r>
            </w:hyperlink>
          </w:p>
          <w:p>
            <w:pPr>
              <w:pStyle w:val="Normal"/>
              <w:widowControl w:val="false"/>
              <w:jc w:val="center"/>
              <w:rPr>
                <w:rStyle w:val="Hyperlink"/>
                <w:rFonts w:ascii="Times New Roman" w:hAnsi="Times New Roman"/>
                <w:b w:val="false"/>
                <w:bCs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  <w:shd w:fill="auto" w:val="clear"/>
              </w:rPr>
            </w:r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22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Стойка ограждения (труба пластиковая красная 945х63.5мм, основание резиновое шестигранное 435х405мм, лента нейлоновая красно-белая 450х47мм),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2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31.09.11.120 - Стеллажи, стойки, вешалки металлические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23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Указатель низкого напряжения двухполюсный Антиток Д312393 УНН-1Д Комби 5-999В,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3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26.51.45.190 Приборы и аппаратура для измерения или контроля электрических величин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  <w:tr>
        <w:trPr>
          <w:trHeight w:val="800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24</w:t>
            </w:r>
          </w:p>
        </w:tc>
        <w:tc>
          <w:tcPr>
            <w:tcW w:w="3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</w:rPr>
              <w:t>Указатель низкого напряжения двухполюсный УНН 3ПМ 12-660,</w:t>
            </w:r>
          </w:p>
        </w:tc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  <w:t>шт</w:t>
            </w:r>
          </w:p>
        </w:tc>
        <w:tc>
          <w:tcPr>
            <w:tcW w:w="7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FF" w:fill="FFFFFE" w:val="clear"/>
            <w:vAlign w:val="center"/>
          </w:tcPr>
          <w:p>
            <w:pPr>
              <w:pStyle w:val="Style16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1"/>
                <w:szCs w:val="21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1"/>
                <w:szCs w:val="21"/>
                <w:shd w:fill="auto" w:val="clear"/>
              </w:rPr>
              <w:t>5</w:t>
            </w:r>
          </w:p>
        </w:tc>
        <w:tc>
          <w:tcPr>
            <w:tcW w:w="26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hyperlink r:id="rId24">
              <w:r>
                <w:rPr>
                  <w:rStyle w:val="Hyperlink"/>
                  <w:rFonts w:ascii="Times New Roman" w:hAnsi="Times New Roman"/>
                  <w:b w:val="false"/>
                  <w:bCs w:val="false"/>
                  <w:i w:val="false"/>
                  <w:caps w:val="false"/>
                  <w:smallCaps w:val="false"/>
                  <w:strike w:val="false"/>
                  <w:dstrike w:val="false"/>
                  <w:color w:val="000000"/>
                  <w:spacing w:val="0"/>
                  <w:sz w:val="18"/>
                  <w:szCs w:val="18"/>
                  <w:u w:val="none"/>
                  <w:effect w:val="none"/>
                  <w:shd w:fill="auto" w:val="clear"/>
                </w:rPr>
                <w:t>26.51.45.190 Приборы и аппаратура для измерения или контроля электрических величин прочие, не включенные в другие группировки</w:t>
              </w:r>
            </w:hyperlink>
          </w:p>
        </w:tc>
        <w:tc>
          <w:tcPr>
            <w:tcW w:w="1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</w:r>
          </w:p>
        </w:tc>
      </w:tr>
    </w:tbl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563" w:leader="none"/>
        </w:tabs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Срок планируемой поставки: с 10.08.2027 г. до 30.11.2027 года.</w:t>
      </w:r>
    </w:p>
    <w:p>
      <w:pPr>
        <w:pStyle w:val="ListParagraph"/>
        <w:widowControl/>
        <w:numPr>
          <w:ilvl w:val="0"/>
          <w:numId w:val="10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val="ru-RU"/>
        </w:rPr>
        <w:t>Оплата по Договору осуществляется Заказчиком в следующем порядке: в течение 7 (семи) рабочих дней (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для МСП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) /45 (сорока пяти) рабочих дней </w:t>
      </w:r>
      <w:r>
        <w:rPr>
          <w:rFonts w:ascii="Times New Roman" w:hAnsi="Times New Roman"/>
          <w:bCs/>
          <w:i/>
          <w:sz w:val="24"/>
          <w:szCs w:val="24"/>
          <w:lang w:val="ru-RU"/>
        </w:rPr>
        <w:t>(прочие юр.лица)</w:t>
      </w:r>
      <w:r>
        <w:rPr>
          <w:rFonts w:ascii="Times New Roman" w:hAnsi="Times New Roman"/>
          <w:bCs/>
          <w:sz w:val="24"/>
          <w:szCs w:val="24"/>
          <w:lang w:val="ru-RU"/>
        </w:rPr>
        <w:t xml:space="preserve"> с даты подписания Сторонами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товарной накладной (ТОРГ-12).</w:t>
      </w:r>
    </w:p>
    <w:p>
      <w:pPr>
        <w:pStyle w:val="BodyTextIndent"/>
        <w:widowControl/>
        <w:numPr>
          <w:ilvl w:val="0"/>
          <w:numId w:val="11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Поставщик имеет право подать только одно ценовую заявку. В случае подачи Поставщиком нескольких заявок все они будут отклонены без рассмотрения по существу.</w:t>
      </w:r>
    </w:p>
    <w:p>
      <w:pPr>
        <w:pStyle w:val="ListParagraph"/>
        <w:widowControl/>
        <w:numPr>
          <w:ilvl w:val="0"/>
          <w:numId w:val="12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Заявка должно быть оформлена по форме, приложенной к настоящему запросу, и быть действительной до 30 декабря 2026 года (не менее 30 дней).   В случае, если Поставщик указывает более короткий срок действия своей ценовой заявки, она отклоняется как не отвечающая основным требованиям Заказчика.</w:t>
      </w:r>
    </w:p>
    <w:p>
      <w:pPr>
        <w:pStyle w:val="BodyTextIndent"/>
        <w:widowControl/>
        <w:numPr>
          <w:ilvl w:val="0"/>
          <w:numId w:val="13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>Заявка должна быть подписана лицом, имеющим право в соответствии с законодательством Российской Федерации действовать от лица Поставщика.                           Заявка также должна быть скреплена печатью Поставщика.</w:t>
      </w:r>
    </w:p>
    <w:p>
      <w:pPr>
        <w:pStyle w:val="ListParagraph"/>
        <w:widowControl/>
        <w:numPr>
          <w:ilvl w:val="0"/>
          <w:numId w:val="14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Предлагаемая цена продукции должна быть указана с учетом НДС, а также должна включать другие обязательные платежи, стоимость всех сопутствующих услуг, в том числе транспортные расходы до центрального склада грузополучателя КВГЭС им.Е.Н. Батенчука в пос.Чернышевский Мирнинского района Республики Саха (Якутия), или до терминала Грузоперевозчика в г.Мирный Республики Саха (Якутия), и все скидки, предлагаемые Поставщиком.</w:t>
      </w:r>
    </w:p>
    <w:p>
      <w:pPr>
        <w:pStyle w:val="ListParagraph"/>
        <w:widowControl/>
        <w:numPr>
          <w:ilvl w:val="0"/>
          <w:numId w:val="0"/>
        </w:numPr>
        <w:tabs>
          <w:tab w:val="clear" w:pos="720"/>
          <w:tab w:val="left" w:pos="563" w:leader="none"/>
        </w:tabs>
        <w:suppressAutoHyphens w:val="true"/>
        <w:overflowPunct w:val="false"/>
        <w:bidi w:val="0"/>
        <w:spacing w:before="0" w:after="0"/>
        <w:ind w:left="567" w:right="0" w:hanging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Также в заявке должна быть указана</w:t>
      </w: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>информация</w:t>
      </w:r>
      <w:r>
        <w:rPr>
          <w:rFonts w:ascii="Times New Roman" w:hAnsi="Times New Roman"/>
          <w:b/>
          <w:i w:val="false"/>
          <w:iCs w:val="false"/>
          <w:sz w:val="24"/>
          <w:szCs w:val="24"/>
          <w:lang w:val="ru-RU"/>
        </w:rPr>
        <w:t xml:space="preserve"> о стране происхождения и производителе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предлагаемой к поставке продукции. Обращаем Ваше внимание, что в соотствтсвии с постановлением Правительства Российской Федерации от 23 декабря 2024г. N1875 в отношении данных товаров 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lang w:val="ru-RU"/>
        </w:rPr>
        <w:t>установлен режим ограничения закупок товаров иностранного происхождения (Приложение №2)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lang w:val="ru-RU"/>
        </w:rPr>
        <w:t xml:space="preserve">. 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 w:val="false"/>
          <w:iCs w:val="false"/>
          <w:sz w:val="24"/>
          <w:szCs w:val="24"/>
          <w:lang w:val="ru-RU"/>
        </w:rPr>
        <w:t xml:space="preserve">7. </w:t>
        <w:tab/>
        <w:t>Заявка должна быть подана на русском языке. Все цены дол</w:t>
      </w:r>
      <w:r>
        <w:rPr>
          <w:rFonts w:ascii="Times New Roman" w:hAnsi="Times New Roman"/>
          <w:sz w:val="24"/>
          <w:szCs w:val="24"/>
          <w:lang w:val="ru-RU"/>
        </w:rPr>
        <w:t>жны быть выражены в российских рублях.</w:t>
      </w:r>
    </w:p>
    <w:p>
      <w:pPr>
        <w:pStyle w:val="ListParagraph"/>
        <w:widowControl/>
        <w:tabs>
          <w:tab w:val="clear" w:pos="720"/>
          <w:tab w:val="left" w:pos="288" w:leader="none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8. </w:t>
        <w:tab/>
        <w:tab/>
        <w:t>Предложение должно быть подано до 1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0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.00 часов московского времени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>30</w:t>
      </w:r>
      <w:r>
        <w:rPr>
          <w:rFonts w:ascii="Times New Roman" w:hAnsi="Times New Roman"/>
          <w:b w:val="false"/>
          <w:bCs w:val="false"/>
          <w:color w:val="80008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>сентября 2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026 года </w:t>
      </w:r>
      <w:r>
        <w:rPr>
          <w:rStyle w:val="Style10"/>
          <w:rFonts w:eastAsia="Times New Roman" w:ascii="Times New Roman" w:hAnsi="Times New Roman"/>
          <w:b w:val="false"/>
          <w:bCs w:val="false"/>
          <w:iCs/>
          <w:sz w:val="24"/>
          <w:szCs w:val="24"/>
          <w:lang w:val="ru-RU" w:eastAsia="ru-RU"/>
        </w:rPr>
        <w:t>виде документа в формате PDF и электронной копии Excel (Word) любым способом: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непосредственно </w:t>
      </w: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на Электронную торговую площадку РАД: </w:t>
      </w:r>
      <w:hyperlink r:id="rId25">
        <w:r>
          <w:rPr>
            <w:rStyle w:val="Hyperlink"/>
            <w:rFonts w:ascii="Times New Roman" w:hAnsi="Times New Roman"/>
            <w:b w:val="false"/>
            <w:bCs w:val="false"/>
            <w:color w:val="2A6099"/>
            <w:sz w:val="24"/>
            <w:szCs w:val="24"/>
            <w:u w:val="none"/>
            <w:lang w:val="ru-RU"/>
          </w:rPr>
          <w:t>https://tender.lot-online.ru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0"/>
        <w:jc w:val="both"/>
        <w:rPr/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lang w:val="ru-RU"/>
        </w:rPr>
        <w:t xml:space="preserve">- посредством электронной почты на e-mail: </w:t>
      </w:r>
      <w:hyperlink r:id="rId26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4"/>
          <w:szCs w:val="24"/>
          <w:u w:val="none"/>
          <w:lang w:val="ru-RU"/>
        </w:rPr>
        <w:t>9.</w:t>
      </w:r>
      <w:r>
        <w:rPr>
          <w:rFonts w:ascii="Times New Roman" w:hAnsi="Times New Roman"/>
          <w:b w:val="false"/>
          <w:bCs w:val="false"/>
          <w:i w:val="false"/>
          <w:iCs w:val="false"/>
          <w:color w:val="2A6099"/>
          <w:sz w:val="24"/>
          <w:szCs w:val="24"/>
          <w:u w:val="none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Настоящий мониторинг цен не является офертой или публичной офертой Заказчика и не является процедурой проведения конкурса. Заказчик имеет право отказаться от всех полученных предложений по любой причине, не неся при этом никакой ответственности перед Поставщиком.</w:t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ListParagraph"/>
        <w:widowControl/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</w:r>
    </w:p>
    <w:p>
      <w:pPr>
        <w:pStyle w:val="Normal"/>
        <w:widowControl/>
        <w:tabs>
          <w:tab w:val="clear" w:pos="720"/>
          <w:tab w:val="left" w:pos="675" w:leader="none"/>
        </w:tabs>
        <w:suppressAutoHyphens w:val="true"/>
        <w:bidi w:val="0"/>
        <w:spacing w:before="0" w:after="0"/>
        <w:ind w:left="567" w:right="0" w:hanging="567"/>
        <w:jc w:val="both"/>
        <w:rPr/>
      </w:pPr>
      <w:r>
        <w:rPr>
          <w:rFonts w:ascii="Times New Roman" w:hAnsi="Times New Roman"/>
          <w:sz w:val="24"/>
          <w:szCs w:val="24"/>
          <w:lang w:val="ru-RU"/>
        </w:rPr>
        <w:t xml:space="preserve">10. </w:t>
        <w:tab/>
        <w:t xml:space="preserve">По техническим вопросам обращаться непосредственно к ответственному специалисту КВГЭС им.Е.Н.Батенчука ПАО «Якутскэнерго» по следующим телефонам/электронной почте: 8(41136) 72-2-35/ электронной почте: </w:t>
      </w:r>
      <w:hyperlink r:id="rId27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4"/>
            <w:szCs w:val="24"/>
            <w:u w:val="none"/>
            <w:lang w:val="ru-RU"/>
          </w:rPr>
          <w:t>ermolaevasv@rushydro.ru</w:t>
        </w:r>
      </w:hyperlink>
      <w:r>
        <w:rPr>
          <w:rFonts w:ascii="Times New Roman" w:hAnsi="Times New Roman"/>
          <w:b/>
          <w:color w:val="0070C0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 (ответственный- инженер  С.В.Ермолаева).</w:t>
      </w:r>
    </w:p>
    <w:p>
      <w:pPr>
        <w:pStyle w:val="Normal"/>
        <w:tabs>
          <w:tab w:val="clear" w:pos="720"/>
          <w:tab w:val="left" w:pos="709" w:leader="none"/>
        </w:tabs>
        <w:rPr>
          <w:rFonts w:ascii="Times New Roman" w:hAnsi="Times New Roman"/>
          <w:b/>
          <w:bCs/>
          <w:i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</w:r>
    </w:p>
    <w:p>
      <w:pPr>
        <w:pStyle w:val="Standard"/>
        <w:tabs>
          <w:tab w:val="clear" w:pos="720"/>
          <w:tab w:val="left" w:pos="563" w:leader="none"/>
        </w:tabs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ab/>
        <w:t>Приложение:</w:t>
      </w:r>
    </w:p>
    <w:p>
      <w:pPr>
        <w:pStyle w:val="Standard"/>
        <w:widowControl/>
        <w:numPr>
          <w:ilvl w:val="0"/>
          <w:numId w:val="15"/>
        </w:numPr>
        <w:tabs>
          <w:tab w:val="clear" w:pos="720"/>
          <w:tab w:val="left" w:pos="563" w:leader="none"/>
        </w:tabs>
        <w:suppressAutoHyphens w:val="true"/>
        <w:bidi w:val="0"/>
        <w:spacing w:before="0" w:after="0"/>
        <w:ind w:left="567" w:right="0" w:hanging="567"/>
        <w:jc w:val="left"/>
        <w:textAlignment w:val="baseline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Приложение №1- Форма заявки.</w:t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szCs w:val="24"/>
        </w:rPr>
        <w:t xml:space="preserve"> </w:t>
      </w:r>
      <w:r>
        <w:rPr>
          <w:rFonts w:eastAsia="Times New Roman" w:cs="Times New Roman" w:ascii="Times New Roman" w:hAnsi="Times New Roman"/>
          <w:szCs w:val="24"/>
        </w:rPr>
        <w:tab/>
        <w:t>С</w:t>
      </w:r>
      <w:r>
        <w:rPr>
          <w:rFonts w:cs="Times New Roman" w:ascii="Times New Roman" w:hAnsi="Times New Roman"/>
          <w:szCs w:val="24"/>
        </w:rPr>
        <w:t xml:space="preserve"> уважением,</w:t>
      </w:r>
      <w:r>
        <w:rPr>
          <w:rFonts w:eastAsia="Times New Roman" w:cs="Times New Roman" w:ascii="Times New Roman" w:hAnsi="Times New Roman"/>
          <w:b/>
          <w:szCs w:val="24"/>
        </w:rPr>
        <w:t xml:space="preserve">         </w:t>
      </w:r>
    </w:p>
    <w:p>
      <w:pPr>
        <w:pStyle w:val="Standard"/>
        <w:tabs>
          <w:tab w:val="clear" w:pos="720"/>
          <w:tab w:val="left" w:pos="563" w:leader="none"/>
        </w:tabs>
        <w:jc w:val="both"/>
        <w:rPr>
          <w:rFonts w:ascii="Times New Roman" w:hAnsi="Times New Roman" w:cs="Times New Roman"/>
          <w:szCs w:val="24"/>
        </w:rPr>
      </w:pPr>
      <w:r>
        <w:rPr>
          <w:rFonts w:eastAsia="Times New Roman" w:cs="Times New Roman" w:ascii="Times New Roman" w:hAnsi="Times New Roman"/>
          <w:b/>
          <w:szCs w:val="24"/>
        </w:rPr>
        <w:t xml:space="preserve">          </w:t>
      </w:r>
      <w:r>
        <w:rPr>
          <w:rFonts w:eastAsia="Times New Roman" w:cs="Times New Roman" w:ascii="Times New Roman" w:hAnsi="Times New Roman"/>
          <w:b w:val="false"/>
          <w:bCs w:val="false"/>
          <w:szCs w:val="24"/>
        </w:rPr>
        <w:t>и</w:t>
      </w:r>
      <w:r>
        <w:rPr>
          <w:rFonts w:cs="Times New Roman" w:ascii="Times New Roman" w:hAnsi="Times New Roman"/>
          <w:b w:val="false"/>
          <w:bCs w:val="false"/>
          <w:szCs w:val="24"/>
        </w:rPr>
        <w:t>.</w:t>
      </w:r>
      <w:r>
        <w:rPr>
          <w:rFonts w:cs="Times New Roman" w:ascii="Times New Roman" w:hAnsi="Times New Roman"/>
          <w:szCs w:val="24"/>
        </w:rPr>
        <w:t xml:space="preserve">о.директора                                                                                                             С.П.Муж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</w:t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Standard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исп. инженер ОМТС  Ермолаева С.В.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тел: 8 (41136) 72-2-35,78-378  </w:t>
      </w:r>
    </w:p>
    <w:p>
      <w:pPr>
        <w:pStyle w:val="Normal"/>
        <w:rPr>
          <w:sz w:val="22"/>
          <w:szCs w:val="22"/>
        </w:rPr>
      </w:pPr>
      <w:r>
        <w:rPr>
          <w:rFonts w:ascii="Times New Roman" w:hAnsi="Times New Roman"/>
          <w:bCs/>
          <w:iCs/>
          <w:sz w:val="22"/>
          <w:szCs w:val="22"/>
          <w:lang w:val="ru-RU"/>
        </w:rPr>
        <w:t xml:space="preserve">е-mail:  </w:t>
      </w:r>
      <w:hyperlink r:id="rId28">
        <w:r>
          <w:rPr>
            <w:rStyle w:val="Hyperlink"/>
            <w:rFonts w:ascii="Times New Roman" w:hAnsi="Times New Roman"/>
            <w:b w:val="false"/>
            <w:bCs w:val="false"/>
            <w:i w:val="false"/>
            <w:iCs w:val="false"/>
            <w:color w:val="2A6099"/>
            <w:sz w:val="22"/>
            <w:szCs w:val="22"/>
            <w:u w:val="none"/>
            <w:lang w:val="ru-RU"/>
          </w:rPr>
          <w:t>ermolaevasv@rushydro.ru</w:t>
        </w:r>
      </w:hyperlink>
    </w:p>
    <w:sectPr>
      <w:headerReference w:type="even" r:id="rId29"/>
      <w:headerReference w:type="default" r:id="rId30"/>
      <w:type w:val="nextPage"/>
      <w:pgSz w:w="11906" w:h="16838"/>
      <w:pgMar w:left="1134" w:right="851" w:gutter="0" w:header="964" w:top="1134" w:footer="0" w:bottom="1134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0"/>
      <w:szCs w:val="20"/>
      <w:lang w:val="en-US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2"/>
      </w:numPr>
      <w:outlineLvl w:val="0"/>
    </w:pPr>
    <w:rPr>
      <w:rFonts w:ascii="Times New Roman" w:hAnsi="Times New Roman" w:eastAsia="Times New Roman"/>
      <w:b/>
      <w:sz w:val="28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WWCharLFO6LVL1" w:customStyle="1">
    <w:name w:val="WW_CharLFO6LVL1"/>
    <w:qFormat/>
    <w:rPr>
      <w:sz w:val="22"/>
      <w:szCs w:val="22"/>
    </w:rPr>
  </w:style>
  <w:style w:type="character" w:styleId="Style10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 Unicode MS"/>
    </w:rPr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ListParagraph">
    <w:name w:val="List Paragraph"/>
    <w:basedOn w:val="Normal"/>
    <w:qFormat/>
    <w:pPr>
      <w:ind w:left="720" w:hanging="0"/>
    </w:pPr>
    <w:rPr/>
  </w:style>
  <w:style w:type="paragraph" w:styleId="BodyTextIndent">
    <w:name w:val="Body Text Indent"/>
    <w:basedOn w:val="Normal"/>
    <w:pPr>
      <w:ind w:firstLine="360"/>
      <w:jc w:val="both"/>
    </w:pPr>
    <w:rPr>
      <w:rFonts w:ascii="Times New Roman" w:hAnsi="Times New Roman" w:eastAsia="Times New Roman"/>
      <w:lang w:eastAsia="zh-CN"/>
    </w:rPr>
  </w:style>
  <w:style w:type="paragraph" w:styleId="Style15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zh-CN"/>
    </w:rPr>
  </w:style>
  <w:style w:type="paragraph" w:styleId="21" w:customStyle="1">
    <w:name w:val="Основной текст 21"/>
    <w:basedOn w:val="Normal"/>
    <w:qFormat/>
    <w:pPr>
      <w:shd w:val="clear" w:color="auto" w:fill="FFFFFF"/>
      <w:jc w:val="center"/>
    </w:pPr>
    <w:rPr>
      <w:rFonts w:ascii="Arial" w:hAnsi="Arial" w:eastAsia="Times New Roman" w:cs="Arial"/>
      <w:b/>
      <w:color w:val="000080"/>
      <w:lang w:eastAsia="zh-CN"/>
    </w:rPr>
  </w:style>
  <w:style w:type="paragraph" w:styleId="Standard" w:customStyle="1">
    <w:name w:val="Standard"/>
    <w:qFormat/>
    <w:rsid w:val="00121d65"/>
    <w:pPr>
      <w:widowControl/>
      <w:suppressAutoHyphens w:val="true"/>
      <w:bidi w:val="0"/>
      <w:spacing w:before="0" w:after="0"/>
      <w:jc w:val="left"/>
      <w:textAlignment w:val="baseline"/>
    </w:pPr>
    <w:rPr>
      <w:rFonts w:ascii="Geneva CY" w:hAnsi="Geneva CY" w:eastAsia="Geneva" w:cs="Geneva CY"/>
      <w:color w:val="auto"/>
      <w:kern w:val="0"/>
      <w:sz w:val="24"/>
      <w:szCs w:val="20"/>
      <w:lang w:val="ru-RU" w:eastAsia="en-US" w:bidi="ar-SA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paragraph" w:styleId="Style18">
    <w:name w:val="Обычный"/>
    <w:qFormat/>
    <w:pPr>
      <w:widowControl/>
      <w:suppressAutoHyphens w:val="true"/>
      <w:bidi w:val="0"/>
      <w:spacing w:before="0" w:after="0"/>
      <w:jc w:val="left"/>
    </w:pPr>
    <w:rPr>
      <w:rFonts w:ascii="Cambria" w:hAnsi="Cambria" w:eastAsia="MS Mincho" w:cs="Times New Roman"/>
      <w:color w:val="auto"/>
      <w:kern w:val="0"/>
      <w:sz w:val="24"/>
      <w:szCs w:val="24"/>
      <w:lang w:val="en-US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</w:style>
  <w:style w:type="numbering" w:styleId="WW8Num3" w:customStyle="1">
    <w:name w:val="WW8Num3"/>
    <w:qFormat/>
  </w:style>
  <w:style w:type="numbering" w:styleId="WW8Num5" w:customStyle="1">
    <w:name w:val="WW8Num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services.lot-online.ru/app/okpd2/25.73.30.299" TargetMode="External"/><Relationship Id="rId4" Type="http://schemas.openxmlformats.org/officeDocument/2006/relationships/hyperlink" Target="https://services.lot-online.ru/app/okpd2/25.73.30.160" TargetMode="External"/><Relationship Id="rId5" Type="http://schemas.openxmlformats.org/officeDocument/2006/relationships/hyperlink" Target="https://services.lot-online.ru/app/okpd2/25.73.30.170" TargetMode="External"/><Relationship Id="rId6" Type="http://schemas.openxmlformats.org/officeDocument/2006/relationships/hyperlink" Target="https://services.lot-online.ru/app/okpd2/25.73.30.170" TargetMode="External"/><Relationship Id="rId7" Type="http://schemas.openxmlformats.org/officeDocument/2006/relationships/hyperlink" Target="https://services.lot-online.ru/app/okpd2/25.73.30.160" TargetMode="External"/><Relationship Id="rId8" Type="http://schemas.openxmlformats.org/officeDocument/2006/relationships/hyperlink" Target="https://services.lot-online.ru/app/okpd2/25.73.30.140" TargetMode="External"/><Relationship Id="rId9" Type="http://schemas.openxmlformats.org/officeDocument/2006/relationships/hyperlink" Target="https://services.lot-online.ru/app/okpd2/25.73.30.170" TargetMode="External"/><Relationship Id="rId10" Type="http://schemas.openxmlformats.org/officeDocument/2006/relationships/hyperlink" Target="https://services.lot-online.ru/app/okpd2/25.73.30.170" TargetMode="External"/><Relationship Id="rId11" Type="http://schemas.openxmlformats.org/officeDocument/2006/relationships/hyperlink" Target="https://services.lot-online.ru/app/okpd2/25.73.30.140" TargetMode="External"/><Relationship Id="rId12" Type="http://schemas.openxmlformats.org/officeDocument/2006/relationships/hyperlink" Target="https://services.lot-online.ru/app/okpd2/25.73.30.140" TargetMode="External"/><Relationship Id="rId13" Type="http://schemas.openxmlformats.org/officeDocument/2006/relationships/hyperlink" Target="https://services.lot-online.ru/app/okpd2/25.73.30.140" TargetMode="External"/><Relationship Id="rId14" Type="http://schemas.openxmlformats.org/officeDocument/2006/relationships/hyperlink" Target="https://services.lot-online.ru/app/okpd2/25.73.30.140" TargetMode="External"/><Relationship Id="rId15" Type="http://schemas.openxmlformats.org/officeDocument/2006/relationships/hyperlink" Target="https://services.lot-online.ru/app/okpd2/25.73.30.140" TargetMode="External"/><Relationship Id="rId16" Type="http://schemas.openxmlformats.org/officeDocument/2006/relationships/hyperlink" Target="https://services.lot-online.ru/app/okpd2/25.73.30.160" TargetMode="External"/><Relationship Id="rId17" Type="http://schemas.openxmlformats.org/officeDocument/2006/relationships/hyperlink" Target="https://services.lot-online.ru/app/okpd2/25.73.30.160" TargetMode="External"/><Relationship Id="rId18" Type="http://schemas.openxmlformats.org/officeDocument/2006/relationships/hyperlink" Target="https://services.lot-online.ru/app/okpd2/25.73.30.240" TargetMode="External"/><Relationship Id="rId19" Type="http://schemas.openxmlformats.org/officeDocument/2006/relationships/hyperlink" Target="https://services.lot-online.ru/app/okpd2/25.73.30.240" TargetMode="External"/><Relationship Id="rId20" Type="http://schemas.openxmlformats.org/officeDocument/2006/relationships/hyperlink" Target="https://services.lot-online.ru/app/okpd2/25.73.30.299" TargetMode="External"/><Relationship Id="rId21" Type="http://schemas.openxmlformats.org/officeDocument/2006/relationships/hyperlink" Target="https://services.lot-online.ru/app/okpd2/25.73.30.299" TargetMode="External"/><Relationship Id="rId22" Type="http://schemas.openxmlformats.org/officeDocument/2006/relationships/hyperlink" Target="https://services.lot-online.ru/app/okpd2/25.73.30.299" TargetMode="External"/><Relationship Id="rId23" Type="http://schemas.openxmlformats.org/officeDocument/2006/relationships/hyperlink" Target="https://services.lot-online.ru/app/okpd2/25.73.30.299" TargetMode="External"/><Relationship Id="rId24" Type="http://schemas.openxmlformats.org/officeDocument/2006/relationships/hyperlink" Target="https://services.lot-online.ru/app/okpd2/25.73.30.299" TargetMode="External"/><Relationship Id="rId25" Type="http://schemas.openxmlformats.org/officeDocument/2006/relationships/hyperlink" Target="https://tender.lot-online.ru/" TargetMode="External"/><Relationship Id="rId26" Type="http://schemas.openxmlformats.org/officeDocument/2006/relationships/hyperlink" Target="mailto:ermolaevasv@rushydro.ru" TargetMode="External"/><Relationship Id="rId27" Type="http://schemas.openxmlformats.org/officeDocument/2006/relationships/hyperlink" Target="mailto:ermolaevasv@rushydro.ru" TargetMode="External"/><Relationship Id="rId28" Type="http://schemas.openxmlformats.org/officeDocument/2006/relationships/hyperlink" Target="mailto:ermolaevasv@rushydro.ru" TargetMode="External"/><Relationship Id="rId29" Type="http://schemas.openxmlformats.org/officeDocument/2006/relationships/header" Target="header1.xml"/><Relationship Id="rId30" Type="http://schemas.openxmlformats.org/officeDocument/2006/relationships/header" Target="header2.xml"/><Relationship Id="rId31" Type="http://schemas.openxmlformats.org/officeDocument/2006/relationships/numbering" Target="numbering.xml"/><Relationship Id="rId32" Type="http://schemas.openxmlformats.org/officeDocument/2006/relationships/fontTable" Target="fontTable.xml"/><Relationship Id="rId33" Type="http://schemas.openxmlformats.org/officeDocument/2006/relationships/settings" Target="settings.xml"/><Relationship Id="rId3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Application>AlterOffice/3.4.0.9$Linux_X86_64 LibreOffice_project/b8daf9e823b1a5463a2f48435ddc2e8696e7d4fc</Application>
  <AppVersion>15.0000</AppVersion>
  <Pages>4</Pages>
  <Words>927</Words>
  <Characters>6247</Characters>
  <CharactersWithSpaces>7570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2026-06-04T08:41:00Z</dcterms:created>
  <dc:creator>Andrey Zhurin</dc:creator>
  <dc:description/>
  <dc:language>ru-RU</dc:language>
  <cp:lastModifiedBy/>
  <cp:lastPrinted>2026-06-05T01:43:00Z</cp:lastPrinted>
  <dcterms:modified xsi:type="dcterms:W3CDTF">2026-09-25T13:21:24Z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