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word/header3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header4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6.xml" ContentType="application/vnd.openxmlformats-officedocument.wordprocessingml.header+xml"/>
  <Override PartName="/word/header5.xml" ContentType="application/vnd.openxmlformats-officedocument.wordprocessingml.header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ind w:left="0" w:hanging="0"/>
        <w:jc w:val="right"/>
        <w:outlineLvl w:val="0"/>
        <w:rPr>
          <w:lang w:eastAsia="x-none"/>
        </w:rPr>
      </w:pPr>
      <w:bookmarkStart w:id="0" w:name="_Toc127869920"/>
      <w:bookmarkStart w:id="1" w:name="_Toc127869900"/>
      <w:r>
        <w:rPr>
          <w:lang w:eastAsia="x-none"/>
        </w:rPr>
        <w:t>УТВЕРЖДАЮ</w:t>
      </w:r>
      <w:bookmarkEnd w:id="0"/>
      <w:bookmarkEnd w:id="1"/>
    </w:p>
    <w:p>
      <w:pPr>
        <w:pStyle w:val="Normal"/>
        <w:ind w:left="5245" w:hanging="0"/>
        <w:jc w:val="right"/>
        <w:rPr>
          <w:lang w:eastAsia="x-none"/>
        </w:rPr>
      </w:pPr>
      <w:r>
        <w:rPr>
          <w:lang w:eastAsia="x-none"/>
        </w:rPr>
        <w:t xml:space="preserve">Директор Дальневосточного Филиала </w:t>
      </w:r>
    </w:p>
    <w:p>
      <w:pPr>
        <w:pStyle w:val="Normal"/>
        <w:ind w:left="5245" w:hanging="0"/>
        <w:jc w:val="right"/>
        <w:rPr>
          <w:lang w:eastAsia="x-none"/>
        </w:rPr>
      </w:pPr>
      <w:r>
        <w:rPr>
          <w:lang w:eastAsia="x-none"/>
        </w:rPr>
        <w:t>АО «ТК РусГидро»</w:t>
      </w:r>
    </w:p>
    <w:p>
      <w:pPr>
        <w:pStyle w:val="Normal"/>
        <w:ind w:left="5245" w:hanging="0"/>
        <w:jc w:val="right"/>
        <w:rPr>
          <w:lang w:eastAsia="x-none"/>
        </w:rPr>
      </w:pPr>
      <w:r>
        <w:rPr>
          <w:lang w:eastAsia="x-none"/>
        </w:rPr>
      </w:r>
    </w:p>
    <w:p>
      <w:pPr>
        <w:pStyle w:val="Normal"/>
        <w:ind w:left="5245" w:hanging="0"/>
        <w:jc w:val="both"/>
        <w:rPr>
          <w:lang w:eastAsia="x-none"/>
        </w:rPr>
      </w:pPr>
      <w:r>
        <w:rPr>
          <w:lang w:eastAsia="x-none"/>
        </w:rPr>
        <w:t xml:space="preserve">                   </w:t>
      </w:r>
      <w:r>
        <w:rPr>
          <w:lang w:eastAsia="x-none"/>
        </w:rPr>
        <w:t>____________</w:t>
      </w:r>
      <w:r>
        <w:rPr>
          <w:sz w:val="28"/>
          <w:szCs w:val="28"/>
          <w:lang w:eastAsia="x-none"/>
        </w:rPr>
        <w:t>В.Ю. Золотарёв</w:t>
      </w:r>
    </w:p>
    <w:p>
      <w:pPr>
        <w:pStyle w:val="Normal"/>
        <w:numPr>
          <w:ilvl w:val="0"/>
          <w:numId w:val="0"/>
        </w:numPr>
        <w:ind w:left="5245" w:hanging="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36"/>
          <w:szCs w:val="28"/>
        </w:rPr>
      </w:pPr>
      <w:r>
        <w:rPr>
          <w:rFonts w:eastAsia="Calibri"/>
          <w:b/>
          <w:sz w:val="36"/>
          <w:szCs w:val="28"/>
        </w:rPr>
      </w:r>
    </w:p>
    <w:p>
      <w:pPr>
        <w:pStyle w:val="Normal"/>
        <w:keepNext w:val="true"/>
        <w:keepLines/>
        <w:jc w:val="center"/>
        <w:rPr>
          <w:sz w:val="36"/>
          <w:szCs w:val="28"/>
        </w:rPr>
      </w:pPr>
      <w:bookmarkStart w:id="2" w:name="_Toc139856287"/>
      <w:bookmarkStart w:id="3" w:name="_Toc137554584"/>
      <w:bookmarkStart w:id="4" w:name="_Toc141696704"/>
      <w:r>
        <w:rPr>
          <w:rFonts w:eastAsia="Calibri"/>
          <w:b/>
          <w:sz w:val="36"/>
          <w:szCs w:val="28"/>
        </w:rPr>
        <w:t xml:space="preserve">Технические требования на </w:t>
      </w:r>
      <w:bookmarkEnd w:id="2"/>
      <w:bookmarkEnd w:id="3"/>
      <w:bookmarkEnd w:id="4"/>
    </w:p>
    <w:p>
      <w:pPr>
        <w:pStyle w:val="Normal"/>
        <w:tabs>
          <w:tab w:val="left" w:pos="708" w:leader="none"/>
        </w:tabs>
        <w:spacing w:before="0" w:after="0"/>
        <w:ind w:left="0" w:right="0" w:firstLine="709"/>
        <w:jc w:val="center"/>
        <w:rPr>
          <w:sz w:val="36"/>
          <w:szCs w:val="28"/>
        </w:rPr>
      </w:pPr>
      <w:r>
        <w:rPr>
          <w:rFonts w:eastAsia="Calibri" w:cs="Times New Roman"/>
          <w:b/>
          <w:bCs/>
          <w:i w:val="false"/>
          <w:iCs w:val="false"/>
          <w:sz w:val="36"/>
          <w:szCs w:val="28"/>
          <w:lang w:val="ru-RU" w:eastAsia="en-US" w:bidi="ar-SA"/>
        </w:rPr>
        <w:t>ОКПД2: 38.21.10.000 Услуги по утилизации твердых коммунальных отходов для нужд Колымского строительного  Дальневосточного филиала АО "ТК РусГидро",</w:t>
      </w:r>
    </w:p>
    <w:p>
      <w:pPr>
        <w:pStyle w:val="Normal"/>
        <w:tabs>
          <w:tab w:val="left" w:pos="708" w:leader="none"/>
        </w:tabs>
        <w:spacing w:before="0" w:after="0"/>
        <w:ind w:left="0" w:right="0" w:firstLine="709"/>
        <w:jc w:val="center"/>
        <w:rPr>
          <w:sz w:val="36"/>
          <w:szCs w:val="28"/>
        </w:rPr>
      </w:pPr>
      <w:r>
        <w:rPr>
          <w:rFonts w:eastAsia="Calibri" w:cs="Times New Roman"/>
          <w:b/>
          <w:bCs/>
          <w:i w:val="false"/>
          <w:iCs w:val="false"/>
          <w:sz w:val="36"/>
          <w:szCs w:val="28"/>
          <w:lang w:val="ru-RU" w:eastAsia="en-US" w:bidi="ar-SA"/>
        </w:rPr>
        <w:t xml:space="preserve">Лот </w:t>
      </w:r>
      <w:r>
        <w:rPr>
          <w:rFonts w:eastAsia="Calibri" w:cs="Times New Roman"/>
          <w:b/>
          <w:bCs/>
          <w:i w:val="false"/>
          <w:iCs w:val="false"/>
          <w:sz w:val="36"/>
          <w:szCs w:val="28"/>
          <w:lang w:val="ru-RU" w:eastAsia="en-US" w:bidi="ar-SA"/>
        </w:rPr>
        <w:t>№ 3235-ЭКСП ОРГ-2026-ТК_Дальневост_фил</w:t>
      </w:r>
      <w:r>
        <w:br w:type="page"/>
      </w:r>
    </w:p>
    <w:p>
      <w:pPr>
        <w:pStyle w:val="Normal"/>
        <w:keepNext w:val="true"/>
        <w:keepLines/>
        <w:rPr>
          <w:rFonts w:eastAsia="Calibri"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25983858">
            <w:r>
              <w:rPr>
                <w:webHidden/>
                <w:rStyle w:val="Style14"/>
                <w:vanish w:val="false"/>
              </w:rPr>
              <w:t>1.Общие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_Toc125983858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sz w:val="20"/>
                <w:szCs w:val="20"/>
              </w:rPr>
              <w:tab/>
              <w:t xml:space="preserve"> 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59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_Toc125983859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Обозначения и сокращения………………………………………………………………………………………………3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60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</w:rPr>
              <w:t>Наименование закупаемой продукции………………………………………………………………………………….3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ind w:left="0" w:hanging="0"/>
            <w:rPr/>
          </w:pPr>
          <w:hyperlink w:anchor="_Toc125983861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</w:rPr>
              <w:t>Цель оказания услуг……………………………………………………………………………………………………</w:t>
            </w:r>
          </w:hyperlink>
          <w:r>
            <w:rPr/>
            <w:t xml:space="preserve">.. </w:t>
          </w:r>
          <w:hyperlink w:anchor="_Toc12598386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_Toc125983861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sz w:val="20"/>
              <w:szCs w:val="20"/>
            </w:rPr>
          </w:pPr>
          <w:r>
            <w:rPr>
              <w:sz w:val="20"/>
              <w:szCs w:val="20"/>
            </w:rPr>
            <w:t>1.4. Существующее положение……………………………………………………………………………………………...3</w:t>
          </w:r>
        </w:p>
        <w:p>
          <w:pPr>
            <w:pStyle w:val="TOC4"/>
            <w:ind w:left="0" w:hanging="0"/>
            <w:rPr/>
          </w:pPr>
          <w:hyperlink w:anchor="_Toc125983863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  <w:lang w:eastAsia="ar-SA"/>
              </w:rPr>
              <w:t>Таблица</w:t>
            </w:r>
          </w:hyperlink>
          <w:r>
            <w:rPr>
              <w:b/>
              <w:bCs/>
              <w:sz w:val="24"/>
              <w:szCs w:val="24"/>
              <w:lang w:eastAsia="ar-SA"/>
            </w:rPr>
            <w:t xml:space="preserve"> 1. Перечень объектов заказчика </w:t>
          </w:r>
          <w:r>
            <w:rPr>
              <w:lang w:eastAsia="ar-SA"/>
            </w:rPr>
            <w:t>……………………………………………………………………. .3</w:t>
          </w:r>
        </w:p>
        <w:p>
          <w:pPr>
            <w:pStyle w:val="Normal"/>
            <w:rPr/>
          </w:pPr>
          <w:r>
            <w:rPr>
              <w:b/>
              <w:bCs/>
              <w:sz w:val="24"/>
              <w:szCs w:val="24"/>
            </w:rPr>
            <w:t>2. Требования к продукции</w:t>
          </w:r>
          <w:r>
            <w:rPr>
              <w:b/>
              <w:bCs/>
              <w:sz w:val="20"/>
              <w:szCs w:val="20"/>
            </w:rPr>
            <w:t>……………………………………………………………………………………….. ..3</w:t>
          </w:r>
        </w:p>
        <w:p>
          <w:pPr>
            <w:pStyle w:val="TOC4"/>
            <w:ind w:left="0" w:hanging="0"/>
            <w:rPr/>
          </w:pPr>
          <w:r>
            <w:rPr>
              <w:iCs/>
            </w:rPr>
            <w:t>2.1</w:t>
          </w:r>
          <w:hyperlink w:anchor="_Toc125983867">
            <w:r>
              <w:rPr>
                <w:webHidden/>
                <w:rStyle w:val="Style14"/>
                <w:iCs/>
                <w:vanish w:val="false"/>
              </w:rPr>
              <w:t xml:space="preserve">. </w:t>
            </w:r>
            <w:r>
              <w:rPr>
                <w:rStyle w:val="Style14"/>
              </w:rPr>
              <w:t>Требования к объемам и срокам оказания услуг……………………………………………………………………</w:t>
            </w:r>
          </w:hyperlink>
          <w:r>
            <w:rPr/>
            <w:t>.. .3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r>
            <w:rPr/>
            <w:t>2.1</w:t>
          </w:r>
          <w:hyperlink w:anchor="_Toc125983868">
            <w:r>
              <w:rPr>
                <w:webHidden/>
                <w:rStyle w:val="Style14"/>
                <w:vanish w:val="false"/>
              </w:rPr>
              <w:t>.1.Требования к перечню и объему услуг………………………………………………………………………………</w:t>
            </w:r>
          </w:hyperlink>
          <w:r>
            <w:rPr/>
            <w:t>. 3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hyperlink w:anchor="_Toc125983869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 2. Перечень и объем оказываемых услуг</w:t>
            </w:r>
            <w:r>
              <w:rPr>
                <w:rStyle w:val="Style14"/>
                <w:b w:val="false"/>
                <w:bCs w:val="false"/>
                <w:vanish w:val="false"/>
                <w:sz w:val="24"/>
                <w:szCs w:val="24"/>
              </w:rPr>
              <w:t>………………………………………………</w:t>
            </w:r>
          </w:hyperlink>
          <w:r>
            <w:rPr>
              <w:b w:val="false"/>
              <w:bCs w:val="false"/>
              <w:sz w:val="24"/>
              <w:szCs w:val="24"/>
            </w:rPr>
            <w:t>.</w:t>
          </w:r>
          <w:r>
            <w:rPr>
              <w:b w:val="false"/>
              <w:bCs w:val="false"/>
              <w:sz w:val="20"/>
              <w:szCs w:val="20"/>
            </w:rPr>
            <w:t xml:space="preserve"> </w:t>
          </w:r>
          <w:r>
            <w:rPr>
              <w:b/>
              <w:bCs/>
              <w:sz w:val="20"/>
              <w:szCs w:val="20"/>
            </w:rPr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r>
            <w:rPr/>
            <w:t xml:space="preserve">2.1.2 </w:t>
          </w:r>
          <w:hyperlink w:anchor="_Toc125983870">
            <w:r>
              <w:rPr>
                <w:webHidden/>
                <w:rStyle w:val="Style14"/>
                <w:vanish w:val="false"/>
              </w:rPr>
              <w:t>Требования к срокам оказания услуг</w:t>
              <w:tab/>
            </w:r>
          </w:hyperlink>
          <w:r>
            <w:rPr/>
            <w:t>4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ind w:left="0" w:hanging="0"/>
            <w:rPr/>
          </w:pPr>
          <w:hyperlink w:anchor="_Toc125983871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 3. Требования к срокам оказания услуг</w:t>
            </w:r>
            <w:r>
              <w:rPr>
                <w:rStyle w:val="Style14"/>
              </w:rPr>
              <w:tab/>
            </w:r>
          </w:hyperlink>
          <w:r>
            <w:rPr/>
            <w:t>4</w:t>
          </w:r>
        </w:p>
        <w:p>
          <w:pPr>
            <w:pStyle w:val="TOC4"/>
            <w:ind w:left="0" w:hanging="0"/>
            <w:rPr/>
          </w:pPr>
          <w:r>
            <w:rPr>
              <w:iCs/>
            </w:rPr>
            <w:t xml:space="preserve">2.2. </w:t>
          </w:r>
          <w:hyperlink w:anchor="_Toc125983872">
            <w:r>
              <w:rPr>
                <w:webHidden/>
                <w:rStyle w:val="Style14"/>
                <w:vanish w:val="false"/>
              </w:rPr>
              <w:t>Требования к качеству услуг……………………………………………………………………………………………</w:t>
            </w:r>
          </w:hyperlink>
          <w:r>
            <w:rPr/>
            <w:t>.5</w:t>
          </w:r>
        </w:p>
        <w:p>
          <w:pPr>
            <w:pStyle w:val="TOC4"/>
            <w:ind w:left="0" w:hanging="0"/>
            <w:rPr/>
          </w:pPr>
          <w:hyperlink w:anchor="_Toc125983873">
            <w:r>
              <w:rPr>
                <w:webHidden/>
                <w:rStyle w:val="Style14"/>
                <w:b/>
                <w:bCs/>
                <w:vanish w:val="false"/>
                <w:sz w:val="24"/>
                <w:szCs w:val="24"/>
              </w:rPr>
              <w:t>Таблица 4. Требования к качеству услуг</w:t>
            </w:r>
            <w:r>
              <w:rPr>
                <w:rStyle w:val="Style14"/>
              </w:rPr>
              <w:t>……………………………………………………………………..</w:t>
            </w:r>
          </w:hyperlink>
          <w:r>
            <w:rPr/>
            <w:t xml:space="preserve"> ..5</w:t>
          </w:r>
        </w:p>
        <w:p>
          <w:pPr>
            <w:pStyle w:val="Normal"/>
            <w:rPr/>
          </w:pPr>
          <w:r>
            <w:rPr>
              <w:b/>
              <w:bCs/>
              <w:sz w:val="24"/>
              <w:szCs w:val="24"/>
            </w:rPr>
            <w:t>3. Требования к документации по ценообразованию на этапе заключения (исполнения) договора..……………………………………………………………………………………</w:t>
          </w:r>
          <w:r>
            <w:rPr>
              <w:b/>
              <w:bCs/>
              <w:sz w:val="20"/>
              <w:szCs w:val="20"/>
            </w:rPr>
            <w:t>...…………..12</w:t>
          </w:r>
          <w:r>
            <w:rPr>
              <w:sz w:val="20"/>
              <w:b/>
              <w:szCs w:val="20"/>
              <w:bCs/>
            </w:rPr>
            <w:fldChar w:fldCharType="end"/>
          </w:r>
        </w:p>
      </w:sdtContent>
    </w:sdt>
    <w:p>
      <w:pPr>
        <w:pStyle w:val="Normal"/>
        <w:rPr>
          <w:rFonts w:eastAsia="Calibri" w:cs="Arial"/>
          <w:sz w:val="20"/>
          <w:szCs w:val="24"/>
        </w:rPr>
      </w:pPr>
      <w:r>
        <w:rPr>
          <w:rFonts w:eastAsia="Calibri" w:cs="Arial"/>
          <w:sz w:val="20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bookmarkStart w:id="5" w:name="_GoBack"/>
      <w:bookmarkStart w:id="6" w:name="_GoBack"/>
      <w:bookmarkEnd w:id="6"/>
      <w:r>
        <w:br w:type="page"/>
      </w:r>
    </w:p>
    <w:p>
      <w:pPr>
        <w:pStyle w:val="Heading1"/>
        <w:numPr>
          <w:ilvl w:val="0"/>
          <w:numId w:val="1"/>
        </w:numPr>
        <w:ind w:left="5038" w:hanging="360"/>
        <w:rPr>
          <w:b/>
          <w:bCs/>
        </w:rPr>
      </w:pPr>
      <w:bookmarkStart w:id="7" w:name="_Toc125983858"/>
      <w:r>
        <w:rPr>
          <w:b/>
          <w:bCs/>
          <w:sz w:val="24"/>
          <w:szCs w:val="24"/>
        </w:rPr>
        <w:t>Общие сведения</w:t>
      </w:r>
      <w:bookmarkEnd w:id="7"/>
    </w:p>
    <w:p>
      <w:pPr>
        <w:pStyle w:val="Normal"/>
        <w:numPr>
          <w:ilvl w:val="0"/>
        </w:numPr>
        <w:tabs>
          <w:tab w:val="clear" w:pos="708"/>
        </w:tabs>
        <w:ind w:left="0" w:right="0" w:hanging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1.1</w:t>
      </w:r>
      <w:r>
        <w:rPr>
          <w:rFonts w:ascii="Times New Roman" w:hAnsi="Times New Roman"/>
          <w:b/>
          <w:bCs/>
          <w:sz w:val="24"/>
          <w:szCs w:val="24"/>
        </w:rPr>
        <w:t>. Обозначения и сокращения</w:t>
      </w:r>
    </w:p>
    <w:p>
      <w:pPr>
        <w:pStyle w:val="Normal"/>
        <w:ind w:left="426" w:right="0" w:hanging="426"/>
        <w:rPr>
          <w:b/>
        </w:rPr>
      </w:pPr>
      <w:r>
        <w:rPr>
          <w:b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ТКО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bCs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Твердые коммунальные отходы</w:t>
            </w:r>
          </w:p>
        </w:tc>
      </w:tr>
    </w:tbl>
    <w:p>
      <w:pPr>
        <w:pStyle w:val="Heading4"/>
        <w:numPr>
          <w:ilvl w:val="0"/>
        </w:numPr>
        <w:tabs>
          <w:tab w:val="clear" w:pos="0"/>
        </w:tabs>
        <w:ind w:left="426" w:right="0" w:hanging="0"/>
        <w:rPr>
          <w:b/>
        </w:rPr>
      </w:pPr>
      <w:r>
        <w:rPr/>
      </w:r>
      <w:bookmarkStart w:id="8" w:name="__RefHeading___Toc1595_3110842878"/>
      <w:bookmarkStart w:id="9" w:name="__RefHeading___Toc1595_3110842878"/>
      <w:bookmarkEnd w:id="9"/>
    </w:p>
    <w:p>
      <w:pPr>
        <w:pStyle w:val="Heading4"/>
        <w:numPr>
          <w:ilvl w:val="0"/>
          <w:numId w:val="0"/>
        </w:numPr>
        <w:ind w:hanging="0"/>
        <w:rPr>
          <w:b/>
        </w:rPr>
      </w:pPr>
      <w:r>
        <w:rPr>
          <w:b/>
        </w:rPr>
        <w:t xml:space="preserve">1.2. </w:t>
      </w:r>
      <w:bookmarkStart w:id="10" w:name="_Toc46743506"/>
      <w:bookmarkStart w:id="11" w:name="_Toc125983860"/>
      <w:r>
        <w:rPr>
          <w:b/>
        </w:rPr>
        <w:t>Наименование закупаемой продукции</w:t>
      </w:r>
      <w:bookmarkEnd w:id="10"/>
      <w:bookmarkEnd w:id="11"/>
    </w:p>
    <w:p>
      <w:pPr>
        <w:pStyle w:val="Normal"/>
        <w:keepNext w:val="true"/>
        <w:keepLines/>
        <w:jc w:val="both"/>
        <w:rPr>
          <w:rFonts w:eastAsia="Calibri"/>
        </w:rPr>
      </w:pPr>
      <w:r>
        <w:rPr>
          <w:rFonts w:eastAsia="Calibri"/>
          <w:sz w:val="24"/>
          <w:szCs w:val="24"/>
        </w:rPr>
        <w:t xml:space="preserve">       </w:t>
      </w:r>
      <w:r>
        <w:rPr>
          <w:rFonts w:eastAsia="Calibri"/>
          <w:sz w:val="24"/>
          <w:szCs w:val="24"/>
        </w:rPr>
        <w:t>ОКПД2: 38.21.10.000 Услуги по утилизации твердых коммунальных отходов для нужд Колымского строительного  Дальневосточного филиала АО "ТК РусГидро"</w:t>
      </w:r>
    </w:p>
    <w:p>
      <w:pPr>
        <w:pStyle w:val="Heading4"/>
        <w:numPr>
          <w:ilvl w:val="0"/>
          <w:numId w:val="0"/>
        </w:numPr>
        <w:ind w:hanging="0"/>
        <w:rPr>
          <w:b/>
        </w:rPr>
      </w:pPr>
      <w:r>
        <w:rPr>
          <w:b/>
        </w:rPr>
        <w:t xml:space="preserve">1.3. </w:t>
      </w:r>
      <w:bookmarkStart w:id="12" w:name="_Toc46743507"/>
      <w:bookmarkStart w:id="13" w:name="_Toc125983861"/>
      <w:r>
        <w:rPr>
          <w:b/>
        </w:rPr>
        <w:t xml:space="preserve">Цель </w:t>
      </w:r>
      <w:bookmarkEnd w:id="12"/>
      <w:r>
        <w:rPr>
          <w:b/>
        </w:rPr>
        <w:t>оказания услуг</w:t>
      </w:r>
      <w:bookmarkEnd w:id="13"/>
    </w:p>
    <w:p>
      <w:pPr>
        <w:pStyle w:val="Normal"/>
        <w:tabs>
          <w:tab w:val="clear" w:pos="708"/>
          <w:tab w:val="left" w:pos="426" w:leader="none"/>
        </w:tabs>
        <w:ind w:firstLine="567"/>
        <w:jc w:val="both"/>
        <w:rPr>
          <w:sz w:val="24"/>
          <w:szCs w:val="24"/>
        </w:rPr>
      </w:pPr>
      <w:r>
        <w:rPr>
          <w:color w:val="000000"/>
          <w:sz w:val="24"/>
          <w:szCs w:val="24"/>
          <w:lang w:val="ru-RU"/>
        </w:rPr>
        <w:t xml:space="preserve">Соблюдение требований Федерального закона РФ от 24.06.1998 № 89-ФЗ «Об отходах производства и потребления», а именно заключения договора с региональным оператором по обращению с твердыми коммунальными отходами, с целью оказание услуги по сбору, транспортировки, обработки, утилизации, обезвреживанию и захоронению </w:t>
      </w:r>
      <w:r>
        <w:rPr>
          <w:color w:val="000000"/>
          <w:sz w:val="24"/>
          <w:szCs w:val="24"/>
          <w:lang w:val="ru-RU"/>
        </w:rPr>
        <w:t>т</w:t>
      </w:r>
      <w:r>
        <w:rPr>
          <w:color w:val="000000"/>
          <w:sz w:val="24"/>
          <w:szCs w:val="24"/>
          <w:lang w:val="ru-RU"/>
        </w:rPr>
        <w:t>вердых коммунальных отходов.</w:t>
      </w:r>
    </w:p>
    <w:p>
      <w:pPr>
        <w:pStyle w:val="Normal"/>
        <w:jc w:val="both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Таблица № 1.  Перечень объектов </w:t>
      </w:r>
      <w:r>
        <w:rPr>
          <w:b/>
          <w:bCs/>
          <w:sz w:val="24"/>
          <w:szCs w:val="24"/>
        </w:rPr>
        <w:t>з</w:t>
      </w:r>
      <w:r>
        <w:rPr>
          <w:b/>
          <w:bCs/>
          <w:sz w:val="24"/>
          <w:szCs w:val="24"/>
        </w:rPr>
        <w:t>аказчика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18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34"/>
        <w:gridCol w:w="2976"/>
        <w:gridCol w:w="2874"/>
        <w:gridCol w:w="1616"/>
        <w:gridCol w:w="2181"/>
      </w:tblGrid>
      <w:tr>
        <w:trPr/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  <w:tab w:val="left" w:pos="1868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Расположение объекта (место оказания услуг)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оказываются услуги)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ОКПД2: 38.21.10.000 Услуги по утилизации твердых коммунальных отходов для нужд Колымского строительного  Дальневосточного филиала АО "ТК РусГидро"</w:t>
            </w:r>
          </w:p>
        </w:tc>
        <w:tc>
          <w:tcPr>
            <w:tcW w:w="2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Магаданская область,</w:t>
            </w:r>
          </w:p>
          <w:p>
            <w:pPr>
              <w:pStyle w:val="Normal"/>
              <w:widowControl w:val="false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Ягоднинский район, </w:t>
            </w:r>
            <w:r>
              <w:rPr>
                <w:iCs/>
                <w:sz w:val="24"/>
                <w:szCs w:val="24"/>
              </w:rPr>
              <w:t>а. Синегорье, Энергетиков , д. 3а</w:t>
            </w:r>
          </w:p>
        </w:tc>
        <w:tc>
          <w:tcPr>
            <w:tcW w:w="1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Твердые коммунальные отходы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Мусор от офисных и бытовых помещений организаций не сортированный (исключая крупногабаритны), код ФККО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7</w:t>
            </w:r>
            <w:r>
              <w:rPr>
                <w:rFonts w:cs="Times New Roman"/>
                <w:color w:val="000000"/>
                <w:spacing w:val="2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33</w:t>
            </w:r>
            <w:r>
              <w:rPr>
                <w:rFonts w:cs="Times New Roman"/>
                <w:color w:val="000000"/>
                <w:spacing w:val="3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10</w:t>
            </w:r>
            <w:r>
              <w:rPr>
                <w:rFonts w:cs="Times New Roman"/>
                <w:color w:val="000000"/>
                <w:spacing w:val="1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001</w:t>
            </w:r>
            <w:r>
              <w:rPr>
                <w:rFonts w:cs="Times New Roman"/>
                <w:color w:val="000000"/>
                <w:spacing w:val="3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72</w:t>
            </w:r>
            <w:r>
              <w:rPr>
                <w:rFonts w:cs="Times New Roman"/>
                <w:color w:val="000000"/>
                <w:spacing w:val="1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shd w:fill="auto" w:val="clear"/>
              </w:rPr>
              <w:t>4, IV класс опасности</w:t>
            </w:r>
          </w:p>
        </w:tc>
      </w:tr>
    </w:tbl>
    <w:p>
      <w:pPr>
        <w:pStyle w:val="Normal"/>
        <w:widowControl w:val="false"/>
        <w:spacing w:before="0" w:after="0"/>
        <w:contextualSpacing/>
        <w:jc w:val="center"/>
        <w:textAlignment w:val="baseline"/>
        <w:rPr>
          <w:b/>
          <w:bCs/>
          <w:szCs w:val="24"/>
        </w:rPr>
      </w:pPr>
      <w:r>
        <w:rPr>
          <w:b/>
          <w:bCs/>
          <w:szCs w:val="24"/>
        </w:rPr>
      </w:r>
    </w:p>
    <w:p>
      <w:pPr>
        <w:pStyle w:val="Heading4"/>
        <w:numPr>
          <w:ilvl w:val="0"/>
          <w:numId w:val="0"/>
        </w:numPr>
        <w:ind w:left="-11" w:hanging="0"/>
        <w:rPr>
          <w:b/>
          <w:bCs/>
        </w:rPr>
      </w:pPr>
      <w:r>
        <w:rPr>
          <w:b/>
          <w:bCs/>
          <w:color w:val="000000"/>
          <w:lang w:val="ru-RU"/>
        </w:rPr>
        <w:t xml:space="preserve">1.4. </w:t>
      </w:r>
      <w:bookmarkStart w:id="14" w:name="_Toc162698177_Копия_1"/>
      <w:r>
        <w:rPr>
          <w:b/>
          <w:bCs/>
          <w:color w:val="000000"/>
          <w:lang w:val="ru-RU"/>
        </w:rPr>
        <w:t>Иные требования и сведения общего характера</w:t>
      </w:r>
      <w:bookmarkEnd w:id="14"/>
    </w:p>
    <w:p>
      <w:pPr>
        <w:pStyle w:val="Normal"/>
        <w:numPr>
          <w:ilvl w:val="0"/>
          <w:numId w:val="0"/>
        </w:numPr>
        <w:ind w:left="-11" w:hanging="0"/>
        <w:jc w:val="both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color w:val="000000"/>
          <w:sz w:val="24"/>
          <w:szCs w:val="24"/>
          <w:lang w:val="ru-RU"/>
        </w:rPr>
        <w:t>Заказчик предоставляет Исполнителю информацию о местах накопления, объемах, количестве контейнеров, схемах проездов.</w:t>
      </w:r>
    </w:p>
    <w:p>
      <w:pPr>
        <w:pStyle w:val="Normal"/>
        <w:ind w:left="-11" w:hanging="0"/>
        <w:rPr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widowControl w:val="false"/>
        <w:spacing w:lineRule="auto" w:line="360" w:before="0" w:after="0"/>
        <w:contextualSpacing/>
        <w:jc w:val="center"/>
        <w:textAlignment w:val="baseline"/>
        <w:rPr/>
      </w:pPr>
      <w:r>
        <w:rPr>
          <w:b/>
          <w:bCs/>
          <w:sz w:val="24"/>
          <w:szCs w:val="24"/>
        </w:rPr>
        <w:t xml:space="preserve">2. </w:t>
      </w:r>
      <w:bookmarkStart w:id="15" w:name="_Toc125983866"/>
      <w:bookmarkStart w:id="16" w:name="_Toc51339693"/>
      <w:r>
        <w:rPr>
          <w:b/>
          <w:bCs/>
          <w:sz w:val="24"/>
          <w:szCs w:val="24"/>
        </w:rPr>
        <w:t>Требования к продукции</w:t>
      </w:r>
      <w:bookmarkEnd w:id="15"/>
      <w:bookmarkEnd w:id="16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2.1</w:t>
      </w:r>
      <w:bookmarkStart w:id="17" w:name="_Toc125983867"/>
      <w:r>
        <w:rPr>
          <w:b/>
          <w:bCs/>
          <w:sz w:val="24"/>
          <w:szCs w:val="24"/>
        </w:rPr>
        <w:t>. Требования к объемам и срокам оказания услуг</w:t>
      </w:r>
      <w:bookmarkEnd w:id="17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>
          <w:b/>
          <w:bCs/>
          <w:sz w:val="24"/>
          <w:szCs w:val="24"/>
        </w:rPr>
        <w:t>2.1.1</w:t>
      </w:r>
      <w:bookmarkStart w:id="18" w:name="_Toc125983868"/>
      <w:r>
        <w:rPr>
          <w:b/>
          <w:bCs/>
          <w:sz w:val="24"/>
          <w:szCs w:val="24"/>
        </w:rPr>
        <w:t>. Требования к перечню и объему услуг</w:t>
      </w:r>
      <w:bookmarkEnd w:id="18"/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r>
        <w:rPr/>
      </w:r>
    </w:p>
    <w:p>
      <w:pPr>
        <w:pStyle w:val="Normal"/>
        <w:widowControl w:val="false"/>
        <w:spacing w:lineRule="auto" w:line="360" w:before="0" w:after="0"/>
        <w:contextualSpacing/>
        <w:textAlignment w:val="baseline"/>
        <w:rPr>
          <w:sz w:val="24"/>
          <w:szCs w:val="24"/>
        </w:rPr>
      </w:pPr>
      <w:bookmarkStart w:id="19" w:name="_Toc51339695_Копия_1"/>
      <w:bookmarkStart w:id="20" w:name="_Toc125983869_Копия_1"/>
      <w:r>
        <w:rPr>
          <w:b/>
          <w:bCs/>
          <w:sz w:val="24"/>
          <w:szCs w:val="24"/>
        </w:rPr>
        <w:t xml:space="preserve">Таблица 2. Перечень </w:t>
      </w:r>
      <w:bookmarkEnd w:id="19"/>
      <w:r>
        <w:rPr>
          <w:b/>
          <w:bCs/>
          <w:sz w:val="24"/>
          <w:szCs w:val="24"/>
        </w:rPr>
        <w:t>и объем оказываемых услуг</w:t>
      </w:r>
      <w:bookmarkEnd w:id="20"/>
    </w:p>
    <w:tbl>
      <w:tblPr>
        <w:tblW w:w="10377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91"/>
        <w:gridCol w:w="5251"/>
        <w:gridCol w:w="1405"/>
        <w:gridCol w:w="9"/>
        <w:gridCol w:w="3120"/>
      </w:tblGrid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Количество*</w:t>
            </w:r>
          </w:p>
        </w:tc>
      </w:tr>
      <w:tr>
        <w:trPr/>
        <w:tc>
          <w:tcPr>
            <w:tcW w:w="5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41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1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3"/>
              </w:numPr>
              <w:rPr/>
            </w:pPr>
            <w:r>
              <w:rPr/>
            </w:r>
          </w:p>
        </w:tc>
        <w:tc>
          <w:tcPr>
            <w:tcW w:w="5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  <w:sz w:val="24"/>
                <w:szCs w:val="24"/>
              </w:rPr>
              <w:t>ОКПД2: 38.21.10.000 Услуги по утилизации твердых коммунальных отходов для нужд Колымского строительного  Дальневосточного филиала АО "ТК РусГидро"</w:t>
            </w: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м3</w:t>
            </w:r>
          </w:p>
        </w:tc>
        <w:tc>
          <w:tcPr>
            <w:tcW w:w="3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i w:val="false"/>
                <w:i w:val="false"/>
                <w:iCs w:val="false"/>
                <w:highlight w:val="none"/>
                <w:shd w:fill="auto" w:val="clear"/>
              </w:rPr>
            </w:pPr>
            <w:r>
              <w:rPr>
                <w:i w:val="false"/>
                <w:iCs w:val="false"/>
                <w:sz w:val="24"/>
                <w:szCs w:val="24"/>
                <w:shd w:fill="auto" w:val="clear"/>
              </w:rPr>
              <w:t>1,8592</w:t>
            </w:r>
          </w:p>
        </w:tc>
      </w:tr>
    </w:tbl>
    <w:p>
      <w:pPr>
        <w:pStyle w:val="Heading3"/>
        <w:tabs>
          <w:tab w:val="clear" w:pos="0"/>
        </w:tabs>
        <w:ind w:left="0" w:firstLine="720"/>
        <w:rPr/>
      </w:pPr>
      <w:bookmarkStart w:id="21" w:name="__RefHeading___Toc15362_4018742652"/>
      <w:bookmarkEnd w:id="21"/>
      <w:r>
        <w:rPr>
          <w:b/>
          <w:bCs/>
          <w:sz w:val="28"/>
          <w:lang w:val="ru-RU"/>
        </w:rPr>
        <w:t>*</w:t>
      </w:r>
      <w:r>
        <w:rPr>
          <w:bCs/>
          <w:i/>
          <w:iCs/>
          <w:lang w:val="ru-RU"/>
        </w:rPr>
        <w:t>Объем услуг является ориентировочным, заказчик не несет ответственности за неполную выборку продукции на общую сумму договора</w:t>
      </w:r>
      <w:r>
        <w:rPr>
          <w:bCs/>
          <w:i/>
          <w:iCs/>
          <w:sz w:val="28"/>
          <w:lang w:val="ru-RU"/>
        </w:rPr>
        <w:t>.</w:t>
      </w:r>
    </w:p>
    <w:p>
      <w:pPr>
        <w:pStyle w:val="Heading3"/>
        <w:tabs>
          <w:tab w:val="clear" w:pos="0"/>
        </w:tabs>
        <w:ind w:left="0" w:hanging="0"/>
        <w:rPr>
          <w:b/>
          <w:bCs/>
        </w:rPr>
      </w:pPr>
      <w:r>
        <w:rPr>
          <w:b/>
          <w:bCs/>
          <w:lang w:val="ru-RU"/>
        </w:rPr>
        <w:t>2.1.2</w:t>
      </w:r>
      <w:bookmarkStart w:id="22" w:name="_Toc125983870_Копия_1"/>
      <w:bookmarkStart w:id="23" w:name="_Toc51339696_Копия_1"/>
      <w:r>
        <w:rPr>
          <w:b/>
          <w:bCs/>
          <w:lang w:val="ru-RU"/>
        </w:rPr>
        <w:t xml:space="preserve">. </w:t>
      </w:r>
      <w:r>
        <w:rPr>
          <w:b/>
          <w:bCs/>
        </w:rPr>
        <w:t xml:space="preserve">Требования </w:t>
      </w:r>
      <w:bookmarkEnd w:id="23"/>
      <w:r>
        <w:rPr>
          <w:b/>
          <w:bCs/>
        </w:rPr>
        <w:t>к срокам оказания услуг</w:t>
      </w:r>
      <w:bookmarkEnd w:id="22"/>
    </w:p>
    <w:p>
      <w:pPr>
        <w:pStyle w:val="Heading1"/>
        <w:tabs>
          <w:tab w:val="clear" w:pos="0"/>
        </w:tabs>
        <w:ind w:left="0" w:hanging="0"/>
        <w:rPr>
          <w:b/>
          <w:bCs/>
        </w:rPr>
      </w:pPr>
      <w:bookmarkStart w:id="24" w:name="_Toc125983871_Копия_1"/>
      <w:bookmarkStart w:id="25" w:name="_Toc51339697_Копия_1"/>
      <w:bookmarkStart w:id="26" w:name="_Toc50125127_Копия_1"/>
      <w:bookmarkStart w:id="27" w:name="_Toc50125126_Копия_1_Копия_1"/>
      <w:bookmarkEnd w:id="27"/>
      <w:r>
        <w:rPr>
          <w:b/>
          <w:bCs/>
          <w:sz w:val="24"/>
          <w:szCs w:val="24"/>
        </w:rPr>
        <w:t xml:space="preserve">Таблица </w:t>
      </w:r>
      <w:r>
        <w:rPr>
          <w:b/>
          <w:bCs/>
          <w:sz w:val="24"/>
          <w:szCs w:val="24"/>
          <w:lang w:val="ru-RU"/>
        </w:rPr>
        <w:t>3</w:t>
      </w:r>
      <w:r>
        <w:rPr>
          <w:b/>
          <w:bCs/>
          <w:sz w:val="24"/>
          <w:szCs w:val="24"/>
        </w:rPr>
        <w:t xml:space="preserve">. </w:t>
      </w:r>
      <w:bookmarkStart w:id="28" w:name="_Hlk50465284_Копия_1"/>
      <w:r>
        <w:rPr>
          <w:b/>
          <w:bCs/>
          <w:sz w:val="24"/>
          <w:szCs w:val="24"/>
        </w:rPr>
        <w:t xml:space="preserve">Требования </w:t>
      </w:r>
      <w:r>
        <w:rPr>
          <w:b/>
          <w:bCs/>
          <w:sz w:val="24"/>
          <w:szCs w:val="24"/>
          <w:lang w:val="ru-RU"/>
        </w:rPr>
        <w:t>к</w:t>
      </w:r>
      <w:r>
        <w:rPr>
          <w:b/>
          <w:bCs/>
          <w:sz w:val="24"/>
          <w:szCs w:val="24"/>
        </w:rPr>
        <w:t xml:space="preserve"> срокам </w:t>
      </w:r>
      <w:bookmarkEnd w:id="25"/>
      <w:bookmarkEnd w:id="26"/>
      <w:bookmarkEnd w:id="28"/>
      <w:r>
        <w:rPr>
          <w:b/>
          <w:bCs/>
          <w:sz w:val="24"/>
          <w:szCs w:val="24"/>
          <w:lang w:val="ru-RU"/>
        </w:rPr>
        <w:t>оказания услуг</w:t>
      </w:r>
      <w:bookmarkEnd w:id="24"/>
    </w:p>
    <w:tbl>
      <w:tblPr>
        <w:tblW w:w="1019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40"/>
        <w:gridCol w:w="4557"/>
        <w:gridCol w:w="2553"/>
        <w:gridCol w:w="2548"/>
      </w:tblGrid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4"/>
              </w:numPr>
              <w:rPr/>
            </w:pPr>
            <w:r>
              <w:rPr/>
            </w:r>
          </w:p>
        </w:tc>
        <w:tc>
          <w:tcPr>
            <w:tcW w:w="4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keepLines/>
              <w:widowControl w:val="false"/>
              <w:jc w:val="both"/>
              <w:rPr>
                <w:rFonts w:eastAsia="Calibri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ОКПД2: 38.21.10.000 Услуги по утилизации твердых коммунальных отходов для нужд Колымского строительного  Дальневосточного филиала АО "ТК РусГидро"</w:t>
            </w:r>
          </w:p>
        </w:tc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4"/>
                <w:szCs w:val="24"/>
              </w:rPr>
              <w:t>с 01.0</w:t>
            </w:r>
            <w:r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.202</w:t>
            </w:r>
            <w:r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г.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4"/>
        <w:numPr>
          <w:ilvl w:val="0"/>
          <w:numId w:val="0"/>
        </w:numPr>
        <w:spacing w:before="0" w:after="0"/>
        <w:ind w:left="0" w:hanging="0"/>
        <w:rPr>
          <w:b/>
        </w:rPr>
      </w:pPr>
      <w:r>
        <w:rPr>
          <w:b/>
          <w:lang w:val="ru-RU"/>
        </w:rPr>
        <w:t>2.2</w:t>
      </w:r>
      <w:bookmarkStart w:id="29" w:name="_Toc50125131_Копия_2"/>
      <w:bookmarkStart w:id="30" w:name="_Toc46743511_Копия_2"/>
      <w:bookmarkStart w:id="31" w:name="_Toc51339698_Копия_2"/>
      <w:bookmarkStart w:id="32" w:name="_Toc125983872_Копия_2"/>
      <w:r>
        <w:rPr>
          <w:b/>
          <w:lang w:val="ru-RU"/>
        </w:rPr>
        <w:t xml:space="preserve">. </w:t>
      </w:r>
      <w:r>
        <w:rPr>
          <w:b/>
        </w:rPr>
        <w:t xml:space="preserve">Требования к </w:t>
      </w:r>
      <w:bookmarkEnd w:id="30"/>
      <w:r>
        <w:rPr>
          <w:b/>
          <w:lang w:val="ru-RU"/>
        </w:rPr>
        <w:t>качеству услуг</w:t>
      </w:r>
      <w:bookmarkEnd w:id="32"/>
    </w:p>
    <w:p>
      <w:pPr>
        <w:pStyle w:val="Heading1"/>
        <w:tabs>
          <w:tab w:val="clear" w:pos="0"/>
        </w:tabs>
        <w:spacing w:before="0" w:after="0"/>
        <w:ind w:left="0" w:hanging="0"/>
        <w:rPr>
          <w:b/>
          <w:bCs/>
        </w:rPr>
      </w:pPr>
      <w:bookmarkStart w:id="33" w:name="_Toc125983873_Копия_2"/>
      <w:r>
        <w:rPr>
          <w:b/>
          <w:bCs/>
          <w:sz w:val="24"/>
          <w:szCs w:val="24"/>
        </w:rPr>
        <w:t>Таблица </w:t>
      </w:r>
      <w:r>
        <w:rPr>
          <w:b/>
          <w:bCs/>
          <w:sz w:val="24"/>
          <w:szCs w:val="24"/>
          <w:lang w:val="ru-RU"/>
        </w:rPr>
        <w:t>4</w:t>
      </w:r>
      <w:r>
        <w:rPr>
          <w:b/>
          <w:bCs/>
          <w:sz w:val="24"/>
          <w:szCs w:val="24"/>
        </w:rPr>
        <w:t xml:space="preserve">. Требования к </w:t>
      </w:r>
      <w:bookmarkEnd w:id="29"/>
      <w:bookmarkEnd w:id="31"/>
      <w:r>
        <w:rPr>
          <w:b/>
          <w:bCs/>
          <w:sz w:val="24"/>
          <w:szCs w:val="24"/>
          <w:lang w:val="ru-RU"/>
        </w:rPr>
        <w:t>качеству услуг</w:t>
      </w:r>
      <w:bookmarkEnd w:id="33"/>
    </w:p>
    <w:p>
      <w:pPr>
        <w:pStyle w:val="Heading1"/>
        <w:tabs>
          <w:tab w:val="clear" w:pos="0"/>
        </w:tabs>
        <w:spacing w:before="0" w:after="0"/>
        <w:ind w:left="0" w:hanging="0"/>
        <w:rPr/>
      </w:pPr>
      <w:r>
        <w:rPr>
          <w:b/>
          <w:bCs/>
          <w:sz w:val="24"/>
          <w:szCs w:val="24"/>
          <w:lang w:val="ru-RU" w:eastAsia="ru-RU"/>
        </w:rPr>
        <w:t xml:space="preserve">Наименование услуг/этапа услуг (позиция № 1 Таблицы 2): </w:t>
      </w:r>
      <w:r>
        <w:rPr>
          <w:rFonts w:eastAsia="Calibri"/>
          <w:b w:val="false"/>
          <w:bCs w:val="false"/>
          <w:sz w:val="24"/>
          <w:szCs w:val="24"/>
          <w:lang w:val="ru-RU" w:eastAsia="ru-RU"/>
        </w:rPr>
        <w:t>ОКПД2: 38.21.10.000 Услуги по утилизации твердых коммунальных отходов для нужд Колымского строительного  Дальневосточного филиала АО "ТК РусГидро"</w:t>
      </w:r>
    </w:p>
    <w:p>
      <w:pPr>
        <w:pStyle w:val="Normal"/>
        <w:rPr/>
      </w:pPr>
      <w:r>
        <w:rPr/>
      </w:r>
      <w:r>
        <w:br w:type="page"/>
      </w:r>
    </w:p>
    <w:tbl>
      <w:tblPr>
        <w:tblW w:w="145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697"/>
        <w:gridCol w:w="5117"/>
        <w:gridCol w:w="345"/>
        <w:gridCol w:w="4775"/>
        <w:gridCol w:w="2181"/>
        <w:gridCol w:w="1385"/>
      </w:tblGrid>
      <w:tr>
        <w:trPr>
          <w:trHeight w:val="276" w:hRule="atLeast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pageBreakBefore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  <w:t>пп</w:t>
            </w:r>
          </w:p>
        </w:tc>
        <w:tc>
          <w:tcPr>
            <w:tcW w:w="54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Наименование параметра</w:t>
            </w:r>
          </w:p>
        </w:tc>
        <w:tc>
          <w:tcPr>
            <w:tcW w:w="47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276" w:hRule="atLeast"/>
        </w:trPr>
        <w:tc>
          <w:tcPr>
            <w:tcW w:w="69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546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477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bookmarkStart w:id="34" w:name="_Toc53499667_Копия_1"/>
            <w:r>
              <w:rPr>
                <w:b/>
                <w:bCs/>
                <w:sz w:val="24"/>
                <w:szCs w:val="24"/>
              </w:rPr>
              <w:t>1</w:t>
            </w:r>
            <w:bookmarkEnd w:id="34"/>
          </w:p>
        </w:tc>
        <w:tc>
          <w:tcPr>
            <w:tcW w:w="54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оказанию услуг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Общие требования к оказанию услуг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>
          <w:trHeight w:val="834" w:hRule="atLeast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Соблюдение требований федеральных и локальных нормативных актов в области обращения с твердыми коммунальными отходами, отходами производства и потребления, экологической безопасности.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оказании услуг исполнитель должен руководствоваться следующими НПА: Федеральный закон от 24.06.1998 № 89-ФЗ «Об отходах производства и потребления»;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«Об охране окружающей среды» от 10.01.2002;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от 31 августа 2018 г. N 1039 «Об утверждении Правил обустройства мест (площадок) накопления твердых коммунальных отходов и ведения их реестра»;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от 03.06.2016 N 505 «Об утверждении Правил коммерческого учета объема и (или) массы твердых коммунальных отходов»;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Постановление Правительства РФ №2290 от 26.12.2020 года «О лицензировании деятельности по сбору, транспортированию, обработке, утилизации, обезвреживанию, размещению отходов I–IV классов опасности».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>
          <w:trHeight w:val="834" w:hRule="atLeast"/>
        </w:trPr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действующей лицензии на осуществление деятельности по обращению с ТКО, включая сбор, транспортировку, обработку, утилизацию, обезвреживание и размещению отходов IV класс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опасности.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может быть только юридическое лицо, являющиеся региональным оператором по обращению с ТКО и имеющее действующую и не приостановленную лицензию на осуществление деятельности по обращению с ТКО, включая сбор, транспортировку, обработку, утилизацию, обезвреживание и размещению отходов IV класс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 опасности.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предоставляет  скан копию действующей лицензии со всеми приложениями в формате PortableDocumentFormat (*.pdf) или копию выписки из реестра лицензий в формате PortableDocumentFormat (*.pdf)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способам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Услуги по утилизации твердых коммунальных отходов для нужд Дальневосточного филиала АО «ТК РусГидро»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Исходя из географической или территориальной привязки Заказчика, исполнитель должен иметь возможность осуществлять деятельность в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Магаданской области,  посёлок Синегорье</w:t>
            </w:r>
            <w:r>
              <w:rPr>
                <w:rFonts w:eastAsia="Calibri" w:cs="Times New Roman"/>
                <w:iCs/>
                <w:color w:val="000000"/>
                <w:kern w:val="0"/>
                <w:sz w:val="24"/>
                <w:szCs w:val="24"/>
                <w:lang w:val="ru-RU" w:eastAsia="ru-RU" w:bidi="ar-SA"/>
              </w:rPr>
              <w:t>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1224" w:hanging="0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График оказания услуг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согласованию, график транспортировки согласовывается и указывается в договоре на оказание услуг. Обработка, обезвреживание и захоронение ТКО осуществляются в соответствии с внутренним распорядком Исполнителя.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pacing w:before="60" w:after="60"/>
              <w:ind w:left="1224" w:hanging="0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Время оказания услуг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Услуга по транспортировке должна оказываться с 8 до 17 часов по местному времени, согласно графику вывоза, согласованному и указанному в договоре. Обработка, обезвреживание и захоронение ТКО осуществляются в соответствии с внутренним распорядком исполнителя.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специально оборудованных транспортных средств для транспортировки отходов.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осуществлять транспортировку ТКО к месту обработки, обезвреживания и захоронения на специально оборудованных транспортных средствах, соответствующим НПА по безопасности осуществления данного вида деятельности.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Обработка, обезвреживание и захоронение ТКО.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иметь возможность проводить обработку, обезвреживание и захоронение ТКО в соответствии с действующим законодательством в области обращения с отходами.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стоимость услуг должны быть включены расходы, связанные с оказанием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В том числе, но не ограничиваясь следующим: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погрузочно-разгрузочные работы, сбор, транспортировка, обработка, обезвреживание и захоронение ТКО.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Специально оборудованные транспортные средства для транспортировки отходов.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Транспортные средства, должны соответствовать следующим НПА по безопасности осуществления деятельности по транспортировке отходов, но не ограничиваясь ими: Приказ Министерства транспорта РФ от 30.04.2021г. N145 </w:t>
            </w: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>«Об утверждении Правил обеспечения безопасности перевозок автомобильным транспортом и городским наземным электрическим транспортом»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от 24.06.1998 № 89-ФЗ «Об отходах производства и потребления»;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Федеральный закон «Об охране окружающей среды» от 10.01.2002 г.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>
                <w:highlight w:val="none"/>
                <w:shd w:fill="FFFF00" w:val="clear"/>
              </w:rPr>
            </w:pPr>
            <w:r>
              <w:rPr>
                <w:shd w:fill="FFFF00" w:val="clear"/>
              </w:rPr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обладать необходимым минимальным количеством работников для выполнения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должен обладать необходимым минимальным количеством работников, прошедших соответствующие обучения, для выполнения услуг.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2"/>
              </w:numPr>
              <w:spacing w:before="60" w:after="60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результатам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Результат оказания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 твердых коммунальных отходов в объеме и в месте, которые будут определены в договоре, и обеспечение их транспортирования, обработки, обезвреживания, захоронения в соответствии с законодательством Российской Федерации.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Предоставление информации.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Предоставлять информацию в соответствии со стандартами раскрытия информации в области обращения с ТКО в порядке, предусмотренном законодательством Российской Федерации.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rPr/>
            </w:pPr>
            <w:r>
              <w:rPr/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Информирование о тарифах.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Своевременно предоставлять информацию об изменениях тарифов на выполнение услуг.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2"/>
              </w:numPr>
              <w:spacing w:before="60" w:after="60"/>
              <w:ind w:left="-117" w:firstLine="142"/>
              <w:contextualSpacing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окончании прохождения курса обучения Исполнитель передает Заказчику оригиналы платежных документов в двух экземплярах</w:t>
            </w:r>
            <w:r>
              <w:rPr/>
              <w:t>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2"/>
              </w:numPr>
              <w:spacing w:before="60" w:after="60"/>
              <w:ind w:left="1224" w:hanging="1199"/>
              <w:contextualSpacing/>
              <w:jc w:val="center"/>
              <w:rPr/>
            </w:pPr>
            <w:r>
              <w:rPr/>
            </w:r>
          </w:p>
        </w:tc>
        <w:tc>
          <w:tcPr>
            <w:tcW w:w="10237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Учет объема и(или) массы ТКО может производится расчетным путем исходя из нормативов накопления твердых коммунальных отходов или исходя из фактически вывезенного количества твердых коммунальных отходов.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2.3.1.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информационной безопасности результата оказания услуг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информационной безопасности должны обеспечиваться на всех стадиях проведения услуг.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2.3.2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47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Требование к информационной безопасности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пересылке файлов не допускается использование открытых файлообменных сервисов. Передача конфиденциальной информации третьим лицам, опубликование или иное разглашение такой информации может осуществляться только с письменного согласия Сторон, за исключением случаев, предусмотренных законодательством Российской Федерации. Исполнитель обязуются сохранять конфиденциальность информации, полученной в ходе исполнения услуг.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2.3.3.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1047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безопасности оказания услуг</w:t>
            </w:r>
          </w:p>
        </w:tc>
        <w:tc>
          <w:tcPr>
            <w:tcW w:w="5120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12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Услуги по утилизации твердых коммунальных отходов должны быть безопасны и должны исключать возможность причинения вреда здоровью.</w:t>
            </w:r>
          </w:p>
        </w:tc>
        <w:tc>
          <w:tcPr>
            <w:tcW w:w="218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2.4.1.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>Документы, передаваемые заказчику по результатам оказанных услуг.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Акт выполненных работ, счет, раз в месяц, после оказания услуг. Передача документов может осуществляться посредством электронной почты, средств ведения электронного документооборота, почтой в бумажном варианте. Необходима возможность осуществления дублирования документов по запросу Заказчика.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before="60" w:after="60"/>
              <w:ind w:left="25" w:hanging="0"/>
              <w:contextualSpacing/>
              <w:rPr/>
            </w:pPr>
            <w:r>
              <w:rPr/>
              <w:t>3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/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FF" w:val="clear"/>
                <w:lang w:val="ru-RU" w:eastAsia="ru-RU" w:bidi="ar-SA"/>
              </w:rPr>
              <w:t>За неисполнение или ненадлежащее исполнение своих обязательств Стороны несут ответственность в соответствии с действующим законодательством Российской Федерации.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02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исполнителю (и соисполнителям) и его обязательствам, влияющим на исполнение договора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</w:rPr>
              <w:t>-//-</w:t>
            </w:r>
          </w:p>
        </w:tc>
      </w:tr>
      <w:tr>
        <w:trPr/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4.1.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соисполнителям, привлекаемым к оказанию услуг</w:t>
            </w:r>
          </w:p>
        </w:tc>
        <w:tc>
          <w:tcPr>
            <w:tcW w:w="5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привлечения к оказанию услуг соисполнителей исполнитель обязан представить заказчику на момент согласования договора документы, подтверждающие соответствие их квалификационного уровня, а также готовность и возможность оказания ими требуемых услуг.</w:t>
            </w:r>
          </w:p>
        </w:tc>
        <w:tc>
          <w:tcPr>
            <w:tcW w:w="218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0"/>
              <w:jc w:val="center"/>
              <w:rPr>
                <w:sz w:val="24"/>
                <w:szCs w:val="24"/>
              </w:rPr>
            </w:pPr>
            <w:r>
              <w:rPr/>
              <w:t>-</w:t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1"/>
        <w:keepLines/>
        <w:tabs>
          <w:tab w:val="clear" w:pos="0"/>
        </w:tabs>
        <w:ind w:left="357" w:hanging="0"/>
        <w:jc w:val="center"/>
        <w:rPr>
          <w:sz w:val="24"/>
          <w:szCs w:val="24"/>
        </w:rPr>
      </w:pPr>
      <w:bookmarkStart w:id="35" w:name="_Ref40301253"/>
      <w:bookmarkEnd w:id="35"/>
      <w:r>
        <w:rPr>
          <w:b/>
          <w:bCs/>
          <w:sz w:val="24"/>
          <w:szCs w:val="24"/>
          <w:lang w:val="ru-RU"/>
        </w:rPr>
        <w:t xml:space="preserve">3. </w:t>
      </w:r>
      <w:bookmarkStart w:id="36" w:name="_Toc54646411"/>
      <w:bookmarkStart w:id="37" w:name="_Toc53393312"/>
      <w:r>
        <w:rPr>
          <w:b/>
          <w:bCs/>
          <w:sz w:val="24"/>
          <w:szCs w:val="24"/>
          <w:lang w:val="ru-RU"/>
        </w:rPr>
        <w:t>Требования к документации по ценообразованию</w:t>
      </w:r>
      <w:bookmarkEnd w:id="37"/>
      <w:r>
        <w:rPr>
          <w:b/>
          <w:bCs/>
          <w:sz w:val="24"/>
          <w:szCs w:val="24"/>
          <w:lang w:val="ru-RU"/>
        </w:rPr>
        <w:t xml:space="preserve"> на этапе </w:t>
      </w:r>
      <w:bookmarkEnd w:id="36"/>
      <w:r>
        <w:rPr>
          <w:b/>
          <w:bCs/>
          <w:sz w:val="24"/>
          <w:szCs w:val="24"/>
          <w:lang w:val="ru-RU"/>
        </w:rPr>
        <w:t>заключения (исполнения) договора</w:t>
      </w:r>
    </w:p>
    <w:p>
      <w:pPr>
        <w:pStyle w:val="Normal"/>
        <w:tabs>
          <w:tab w:val="clear" w:pos="708"/>
        </w:tabs>
        <w:ind w:left="357"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widowControl/>
        <w:tabs>
          <w:tab w:val="clear" w:pos="708"/>
          <w:tab w:val="left" w:pos="512" w:leader="none"/>
        </w:tabs>
        <w:suppressAutoHyphens w:val="true"/>
        <w:bidi w:val="0"/>
        <w:spacing w:before="0" w:after="0"/>
        <w:ind w:left="-57" w:right="0" w:hanging="0"/>
        <w:jc w:val="both"/>
        <w:rPr>
          <w:b w:val="false"/>
          <w:bCs w:val="false"/>
        </w:rPr>
      </w:pPr>
      <w:r>
        <w:rPr>
          <w:b w:val="false"/>
          <w:bCs w:val="false"/>
          <w:sz w:val="24"/>
          <w:szCs w:val="24"/>
          <w:lang w:val="ru-RU"/>
        </w:rPr>
        <w:tab/>
        <w:t>3.1. В стоимость услуг должны быть включены все затраты, связанные с исполнением обязательств по Договору, в том числе, все налоги, сборы и пошлины,  иные расходы, связанные с исполнением обязательств по Договору.</w:t>
      </w:r>
    </w:p>
    <w:p>
      <w:pPr>
        <w:pStyle w:val="Normal"/>
        <w:widowControl/>
        <w:tabs>
          <w:tab w:val="clear" w:pos="708"/>
          <w:tab w:val="left" w:pos="512" w:leader="none"/>
        </w:tabs>
        <w:suppressAutoHyphens w:val="true"/>
        <w:bidi w:val="0"/>
        <w:spacing w:before="0" w:after="0"/>
        <w:ind w:left="-57" w:right="0" w:hanging="0"/>
        <w:jc w:val="both"/>
        <w:rPr>
          <w:b w:val="false"/>
          <w:bCs w:val="false"/>
        </w:rPr>
      </w:pPr>
      <w:r>
        <w:rPr>
          <w:b w:val="false"/>
          <w:bCs w:val="false"/>
          <w:iCs/>
          <w:sz w:val="24"/>
          <w:szCs w:val="24"/>
          <w:lang w:val="ru-RU" w:eastAsia="x-none"/>
        </w:rPr>
        <w:tab/>
        <w:t>3.2. Цена остается фиксированной и не подлежит изменению на весь срок действия договора.</w:t>
      </w:r>
    </w:p>
    <w:p>
      <w:pPr>
        <w:pStyle w:val="Normal"/>
        <w:spacing w:before="60" w:after="0"/>
        <w:ind w:right="5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napToGrid w:val="false"/>
        <w:jc w:val="both"/>
        <w:rPr>
          <w:sz w:val="24"/>
          <w:szCs w:val="24"/>
        </w:rPr>
      </w:pPr>
      <w:bookmarkStart w:id="38" w:name="_Ref403012531"/>
      <w:bookmarkEnd w:id="38"/>
      <w:r>
        <w:rPr>
          <w:b w:val="false"/>
          <w:bCs w:val="false"/>
          <w:i w:val="false"/>
          <w:iCs w:val="false"/>
          <w:sz w:val="24"/>
          <w:szCs w:val="24"/>
        </w:rPr>
        <w:t>Подпись Ответственного исполнителя:</w:t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Ведущий инженер ОТ и БД</w:t>
        <w:tab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  ____________ К.В. Мирославская</w:t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Согласовано:</w:t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Руководитель группы ОТ и ТБ</w:t>
        <w:tab/>
      </w:r>
    </w:p>
    <w:p>
      <w:pPr>
        <w:pStyle w:val="Normal"/>
        <w:snapToGrid w:val="false"/>
        <w:jc w:val="both"/>
        <w:rPr>
          <w:sz w:val="24"/>
          <w:szCs w:val="24"/>
        </w:rPr>
      </w:pPr>
      <w:r>
        <w:rPr>
          <w:b w:val="false"/>
          <w:bCs w:val="false"/>
          <w:i w:val="false"/>
          <w:iCs w:val="false"/>
          <w:sz w:val="24"/>
          <w:szCs w:val="24"/>
        </w:rPr>
        <w:t>Дальневосточного филиала АО «ТК РусГидро»</w:t>
        <w:tab/>
        <w:t xml:space="preserve">  ____________ П.А. Ослопов </w:t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6"/>
          <w:szCs w:val="26"/>
        </w:rPr>
      </w:pPr>
      <w:r>
        <w:rPr>
          <w:rFonts w:eastAsia="Calibri"/>
          <w:b w:val="false"/>
          <w:bCs/>
          <w:i w:val="false"/>
          <w:iCs/>
          <w:caps w:val="false"/>
          <w:smallCaps w:val="false"/>
          <w:color w:val="000000"/>
          <w:spacing w:val="0"/>
          <w:sz w:val="26"/>
          <w:szCs w:val="26"/>
          <w:highlight w:val="white"/>
          <w:lang w:val="ru-RU"/>
        </w:rPr>
        <w:t xml:space="preserve">                                                         </w:t>
      </w:r>
      <w:r>
        <w:rPr>
          <w:b w:val="false"/>
          <w:bCs/>
          <w:i w:val="false"/>
          <w:iCs/>
          <w:caps w:val="false"/>
          <w:smallCaps w:val="false"/>
          <w:color w:val="000000"/>
          <w:spacing w:val="0"/>
          <w:sz w:val="26"/>
          <w:szCs w:val="26"/>
          <w:highlight w:val="white"/>
          <w:lang w:val="ru-RU"/>
        </w:rPr>
        <w:tab/>
        <w:t xml:space="preserve">                                             </w:t>
        <w:tab/>
      </w:r>
    </w:p>
    <w:p>
      <w:pPr>
        <w:pStyle w:val="Normal"/>
        <w:spacing w:before="60" w:after="0"/>
        <w:ind w:right="57" w:firstLine="794"/>
        <w:jc w:val="both"/>
        <w:rPr>
          <w:iCs/>
          <w:color w:val="000000"/>
          <w:highlight w:val="white"/>
        </w:rPr>
      </w:pPr>
      <w:r>
        <w:rPr>
          <w:iCs/>
          <w:color w:val="000000"/>
          <w:highlight w:val="white"/>
        </w:rPr>
      </w:r>
    </w:p>
    <w:p>
      <w:pPr>
        <w:pStyle w:val="Normal"/>
        <w:ind w:hanging="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227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6"/>
          <w:szCs w:val="26"/>
        </w:rPr>
      </w:pPr>
      <w:r>
        <w:rPr>
          <w:rFonts w:eastAsia="Calibri"/>
          <w:sz w:val="26"/>
          <w:szCs w:val="26"/>
        </w:rPr>
        <w:t xml:space="preserve">                                                         </w:t>
      </w:r>
      <w:r>
        <w:rPr>
          <w:sz w:val="26"/>
          <w:szCs w:val="26"/>
        </w:rPr>
        <w:tab/>
        <w:t xml:space="preserve">                                             </w:t>
        <w:tab/>
      </w:r>
    </w:p>
    <w:p>
      <w:pPr>
        <w:pStyle w:val="Normal"/>
        <w:keepNext w:val="true"/>
        <w:keepLines/>
        <w:spacing w:before="0" w:after="120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Microsoft Sans Serif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pict>
        <v:shape id="shape_0" coordsize="4919,4919" path="m4918,4918l0,4918l0,0l4918,0l4918,4918e" stroked="f" o:allowincell="f" style="position:absolute;margin-left:-140.25pt;margin-top:-140.25pt;width:139.4pt;height:139.4pt;mso-wrap-style:none;v-text-anchor:middle;mso-position-horizontal:center;mso-position-horizontal-relative:margin">
          <v:fill o:detectmouseclick="t" on="false"/>
          <v:stroke color="#3465a4" joinstyle="round" endcap="flat"/>
          <w10:wrap type="none"/>
        </v:shape>
      </w:pic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1</w:t>
    </w:r>
    <w:r>
      <w:rPr/>
      <w:t>2</w:t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9006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109" w:hanging="432"/>
      </w:pPr>
      <w:rPr>
        <w:sz w:val="24"/>
        <w:i w:val="false"/>
        <w:b/>
        <w:szCs w:val="24"/>
        <w:iCs/>
        <w:bCs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uiPriority="10" w:semiHidden="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uiPriority="11" w:semiHidden="0" w:unhideWhenUsed="0" w:qFormat="1"/>
    <w:lsdException w:name="Hyperlink" w:uiPriority="99"/>
    <w:lsdException w:name="Strong" w:uiPriority="22" w:semiHidden="0" w:unhideWhenUsed="0" w:qFormat="1"/>
    <w:lsdException w:name="Emphasis" w:uiPriority="20" w:semiHidden="0" w:unhideWhenUsed="0" w:qFormat="1"/>
    <w:lsdException w:name="E-mail Signature" w:uiPriority="99"/>
    <w:lsdException w:name="Normal (Web)" w:uiPriority="99"/>
    <w:lsdException w:name="No List" w:uiPriority="99"/>
    <w:lsdException w:name="Table Grid" w:uiPriority="39" w:semiHidden="0" w:unhideWhenUsed="0"/>
    <w:lsdException w:name="Placeholder Text" w:uiPriority="99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iPriority="99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 w:customStyle="1">
    <w:name w:val="Heading 1"/>
    <w:basedOn w:val="Heading3"/>
    <w:next w:val="Normal"/>
    <w:link w:val="1"/>
    <w:qFormat/>
    <w:rsid w:val="00353a27"/>
    <w:pPr>
      <w:ind w:left="5038" w:hanging="0"/>
      <w:outlineLvl w:val="0"/>
    </w:pPr>
    <w:rPr>
      <w:sz w:val="28"/>
      <w:szCs w:val="28"/>
    </w:rPr>
  </w:style>
  <w:style w:type="paragraph" w:styleId="Heading2" w:customStyle="1">
    <w:name w:val="Heading 2"/>
    <w:basedOn w:val="Heading4"/>
    <w:next w:val="Normal"/>
    <w:link w:val="2"/>
    <w:qFormat/>
    <w:rsid w:val="00ea61a8"/>
    <w:pPr>
      <w:numPr>
        <w:ilvl w:val="0"/>
      </w:numPr>
      <w:ind w:left="432" w:hanging="0"/>
      <w:outlineLvl w:val="1"/>
    </w:pPr>
    <w:rPr/>
  </w:style>
  <w:style w:type="paragraph" w:styleId="Heading3" w:customStyle="1">
    <w:name w:val="Heading 3"/>
    <w:basedOn w:val="Normal"/>
    <w:next w:val="Normal"/>
    <w:link w:val="3"/>
    <w:autoRedefine/>
    <w:qFormat/>
    <w:rsid w:val="00434d10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jc w:val="both"/>
      <w:outlineLvl w:val="2"/>
    </w:pPr>
    <w:rPr>
      <w:rFonts w:eastAsia="Calibri"/>
      <w:sz w:val="24"/>
      <w:szCs w:val="24"/>
    </w:rPr>
  </w:style>
  <w:style w:type="paragraph" w:styleId="Heading4" w:customStyle="1">
    <w:name w:val="Heading 4"/>
    <w:basedOn w:val="Heading3"/>
    <w:next w:val="Normal"/>
    <w:link w:val="4"/>
    <w:qFormat/>
    <w:rsid w:val="006629c9"/>
    <w:pPr>
      <w:numPr>
        <w:ilvl w:val="1"/>
      </w:numPr>
      <w:ind w:left="432" w:hanging="504"/>
      <w:outlineLvl w:val="3"/>
    </w:pPr>
    <w:rPr>
      <w:bCs/>
    </w:rPr>
  </w:style>
  <w:style w:type="paragraph" w:styleId="Heading5" w:customStyle="1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 w:customStyle="1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Heading7" w:customStyle="1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Heading8" w:customStyle="1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</w:rPr>
  </w:style>
  <w:style w:type="paragraph" w:styleId="Heading9" w:customStyle="1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e31843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</w:rPr>
  </w:style>
  <w:style w:type="character" w:styleId="1" w:customStyle="1">
    <w:name w:val="Заголовок 1 Знак"/>
    <w:qFormat/>
    <w:rsid w:val="00353a27"/>
    <w:rPr>
      <w:rFonts w:eastAsia="Calibri"/>
      <w:sz w:val="28"/>
      <w:szCs w:val="28"/>
    </w:rPr>
  </w:style>
  <w:style w:type="character" w:styleId="2" w:customStyle="1">
    <w:name w:val="Заголовок 2 Знак"/>
    <w:qFormat/>
    <w:rsid w:val="00ea61a8"/>
    <w:rPr>
      <w:rFonts w:eastAsia="Calibri"/>
      <w:bCs/>
      <w:sz w:val="24"/>
      <w:szCs w:val="24"/>
    </w:rPr>
  </w:style>
  <w:style w:type="character" w:styleId="3" w:customStyle="1">
    <w:name w:val="Заголовок 3 Знак"/>
    <w:qFormat/>
    <w:rsid w:val="00434d10"/>
    <w:rPr>
      <w:rFonts w:eastAsia="Calibri"/>
      <w:sz w:val="24"/>
      <w:szCs w:val="24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e3184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Style14" w:customStyle="1">
    <w:name w:val="Ссылка указателя"/>
    <w:qFormat/>
    <w:rsid w:val="00e31843"/>
    <w:rPr/>
  </w:style>
  <w:style w:type="character" w:styleId="Strong1" w:customStyle="1">
    <w:name w:val="Strong1"/>
    <w:qFormat/>
    <w:rsid w:val="00e31843"/>
    <w:rPr>
      <w:b/>
      <w:bCs/>
    </w:rPr>
  </w:style>
  <w:style w:type="paragraph" w:styleId="Style15" w:customStyle="1">
    <w:name w:val="Заголовок"/>
    <w:basedOn w:val="Normal"/>
    <w:next w:val="BodyText"/>
    <w:qFormat/>
    <w:rsid w:val="00e31843"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rsid w:val="00e31843"/>
    <w:pPr/>
    <w:rPr/>
  </w:style>
  <w:style w:type="paragraph" w:styleId="Caption" w:customStyle="1">
    <w:name w:val="Caption"/>
    <w:basedOn w:val="Normal"/>
    <w:qFormat/>
    <w:rsid w:val="00e31843"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Indexheading1">
    <w:name w:val="index heading1"/>
    <w:basedOn w:val="Normal"/>
    <w:qFormat/>
    <w:rsid w:val="00e31843"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tabs>
        <w:tab w:val="clear" w:pos="708"/>
        <w:tab w:val="left" w:pos="360" w:leader="none"/>
      </w:tabs>
      <w:spacing w:before="80" w:after="80"/>
      <w:ind w:left="360" w:hanging="36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tabs>
        <w:tab w:val="clear" w:pos="708"/>
        <w:tab w:val="left" w:pos="357" w:leader="none"/>
      </w:tabs>
      <w:spacing w:before="80" w:after="80"/>
      <w:jc w:val="both"/>
    </w:pPr>
    <w:rPr/>
  </w:style>
  <w:style w:type="paragraph" w:styleId="FootnoteText" w:customStyle="1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</w:rPr>
  </w:style>
  <w:style w:type="paragraph" w:styleId="Style20" w:customStyle="1">
    <w:name w:val="Колонтитул"/>
    <w:basedOn w:val="Normal"/>
    <w:qFormat/>
    <w:rsid w:val="00e31843"/>
    <w:pPr/>
    <w:rPr/>
  </w:style>
  <w:style w:type="paragraph" w:styleId="Header" w:customStyle="1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 w:customStyle="1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 w:customStyle="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 w:customStyle="1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 w:customStyle="1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 w:customStyle="1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 w:customStyle="1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 w:customStyle="1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 w:customStyle="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paragraph" w:styleId="IndexHeading" w:customStyle="1">
    <w:name w:val="Index Heading"/>
    <w:basedOn w:val="Style15"/>
    <w:rsid w:val="00e31843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tabs>
        <w:tab w:val="clear" w:pos="708"/>
        <w:tab w:val="left" w:pos="1233" w:leader="none"/>
      </w:tabs>
      <w:ind w:left="1233" w:hanging="360"/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tabs>
        <w:tab w:val="clear" w:pos="708"/>
        <w:tab w:val="left" w:pos="513" w:leader="none"/>
      </w:tabs>
      <w:spacing w:before="120" w:after="0"/>
      <w:ind w:left="513" w:hanging="36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985" w:hanging="567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2268" w:hanging="567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1701" w:hanging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tabs>
        <w:tab w:val="clear" w:pos="708"/>
        <w:tab w:val="left" w:pos="0" w:leader="none"/>
      </w:tabs>
      <w:spacing w:lineRule="exact" w:line="360" w:before="120" w:after="0"/>
      <w:ind w:left="0" w:hanging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tabs>
        <w:tab w:val="clear" w:pos="708"/>
        <w:tab w:val="left" w:pos="0" w:leader="none"/>
      </w:tabs>
      <w:spacing w:lineRule="exact" w:line="360" w:before="120" w:after="120"/>
      <w:ind w:left="1134" w:hanging="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 w:customStyle="1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tabs>
        <w:tab w:val="clear" w:pos="708"/>
        <w:tab w:val="left" w:pos="0" w:leader="none"/>
      </w:tabs>
      <w:spacing w:before="120" w:after="120"/>
      <w:ind w:left="1429" w:hanging="360"/>
      <w:jc w:val="both"/>
      <w:outlineLvl w:val="0"/>
    </w:pPr>
    <w:rPr>
      <w:b/>
      <w:kern w:val="2"/>
      <w:sz w:val="24"/>
      <w:szCs w:val="20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 w:customStyle="1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 w:customStyle="1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 w:customStyle="1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Содержимое врезки"/>
    <w:basedOn w:val="Normal"/>
    <w:qFormat/>
    <w:rsid w:val="00e31843"/>
    <w:pPr/>
    <w:rPr/>
  </w:style>
  <w:style w:type="paragraph" w:styleId="Style34" w:customStyle="1">
    <w:name w:val="Содержимое таблицы"/>
    <w:basedOn w:val="Normal"/>
    <w:qFormat/>
    <w:rsid w:val="00e31843"/>
    <w:pPr>
      <w:widowControl w:val="false"/>
      <w:suppressLineNumbers/>
    </w:pPr>
    <w:rPr/>
  </w:style>
  <w:style w:type="paragraph" w:styleId="Style35" w:customStyle="1">
    <w:name w:val="Заголовок таблицы"/>
    <w:basedOn w:val="Style34"/>
    <w:qFormat/>
    <w:rsid w:val="00e31843"/>
    <w:pPr>
      <w:jc w:val="center"/>
    </w:pPr>
    <w:rPr>
      <w:b/>
      <w:bCs/>
    </w:rPr>
  </w:style>
  <w:style w:type="paragraph" w:styleId="BodyText21" w:customStyle="1">
    <w:name w:val="Body Text 21"/>
    <w:basedOn w:val="Normal"/>
    <w:qFormat/>
    <w:rsid w:val="00e31843"/>
    <w:pPr>
      <w:widowControl w:val="false"/>
      <w:spacing w:lineRule="auto" w:line="360"/>
    </w:pPr>
    <w:rPr/>
  </w:style>
  <w:style w:type="paragraph" w:styleId="TableParagraph">
    <w:name w:val="Table Paragraph"/>
    <w:basedOn w:val="Normal"/>
    <w:qFormat/>
    <w:pPr>
      <w:widowControl w:val="false"/>
      <w:suppressAutoHyphens w:val="false"/>
      <w:ind w:left="107" w:right="0" w:hanging="0"/>
    </w:pPr>
    <w:rPr>
      <w:rFonts w:ascii="Microsoft Sans Serif" w:hAnsi="Microsoft Sans Serif" w:eastAsia="Microsoft Sans Serif" w:cs="Microsoft Sans Serif"/>
      <w:sz w:val="22"/>
      <w:szCs w:val="22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0">
    <w:name w:val="Table Grid"/>
    <w:basedOn w:val="a1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">
    <w:name w:val="Сетка таблицы1"/>
    <w:basedOn w:val="a1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D8718-00F7-4B77-BEB8-7F0D8656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1343</TotalTime>
  <Application>AlterOffice/3.4.0.9$Linux_X86_64 LibreOffice_project/b8daf9e823b1a5463a2f48435ddc2e8696e7d4fc</Application>
  <AppVersion>15.0000</AppVersion>
  <Pages>12</Pages>
  <Words>1480</Words>
  <Characters>10777</Characters>
  <CharactersWithSpaces>12284</CharactersWithSpaces>
  <Paragraphs>229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2023-01-30T05:50:00Z</dcterms:created>
  <dc:creator>Быстров Олег Геннадьевич</dc:creator>
  <dc:description/>
  <dc:language>ru-RU</dc:language>
  <cp:lastModifiedBy/>
  <cp:lastPrinted>2026-01-26T10:49:00Z</cp:lastPrinted>
  <dcterms:modified xsi:type="dcterms:W3CDTF">2026-09-25T15:38:01Z</dcterms:modified>
  <cp:revision>156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