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header14.xml" ContentType="application/vnd.openxmlformats-officedocument.wordprocessingml.header+xml"/>
  <Override PartName="/word/embeddings/oleObject1.xlsx" ContentType="application/vnd.openxmlformats-officedocument.spreadsheetml.sheet"/>
  <Override PartName="/word/header13.xml" ContentType="application/vnd.openxmlformats-officedocument.wordprocessingml.head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header18.xml" ContentType="application/vnd.openxmlformats-officedocument.wordprocessingml.header+xml"/>
  <Override PartName="/word/footer7.xml" ContentType="application/vnd.openxmlformats-officedocument.wordprocessingml.footer+xml"/>
  <Override PartName="/word/footer15.xml" ContentType="application/vnd.openxmlformats-officedocument.wordprocessingml.footer+xml"/>
  <Override PartName="/word/numbering.xml" ContentType="application/vnd.openxmlformats-officedocument.wordprocessingml.numbering+xml"/>
  <Override PartName="/word/header12.xml" ContentType="application/vnd.openxmlformats-officedocument.wordprocessingml.header+xml"/>
  <Override PartName="/word/settings.xml" ContentType="application/vnd.openxmlformats-officedocument.wordprocessingml.settings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header4.xml" ContentType="application/vnd.openxmlformats-officedocument.wordprocessingml.header+xml"/>
  <Override PartName="/word/media/image1.jpeg" ContentType="image/jpeg"/>
  <Override PartName="/word/media/image2.wmf" ContentType="image/x-wmf"/>
  <Override PartName="/word/header15.xml" ContentType="application/vnd.openxmlformats-officedocument.wordprocessingml.header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header16.xml" ContentType="application/vnd.openxmlformats-officedocument.wordprocessingml.header+xml"/>
  <Override PartName="/word/footer12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footer8.xml" ContentType="application/vnd.openxmlformats-officedocument.wordprocessingml.footer+xml"/>
  <Override PartName="/word/footer16.xml" ContentType="application/vnd.openxmlformats-officedocument.wordprocessingml.footer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17.xml" ContentType="application/vnd.openxmlformats-officedocument.wordprocessingml.header+xml"/>
  <Override PartName="/word/footer1.xml" ContentType="application/vnd.openxmlformats-officedocument.wordprocessingml.footer+xml"/>
  <Override PartName="/word/footer11.xml" ContentType="application/vnd.openxmlformats-officedocument.wordprocessingml.footer+xml"/>
  <Override PartName="/word/footer3.xml" ContentType="application/vnd.openxmlformats-officedocument.wordprocessingml.footer+xml"/>
  <Override PartName="/word/header8.xml" ContentType="application/vnd.openxmlformats-officedocument.wordprocessingml.header+xml"/>
  <Override PartName="/word/header11.xml" ContentType="application/vnd.openxmlformats-officedocument.wordprocessingml.header+xml"/>
  <Override PartName="/word/footer13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14.xml" ContentType="application/vnd.openxmlformats-officedocument.wordprocessingml.footer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Технические требования на выполнение работ по</w:t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«ОКДП2 74.90.20.142 Модерниз</w:t>
      </w:r>
      <w:r>
        <w:rPr>
          <w:b/>
          <w:sz w:val="24"/>
          <w:szCs w:val="24"/>
          <w:shd w:fill="auto" w:val="clear"/>
        </w:rPr>
        <w:t xml:space="preserve">ация ПАК КЦОПЛ в части доработки системы контроля безопасной разработки программного обеспечения в рамках выполнения инвестиционного проекта </w:t>
      </w:r>
      <w:r>
        <w:rPr>
          <w:b/>
          <w:sz w:val="24"/>
          <w:szCs w:val="24"/>
          <w:shd w:fill="auto" w:val="clear"/>
        </w:rPr>
        <w:t>P_T-1010-</w:t>
      </w:r>
      <w:r>
        <w:rPr>
          <w:b/>
          <w:sz w:val="24"/>
          <w:szCs w:val="24"/>
          <w:shd w:fill="auto" w:val="clear"/>
        </w:rPr>
        <w:t>___</w:t>
      </w:r>
      <w:r>
        <w:rPr>
          <w:b/>
          <w:sz w:val="24"/>
          <w:szCs w:val="24"/>
          <w:shd w:fill="auto" w:val="clear"/>
        </w:rPr>
        <w:t>»</w:t>
      </w:r>
    </w:p>
    <w:p>
      <w:pPr>
        <w:pStyle w:val="Normal"/>
        <w:jc w:val="center"/>
        <w:rPr>
          <w:b/>
          <w:sz w:val="24"/>
          <w:szCs w:val="24"/>
          <w:highlight w:val="none"/>
          <w:shd w:fill="auto" w:val="clear"/>
        </w:rPr>
      </w:pPr>
      <w:r>
        <w:rPr>
          <w:b/>
          <w:sz w:val="24"/>
          <w:szCs w:val="24"/>
          <w:shd w:fill="auto" w:val="clear"/>
        </w:rPr>
      </w:r>
    </w:p>
    <w:p>
      <w:pPr>
        <w:pStyle w:val="Normal"/>
        <w:jc w:val="center"/>
        <w:rPr>
          <w:highlight w:val="none"/>
          <w:shd w:fill="auto" w:val="clear"/>
        </w:rPr>
      </w:pPr>
      <w:bookmarkStart w:id="0" w:name="_Toc139856287"/>
      <w:bookmarkStart w:id="1" w:name="_Toc137554584"/>
      <w:bookmarkStart w:id="2" w:name="_Toc141696704"/>
      <w:bookmarkEnd w:id="0"/>
      <w:bookmarkEnd w:id="1"/>
      <w:bookmarkEnd w:id="2"/>
      <w:r>
        <w:rPr>
          <w:b/>
          <w:sz w:val="24"/>
          <w:szCs w:val="24"/>
          <w:shd w:fill="auto" w:val="clear"/>
        </w:rPr>
        <w:t xml:space="preserve">Лот № </w:t>
      </w:r>
      <w:r>
        <w:rPr>
          <w:b/>
          <w:sz w:val="24"/>
          <w:szCs w:val="24"/>
          <w:shd w:fill="auto" w:val="clear"/>
        </w:rPr>
        <w:t>___</w:t>
      </w:r>
      <w:r>
        <w:rPr>
          <w:b/>
          <w:sz w:val="24"/>
          <w:szCs w:val="24"/>
          <w:shd w:fill="auto" w:val="clear"/>
        </w:rPr>
        <w:t>-ДИТ-202</w:t>
      </w:r>
      <w:r>
        <w:rPr>
          <w:b/>
          <w:sz w:val="24"/>
          <w:szCs w:val="24"/>
          <w:shd w:fill="auto" w:val="clear"/>
        </w:rPr>
        <w:t>__</w:t>
      </w:r>
      <w:r>
        <w:rPr>
          <w:b/>
          <w:sz w:val="24"/>
          <w:szCs w:val="24"/>
          <w:shd w:fill="auto" w:val="clear"/>
        </w:rPr>
        <w:t>-ИА</w:t>
      </w:r>
    </w:p>
    <w:p>
      <w:pPr>
        <w:pStyle w:val="Normal"/>
        <w:suppressAutoHyphens w:val="false"/>
        <w:spacing w:lineRule="auto" w:line="259" w:before="0" w:after="160"/>
        <w:rPr>
          <w:b/>
          <w:sz w:val="24"/>
          <w:szCs w:val="24"/>
          <w:highlight w:val="none"/>
          <w:shd w:fill="auto" w:val="clear"/>
        </w:rPr>
      </w:pPr>
      <w:r>
        <w:rPr>
          <w:b/>
          <w:sz w:val="24"/>
          <w:szCs w:val="24"/>
          <w:shd w:fill="auto" w:val="clear"/>
        </w:rPr>
      </w:r>
      <w:r>
        <w:br w:type="page"/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rStyle w:val="Style14"/>
            </w:rPr>
            <w:instrText xml:space="preserve"> TOC \f \o "1-3" \h</w:instrText>
          </w:r>
          <w:r>
            <w:rPr>
              <w:rStyle w:val="Style14"/>
            </w:rPr>
            <w:fldChar w:fldCharType="separate"/>
          </w:r>
          <w:hyperlink w:anchor="_Toc240957717">
            <w:r>
              <w:rPr>
                <w:rStyle w:val="Style14"/>
              </w:rPr>
              <w:t>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_Toc240957717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Общие сведения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="Calibri" w:hAnsi="Calibri" w:eastAsia="" w:cs="" w:asciiTheme="minorHAnsi" w:cstheme="minorBidi" w:eastAsiaTheme="minorEastAsia" w:hAnsiTheme="minorHAnsi"/>
              <w:bCs w:val="false"/>
              <w:sz w:val="22"/>
              <w:szCs w:val="22"/>
            </w:rPr>
          </w:pPr>
          <w:hyperlink w:anchor="_Toc24095771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_Toc240957718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1.1. Обозначения и сокращения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="Calibri" w:hAnsi="Calibri" w:eastAsia="" w:cs="" w:asciiTheme="minorHAnsi" w:cstheme="minorBidi" w:eastAsiaTheme="minorEastAsia" w:hAnsiTheme="minorHAnsi"/>
              <w:bCs w:val="false"/>
              <w:sz w:val="22"/>
              <w:szCs w:val="22"/>
            </w:rPr>
          </w:pPr>
          <w:hyperlink w:anchor="_Toc240957719">
            <w:r>
              <w:rPr>
                <w:rStyle w:val="Style14"/>
              </w:rPr>
              <w:t>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_Toc240957719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Наименование закупаемой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="Calibri" w:hAnsi="Calibri" w:eastAsia="" w:cs="" w:asciiTheme="minorHAnsi" w:cstheme="minorBidi" w:eastAsiaTheme="minorEastAsia" w:hAnsiTheme="minorHAnsi"/>
              <w:bCs w:val="false"/>
              <w:sz w:val="22"/>
              <w:szCs w:val="22"/>
            </w:rPr>
          </w:pPr>
          <w:hyperlink w:anchor="_Toc240957720">
            <w:r>
              <w:rPr>
                <w:rStyle w:val="Style14"/>
              </w:rPr>
              <w:t>1.3.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_Toc240957720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Цель выполнения Работ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="Calibri" w:hAnsi="Calibri" w:eastAsia="" w:cs="" w:asciiTheme="minorHAnsi" w:cstheme="minorBidi" w:eastAsiaTheme="minorEastAsia" w:hAnsiTheme="minorHAnsi"/>
              <w:bCs w:val="false"/>
              <w:sz w:val="22"/>
              <w:szCs w:val="22"/>
            </w:rPr>
          </w:pPr>
          <w:hyperlink w:anchor="_Toc240957721">
            <w:r>
              <w:rPr>
                <w:rStyle w:val="Style14"/>
              </w:rPr>
              <w:t>1.4.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rFonts w:eastAsia="DengXian"/>
              </w:rPr>
              <w:t>Существующее положение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_Toc240957721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="Calibri" w:hAnsi="Calibri" w:eastAsia="" w:cs="" w:asciiTheme="minorHAnsi" w:cstheme="minorBidi" w:eastAsiaTheme="minorEastAsia" w:hAnsiTheme="minorHAnsi"/>
              <w:bCs w:val="false"/>
              <w:sz w:val="22"/>
              <w:szCs w:val="22"/>
            </w:rPr>
          </w:pPr>
          <w:hyperlink w:anchor="_Toc240957722">
            <w:r>
              <w:rPr>
                <w:rStyle w:val="Style14"/>
                <w:rFonts w:eastAsia="DengXian"/>
              </w:rPr>
              <w:t>1.5.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_Toc240957722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40957723">
            <w:r>
              <w:rPr>
                <w:rStyle w:val="Style14"/>
              </w:rPr>
              <w:t>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_Toc240957723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="Calibri" w:hAnsi="Calibri" w:eastAsia="" w:cs="" w:asciiTheme="minorHAnsi" w:cstheme="minorBidi" w:eastAsiaTheme="minorEastAsia" w:hAnsiTheme="minorHAnsi"/>
              <w:bCs w:val="false"/>
              <w:sz w:val="22"/>
              <w:szCs w:val="22"/>
            </w:rPr>
          </w:pPr>
          <w:hyperlink w:anchor="_Toc240957724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_Toc240957724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2.1. Требования к объемам и срокам выполнения работ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="Calibri" w:hAnsi="Calibri" w:eastAsia="" w:cs="" w:asciiTheme="minorHAnsi" w:cstheme="minorBidi" w:eastAsiaTheme="minorEastAsia" w:hAnsiTheme="minorHAnsi"/>
              <w:bCs w:val="false"/>
              <w:sz w:val="22"/>
              <w:szCs w:val="22"/>
            </w:rPr>
          </w:pPr>
          <w:hyperlink w:anchor="_Toc24095772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_Toc240957725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2.1.1 Требования к перечню и объему работ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40957726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_Toc240957726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2.1.2. Требования к срокам выполнения Работ</w:t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="Calibri" w:hAnsi="Calibri" w:eastAsia="" w:cs="" w:asciiTheme="minorHAnsi" w:cstheme="minorBidi" w:eastAsiaTheme="minorEastAsia" w:hAnsiTheme="minorHAnsi"/>
              <w:bCs w:val="false"/>
              <w:sz w:val="22"/>
              <w:szCs w:val="22"/>
            </w:rPr>
          </w:pPr>
          <w:hyperlink w:anchor="_Toc240957727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_Toc240957727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2.2. Требования к качеству продукции</w:t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40957728">
            <w:r>
              <w:rPr>
                <w:rStyle w:val="Style14"/>
              </w:rPr>
              <w:t>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_Toc240957728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  <w:tab/>
              <w:t>20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40957729">
            <w:r>
              <w:rPr>
                <w:rStyle w:val="Style14"/>
              </w:rPr>
              <w:t>4.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_Toc240957729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Требования к документации по ценообразованию на этапе заключения (исполнения) договора</w:t>
              <w:tab/>
              <w:t>21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40957730">
            <w:r>
              <w:rPr>
                <w:rStyle w:val="Style14"/>
              </w:rPr>
              <w:t>5.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iCs/>
              </w:rPr>
              <w:t>Приложения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_Toc240957730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22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40957731">
            <w:r>
              <w:rPr>
                <w:rStyle w:val="Style14"/>
              </w:rPr>
              <w:t>Приложение №</w:t>
            </w:r>
            <w:r>
              <w:rPr>
                <w:rStyle w:val="Style14"/>
                <w:lang w:val="en-US"/>
              </w:rPr>
              <w:t xml:space="preserve"> </w:t>
            </w:r>
            <w:r>
              <w:rPr>
                <w:rStyle w:val="Style14"/>
              </w:rPr>
              <w:t>1. Требования к оформлению и составлению</w:t>
            </w:r>
            <w:r>
              <w:rPr>
                <w:rStyle w:val="Style14"/>
                <w:rFonts w:eastAsia="DengXian"/>
              </w:rPr>
              <w:t xml:space="preserve">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_Toc240957731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смет или расчетов на выполнение работ/услуг;</w:t>
              <w:tab/>
              <w:t>22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40957732">
            <w:r>
              <w:rPr>
                <w:rStyle w:val="Style14"/>
              </w:rPr>
              <w:t>Приложение № 2. Регламент процесса</w:t>
            </w:r>
            <w:r>
              <w:rPr>
                <w:rStyle w:val="Style14"/>
                <w:rFonts w:eastAsia="DengXian"/>
              </w:rPr>
              <w:t xml:space="preserve">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_Toc240957732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«Допуск персонала подрядных организаций на объекты ПАО «РусГидро»;</w:t>
              <w:tab/>
              <w:t>22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40957733">
            <w:r>
              <w:rPr>
                <w:rStyle w:val="Style14"/>
              </w:rPr>
              <w:t xml:space="preserve">Приложение № 3. </w:t>
            </w:r>
            <w:r>
              <w:rPr>
                <w:rStyle w:val="Style14"/>
                <w:rFonts w:eastAsia="DengXian"/>
              </w:rPr>
              <w:t>Технические требования к внедряемому ПО;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_Toc240957733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22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40957734">
            <w:r>
              <w:rPr>
                <w:rStyle w:val="Style14"/>
                <w:rFonts w:eastAsia="DengXian"/>
              </w:rPr>
              <w:t>Приложение № 4. Положение об охране конфиденциальности информации, составляющей коммерческую тайну, в ПАО «РусГидро»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_Toc240957734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22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spacing w:before="0" w:after="0"/>
        <w:ind w:hanging="357" w:left="357"/>
        <w:jc w:val="center"/>
        <w:rPr>
          <w:caps/>
          <w:sz w:val="24"/>
          <w:szCs w:val="24"/>
          <w:lang w:val="ru-RU"/>
        </w:rPr>
      </w:pPr>
      <w:bookmarkStart w:id="3" w:name="_Toc54643694"/>
      <w:bookmarkStart w:id="4" w:name="_Toc214534526"/>
      <w:bookmarkStart w:id="5" w:name="_Toc203571801"/>
      <w:bookmarkStart w:id="6" w:name="_Toc214015880"/>
      <w:bookmarkStart w:id="7" w:name="_Toc240957717"/>
      <w:r>
        <w:rPr>
          <w:sz w:val="24"/>
          <w:szCs w:val="24"/>
          <w:lang w:val="ru-RU"/>
        </w:rPr>
        <w:t>Общие сведения</w:t>
      </w:r>
      <w:bookmarkEnd w:id="3"/>
      <w:bookmarkEnd w:id="4"/>
      <w:bookmarkEnd w:id="5"/>
      <w:bookmarkEnd w:id="6"/>
      <w:bookmarkEnd w:id="7"/>
    </w:p>
    <w:p>
      <w:pPr>
        <w:pStyle w:val="Heading2"/>
        <w:numPr>
          <w:ilvl w:val="0"/>
        </w:numPr>
        <w:ind w:hanging="0" w:left="0"/>
        <w:rPr/>
      </w:pPr>
      <w:bookmarkStart w:id="8" w:name="_Toc240957718"/>
      <w:bookmarkStart w:id="9" w:name="_Toc203571802"/>
      <w:bookmarkStart w:id="10" w:name="_Toc214534527"/>
      <w:bookmarkStart w:id="11" w:name="_Toc214015881"/>
      <w:r>
        <w:rPr/>
        <w:t xml:space="preserve">1.1. </w:t>
      </w:r>
      <w:bookmarkStart w:id="12" w:name="_Toc54643695"/>
      <w:bookmarkStart w:id="13" w:name="_Toc46743505"/>
      <w:r>
        <w:rPr/>
        <w:t>Обозначения и сокращения</w:t>
      </w:r>
      <w:bookmarkEnd w:id="8"/>
      <w:bookmarkEnd w:id="9"/>
      <w:bookmarkEnd w:id="10"/>
      <w:bookmarkEnd w:id="11"/>
      <w:bookmarkEnd w:id="12"/>
      <w:bookmarkEnd w:id="13"/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977"/>
        <w:gridCol w:w="7943"/>
      </w:tblGrid>
      <w:tr>
        <w:trPr>
          <w:cantSplit w:val="true"/>
        </w:trPr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Заказчик</w:t>
            </w:r>
          </w:p>
        </w:tc>
        <w:tc>
          <w:tcPr>
            <w:tcW w:w="7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ПАО «РусГидро»</w:t>
            </w:r>
          </w:p>
        </w:tc>
      </w:tr>
      <w:tr>
        <w:trPr>
          <w:cantSplit w:val="true"/>
        </w:trPr>
        <w:tc>
          <w:tcPr>
            <w:tcW w:w="1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ИБ</w:t>
            </w:r>
          </w:p>
        </w:tc>
        <w:tc>
          <w:tcPr>
            <w:tcW w:w="7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Информационная безопасность</w:t>
            </w:r>
          </w:p>
        </w:tc>
      </w:tr>
      <w:tr>
        <w:trPr>
          <w:cantSplit w:val="true"/>
        </w:trPr>
        <w:tc>
          <w:tcPr>
            <w:tcW w:w="1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</w:t>
            </w:r>
          </w:p>
        </w:tc>
        <w:tc>
          <w:tcPr>
            <w:tcW w:w="7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Информационная система</w:t>
            </w:r>
          </w:p>
        </w:tc>
      </w:tr>
      <w:tr>
        <w:trPr>
          <w:cantSplit w:val="true"/>
        </w:trPr>
        <w:tc>
          <w:tcPr>
            <w:tcW w:w="1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КИИ</w:t>
            </w:r>
          </w:p>
        </w:tc>
        <w:tc>
          <w:tcPr>
            <w:tcW w:w="7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Критическая информационная инфраструктура</w:t>
            </w:r>
          </w:p>
        </w:tc>
      </w:tr>
      <w:tr>
        <w:trPr>
          <w:cantSplit w:val="true"/>
        </w:trPr>
        <w:tc>
          <w:tcPr>
            <w:tcW w:w="1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ИТКС</w:t>
            </w:r>
          </w:p>
        </w:tc>
        <w:tc>
          <w:tcPr>
            <w:tcW w:w="7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Информационно-телекоммуникационная сеть – технологическая система, предназначенная для передачи по линиям связи информации, доступ к которой осуществляется с использованием средств вычислительной техники</w:t>
            </w:r>
          </w:p>
        </w:tc>
      </w:tr>
      <w:tr>
        <w:trPr>
          <w:cantSplit w:val="true"/>
        </w:trPr>
        <w:tc>
          <w:tcPr>
            <w:tcW w:w="1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ЛВС</w:t>
            </w:r>
          </w:p>
        </w:tc>
        <w:tc>
          <w:tcPr>
            <w:tcW w:w="7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Локальная вычислительная сеть</w:t>
            </w:r>
          </w:p>
        </w:tc>
      </w:tr>
      <w:tr>
        <w:trPr>
          <w:cantSplit w:val="true"/>
        </w:trPr>
        <w:tc>
          <w:tcPr>
            <w:tcW w:w="1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СЗИ</w:t>
            </w:r>
          </w:p>
        </w:tc>
        <w:tc>
          <w:tcPr>
            <w:tcW w:w="7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защиты информации</w:t>
            </w:r>
          </w:p>
        </w:tc>
      </w:tr>
      <w:tr>
        <w:trPr>
          <w:cantSplit w:val="true"/>
        </w:trPr>
        <w:tc>
          <w:tcPr>
            <w:tcW w:w="1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Субъекты</w:t>
            </w:r>
          </w:p>
        </w:tc>
        <w:tc>
          <w:tcPr>
            <w:tcW w:w="7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ПАО «РусГидро»</w:t>
            </w:r>
          </w:p>
        </w:tc>
      </w:tr>
      <w:tr>
        <w:trPr>
          <w:cantSplit w:val="true"/>
        </w:trPr>
        <w:tc>
          <w:tcPr>
            <w:tcW w:w="1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</w:t>
            </w:r>
          </w:p>
        </w:tc>
        <w:tc>
          <w:tcPr>
            <w:tcW w:w="7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Общероссийский классификатор продукции по видам экономической деятельности ОК 034-2014 (КПЕС 2008)</w:t>
            </w:r>
          </w:p>
        </w:tc>
      </w:tr>
      <w:tr>
        <w:trPr>
          <w:cantSplit w:val="true"/>
        </w:trPr>
        <w:tc>
          <w:tcPr>
            <w:tcW w:w="1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</w:t>
            </w:r>
          </w:p>
        </w:tc>
        <w:tc>
          <w:tcPr>
            <w:tcW w:w="7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Операционная система</w:t>
            </w:r>
          </w:p>
        </w:tc>
      </w:tr>
      <w:tr>
        <w:trPr>
          <w:cantSplit w:val="true"/>
        </w:trPr>
        <w:tc>
          <w:tcPr>
            <w:tcW w:w="1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</w:t>
            </w:r>
          </w:p>
        </w:tc>
        <w:tc>
          <w:tcPr>
            <w:tcW w:w="7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Программное обеспечение</w:t>
            </w:r>
          </w:p>
        </w:tc>
      </w:tr>
      <w:tr>
        <w:trPr>
          <w:cantSplit w:val="true"/>
        </w:trPr>
        <w:tc>
          <w:tcPr>
            <w:tcW w:w="1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ЛНД (А)</w:t>
            </w:r>
          </w:p>
        </w:tc>
        <w:tc>
          <w:tcPr>
            <w:tcW w:w="7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Локально-нормативная документация (акты) в ПАО «РусГидро»</w:t>
            </w:r>
          </w:p>
        </w:tc>
      </w:tr>
    </w:tbl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2"/>
        <w:numPr>
          <w:ilvl w:val="0"/>
        </w:numPr>
        <w:spacing w:before="0" w:after="0"/>
        <w:ind w:firstLine="680" w:left="0"/>
        <w:rPr/>
      </w:pPr>
      <w:bookmarkStart w:id="14" w:name="_Toc203571803"/>
      <w:bookmarkStart w:id="15" w:name="_Toc214534528"/>
      <w:bookmarkStart w:id="16" w:name="_Toc214015882"/>
      <w:bookmarkStart w:id="17" w:name="_Toc240957719"/>
      <w:r>
        <w:rPr/>
        <w:t>1.2.</w:t>
      </w:r>
      <w:bookmarkStart w:id="18" w:name="_Toc46743506"/>
      <w:bookmarkStart w:id="19" w:name="_Toc54643696"/>
      <w:r>
        <w:rPr/>
        <w:tab/>
        <w:t>Наименование закупаемой продукции</w:t>
      </w:r>
      <w:bookmarkEnd w:id="14"/>
      <w:bookmarkEnd w:id="15"/>
      <w:bookmarkEnd w:id="16"/>
      <w:bookmarkEnd w:id="17"/>
      <w:bookmarkEnd w:id="18"/>
      <w:bookmarkEnd w:id="19"/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680"/>
        <w:jc w:val="both"/>
        <w:rPr>
          <w:rFonts w:eastAsia="Calibri"/>
          <w:sz w:val="24"/>
          <w:szCs w:val="24"/>
          <w:lang w:eastAsia="zh-CN"/>
        </w:rPr>
      </w:pPr>
      <w:r>
        <w:rPr>
          <w:rFonts w:eastAsia="Calibri"/>
          <w:sz w:val="24"/>
          <w:szCs w:val="24"/>
          <w:lang w:eastAsia="zh-CN"/>
        </w:rPr>
        <w:t>ОК</w:t>
      </w:r>
      <w:r>
        <w:rPr>
          <w:rFonts w:eastAsia="Calibri"/>
          <w:sz w:val="24"/>
          <w:szCs w:val="24"/>
          <w:shd w:fill="auto" w:val="clear"/>
          <w:lang w:eastAsia="zh-CN"/>
        </w:rPr>
        <w:t xml:space="preserve">ПД2 74.90.20.142 Модернизация ПАК КЦОПЛ в части доработки системы контроля безопасной разработки программного обеспечения в рамках выполнения инвестиционного проекта </w:t>
      </w:r>
      <w:r>
        <w:rPr>
          <w:rFonts w:eastAsia="Calibri"/>
          <w:sz w:val="24"/>
          <w:szCs w:val="24"/>
          <w:shd w:fill="auto" w:val="clear"/>
          <w:lang w:eastAsia="zh-CN"/>
        </w:rPr>
        <w:t>P_T-1010-</w:t>
      </w:r>
      <w:r>
        <w:rPr>
          <w:rFonts w:eastAsia="Calibri"/>
          <w:sz w:val="24"/>
          <w:szCs w:val="24"/>
          <w:shd w:fill="auto" w:val="clear"/>
          <w:lang w:eastAsia="zh-CN"/>
        </w:rPr>
        <w:t>___</w:t>
      </w:r>
      <w:r>
        <w:rPr>
          <w:rFonts w:eastAsia="Calibri"/>
          <w:sz w:val="24"/>
          <w:szCs w:val="24"/>
          <w:shd w:fill="auto" w:val="clear"/>
          <w:lang w:eastAsia="zh-CN"/>
        </w:rPr>
        <w:t xml:space="preserve"> (далее – Работы).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680"/>
        <w:jc w:val="both"/>
        <w:rPr>
          <w:rFonts w:eastAsia="Calibri"/>
          <w:sz w:val="24"/>
          <w:szCs w:val="24"/>
          <w:highlight w:val="none"/>
          <w:shd w:fill="auto" w:val="clear"/>
          <w:lang w:eastAsia="zh-CN"/>
        </w:rPr>
      </w:pPr>
      <w:r>
        <w:rPr>
          <w:rFonts w:eastAsia="Calibri"/>
          <w:sz w:val="24"/>
          <w:szCs w:val="24"/>
          <w:shd w:fill="auto" w:val="clear"/>
          <w:lang w:eastAsia="zh-CN"/>
        </w:rPr>
      </w:r>
    </w:p>
    <w:p>
      <w:pPr>
        <w:pStyle w:val="Heading2"/>
        <w:numPr>
          <w:ilvl w:val="0"/>
        </w:numPr>
        <w:spacing w:before="0" w:after="0"/>
        <w:ind w:firstLine="680" w:left="0"/>
        <w:jc w:val="both"/>
        <w:rPr>
          <w:lang w:val="ru-RU"/>
        </w:rPr>
      </w:pPr>
      <w:bookmarkStart w:id="20" w:name="_Toc240957720"/>
      <w:bookmarkStart w:id="21" w:name="_Toc214015883"/>
      <w:bookmarkStart w:id="22" w:name="_Toc214534529"/>
      <w:bookmarkStart w:id="23" w:name="_Toc203571804"/>
      <w:r>
        <w:rPr>
          <w:shd w:fill="auto" w:val="clear"/>
        </w:rPr>
        <w:t>1.3.</w:t>
      </w:r>
      <w:bookmarkStart w:id="24" w:name="_Toc54643697"/>
      <w:bookmarkStart w:id="25" w:name="_Toc46743507"/>
      <w:r>
        <w:rPr>
          <w:rFonts w:eastAsia="DengXian"/>
          <w:shd w:fill="auto" w:val="clear"/>
        </w:rPr>
        <w:tab/>
      </w:r>
      <w:r>
        <w:rPr>
          <w:shd w:fill="auto" w:val="clear"/>
        </w:rPr>
        <w:t xml:space="preserve">Цель </w:t>
      </w:r>
      <w:bookmarkEnd w:id="23"/>
      <w:bookmarkEnd w:id="24"/>
      <w:bookmarkEnd w:id="25"/>
      <w:r>
        <w:rPr>
          <w:shd w:fill="auto" w:val="clear"/>
          <w:lang w:val="ru-RU"/>
        </w:rPr>
        <w:t>выпол</w:t>
      </w:r>
      <w:r>
        <w:rPr>
          <w:lang w:val="ru-RU"/>
        </w:rPr>
        <w:t>нения Работ</w:t>
      </w:r>
      <w:bookmarkEnd w:id="20"/>
      <w:bookmarkEnd w:id="21"/>
      <w:bookmarkEnd w:id="22"/>
    </w:p>
    <w:p>
      <w:pPr>
        <w:pStyle w:val="Normal"/>
        <w:widowControl w:val="false"/>
        <w:tabs>
          <w:tab w:val="clear" w:pos="708"/>
          <w:tab w:val="left" w:pos="1140" w:leader="none"/>
        </w:tabs>
        <w:ind w:firstLine="680"/>
        <w:jc w:val="both"/>
        <w:rPr/>
      </w:pPr>
      <w:r>
        <w:rPr>
          <w:rStyle w:val="Style9"/>
          <w:b w:val="false"/>
          <w:bCs/>
          <w:i w:val="false"/>
          <w:sz w:val="24"/>
          <w:szCs w:val="24"/>
          <w:shd w:fill="auto" w:val="clear"/>
        </w:rPr>
        <w:t xml:space="preserve">Целью выполнения работ является повышение информационной безопасности ПАО «РусГидро» путем доработки системы контроля за разработкой программного обеспечения </w:t>
      </w:r>
      <w:r>
        <w:rPr>
          <w:rStyle w:val="Style9"/>
          <w:rFonts w:eastAsia="Calibri"/>
          <w:b w:val="false"/>
          <w:bCs/>
          <w:i w:val="false"/>
          <w:sz w:val="24"/>
          <w:szCs w:val="24"/>
          <w:shd w:fill="auto" w:val="clear"/>
          <w:lang w:eastAsia="zh-CN"/>
        </w:rPr>
        <w:t>(далее – Система)</w:t>
      </w:r>
      <w:r>
        <w:rPr>
          <w:rStyle w:val="Style9"/>
          <w:b w:val="false"/>
          <w:bCs/>
          <w:i w:val="false"/>
          <w:sz w:val="24"/>
          <w:szCs w:val="24"/>
          <w:shd w:fill="auto" w:val="clear"/>
        </w:rPr>
        <w:t>.</w:t>
      </w:r>
    </w:p>
    <w:p>
      <w:pPr>
        <w:pStyle w:val="Normal"/>
        <w:widowControl w:val="false"/>
        <w:tabs>
          <w:tab w:val="clear" w:pos="708"/>
          <w:tab w:val="left" w:pos="1140" w:leader="none"/>
        </w:tabs>
        <w:ind w:firstLine="680"/>
        <w:jc w:val="both"/>
        <w:rPr/>
      </w:pPr>
      <w:r>
        <w:rPr>
          <w:rStyle w:val="Style9"/>
          <w:b w:val="false"/>
          <w:bCs/>
          <w:i w:val="false"/>
          <w:sz w:val="24"/>
          <w:szCs w:val="24"/>
          <w:shd w:fill="auto" w:val="clear"/>
        </w:rPr>
        <w:t>В рамках выполнения Работ должны быть решены следующие задачи:</w:t>
      </w:r>
    </w:p>
    <w:p>
      <w:pPr>
        <w:pStyle w:val="ListParagraph"/>
        <w:widowControl w:val="false"/>
        <w:numPr>
          <w:ilvl w:val="0"/>
          <w:numId w:val="9"/>
        </w:numPr>
        <w:tabs>
          <w:tab w:val="clear" w:pos="708"/>
          <w:tab w:val="left" w:pos="1140" w:leader="none"/>
        </w:tabs>
        <w:ind w:firstLine="680" w:left="0"/>
        <w:jc w:val="both"/>
        <w:rPr/>
      </w:pPr>
      <w:r>
        <w:rPr>
          <w:rFonts w:cs="Times New Roman" w:ascii="Times New Roman" w:hAnsi="Times New Roman"/>
        </w:rPr>
        <w:t>разработать технорабочий проект модернизации Системы, согласно рекомендациям по развитию процессов безопасной разработки в формате дорожной карты;</w:t>
      </w:r>
    </w:p>
    <w:p>
      <w:pPr>
        <w:pStyle w:val="ListParagraph"/>
        <w:widowControl w:val="false"/>
        <w:numPr>
          <w:ilvl w:val="0"/>
          <w:numId w:val="9"/>
        </w:numPr>
        <w:tabs>
          <w:tab w:val="clear" w:pos="708"/>
          <w:tab w:val="left" w:pos="1140" w:leader="none"/>
        </w:tabs>
        <w:ind w:firstLine="680" w:left="0"/>
        <w:jc w:val="both"/>
        <w:rPr/>
      </w:pPr>
      <w:r>
        <w:rPr>
          <w:rFonts w:cs="Times New Roman" w:ascii="Times New Roman" w:hAnsi="Times New Roman"/>
        </w:rPr>
        <w:t>реализовать решения согласно разработанному технорабочему проекту;</w:t>
      </w:r>
    </w:p>
    <w:p>
      <w:pPr>
        <w:pStyle w:val="ListParagraph"/>
        <w:widowControl w:val="false"/>
        <w:numPr>
          <w:ilvl w:val="0"/>
          <w:numId w:val="9"/>
        </w:numPr>
        <w:tabs>
          <w:tab w:val="clear" w:pos="708"/>
          <w:tab w:val="left" w:pos="1140" w:leader="none"/>
        </w:tabs>
        <w:ind w:firstLine="680" w:left="0"/>
        <w:jc w:val="both"/>
        <w:rPr/>
      </w:pPr>
      <w:r>
        <w:rPr>
          <w:rFonts w:cs="Times New Roman" w:ascii="Times New Roman" w:hAnsi="Times New Roman"/>
        </w:rPr>
        <w:t>получить права использования программного обеспечения;</w:t>
      </w:r>
    </w:p>
    <w:p>
      <w:pPr>
        <w:pStyle w:val="ListParagraph"/>
        <w:widowControl w:val="false"/>
        <w:numPr>
          <w:ilvl w:val="0"/>
          <w:numId w:val="9"/>
        </w:numPr>
        <w:tabs>
          <w:tab w:val="clear" w:pos="708"/>
          <w:tab w:val="left" w:pos="1140" w:leader="none"/>
        </w:tabs>
        <w:ind w:firstLine="680" w:left="0"/>
        <w:jc w:val="both"/>
        <w:rPr/>
      </w:pPr>
      <w:r>
        <w:rPr>
          <w:rFonts w:cs="Times New Roman" w:ascii="Times New Roman" w:hAnsi="Times New Roman"/>
        </w:rPr>
        <w:t>актуализировать существующие ЛНД (А) в области БРПО;</w:t>
      </w:r>
    </w:p>
    <w:p>
      <w:pPr>
        <w:pStyle w:val="ListParagraph"/>
        <w:widowControl w:val="false"/>
        <w:numPr>
          <w:ilvl w:val="0"/>
          <w:numId w:val="9"/>
        </w:numPr>
        <w:tabs>
          <w:tab w:val="clear" w:pos="708"/>
          <w:tab w:val="left" w:pos="1134" w:leader="none"/>
        </w:tabs>
        <w:ind w:firstLine="680" w:left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провести приемо-сдаточные испытания с последующим вводом в опытную и промышленную эксплуатацию.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2"/>
        <w:numPr>
          <w:ilvl w:val="0"/>
        </w:numPr>
        <w:tabs>
          <w:tab w:val="clear" w:pos="708"/>
          <w:tab w:val="left" w:pos="567" w:leader="none"/>
        </w:tabs>
        <w:ind w:firstLine="567" w:left="0"/>
        <w:rPr>
          <w:rFonts w:eastAsia="DengXian"/>
        </w:rPr>
      </w:pPr>
      <w:bookmarkStart w:id="26" w:name="_Toc203571806"/>
      <w:bookmarkStart w:id="27" w:name="_Toc214534530"/>
      <w:bookmarkStart w:id="28" w:name="_Toc214015884"/>
      <w:bookmarkStart w:id="29" w:name="_Toc240957721"/>
      <w:r>
        <w:rPr/>
        <w:t>1.</w:t>
      </w:r>
      <w:r>
        <w:rPr>
          <w:lang w:val="ru-RU"/>
        </w:rPr>
        <w:t>4</w:t>
      </w:r>
      <w:r>
        <w:rPr/>
        <w:t>.</w:t>
      </w:r>
      <w:r>
        <w:rPr>
          <w:rFonts w:eastAsia="DengXian"/>
        </w:rPr>
        <w:tab/>
        <w:t>Существующее положение</w:t>
      </w:r>
      <w:bookmarkEnd w:id="27"/>
      <w:bookmarkEnd w:id="28"/>
      <w:bookmarkEnd w:id="29"/>
    </w:p>
    <w:p>
      <w:pPr>
        <w:pStyle w:val="Normal"/>
        <w:ind w:firstLine="567"/>
        <w:jc w:val="both"/>
        <w:rPr>
          <w:rFonts w:eastAsia="Calibri"/>
          <w:bCs/>
          <w:sz w:val="24"/>
          <w:szCs w:val="24"/>
        </w:rPr>
      </w:pPr>
      <w:r>
        <w:rPr>
          <w:rStyle w:val="Style9"/>
          <w:rFonts w:eastAsia="Calibri"/>
          <w:b w:val="false"/>
          <w:bCs/>
          <w:i w:val="false"/>
          <w:sz w:val="24"/>
          <w:szCs w:val="24"/>
          <w:shd w:fill="auto" w:val="clear"/>
        </w:rPr>
        <w:t>В ПАО «РусГидро» эксплуатируется большое количество информационных систем, для внедрения которых часто используется виртуальная среда (среда, внутри которой имитируется определенная операционная система). Для этих целей часто используются нетиповые и индивидуальные решения, поэтому необходимо обеспечить безопасность на протяжении всего жизненного цикла ИС путем модернизации системы контроля безопасной разработки информационных систем, согласно разработанным рекомендациям по развитию процессов безопасной разработки в формате дорожной карты.</w:t>
      </w:r>
    </w:p>
    <w:p>
      <w:pPr>
        <w:pStyle w:val="Normal"/>
        <w:ind w:firstLine="567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</w:r>
    </w:p>
    <w:p>
      <w:pPr>
        <w:pStyle w:val="Txt1"/>
        <w:ind w:firstLine="567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Style w:val="Style9"/>
          <w:rFonts w:cs="Times New Roman" w:ascii="Times New Roman" w:hAnsi="Times New Roman"/>
          <w:b w:val="false"/>
          <w:bCs/>
          <w:i w:val="false"/>
          <w:sz w:val="24"/>
          <w:szCs w:val="24"/>
          <w:shd w:fill="auto" w:val="clear"/>
          <w:lang w:eastAsia="ru-RU"/>
        </w:rPr>
        <w:t>Перечень объектов Заказчика указан в таблице 1.</w:t>
      </w:r>
    </w:p>
    <w:p>
      <w:pPr>
        <w:pStyle w:val="Normal"/>
        <w:ind w:firstLine="567"/>
        <w:jc w:val="right"/>
        <w:rPr>
          <w:sz w:val="24"/>
          <w:szCs w:val="24"/>
        </w:rPr>
      </w:pPr>
      <w:r>
        <w:rPr>
          <w:rStyle w:val="Style9"/>
          <w:rFonts w:eastAsia="Calibri"/>
          <w:b w:val="false"/>
          <w:bCs/>
          <w:i w:val="false"/>
          <w:sz w:val="24"/>
          <w:szCs w:val="24"/>
          <w:shd w:fill="auto" w:val="clear"/>
        </w:rPr>
        <w:t>Таблица 1 – Перечень объектов Заказчика</w:t>
      </w:r>
    </w:p>
    <w:p>
      <w:pPr>
        <w:pStyle w:val="Normal"/>
        <w:ind w:firstLine="567"/>
        <w:jc w:val="right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39"/>
        <w:gridCol w:w="2094"/>
        <w:gridCol w:w="3831"/>
        <w:gridCol w:w="3256"/>
      </w:tblGrid>
      <w:tr>
        <w:trPr/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h1"/>
              <w:widowControl w:val="false"/>
              <w:rPr>
                <w:rFonts w:ascii="Times New Roman" w:hAnsi="Times New Roman" w:cs="Times New Roman"/>
                <w:sz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</w:rPr>
              <w:t>№</w:t>
            </w:r>
          </w:p>
          <w:p>
            <w:pPr>
              <w:pStyle w:val="Th1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п/п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h1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Наименование объекта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h1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Расположение объекта (место поставки МТР, производства работ)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h1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Наименование основного средства (после ввода в промышленную эксплуатацию)</w:t>
            </w:r>
          </w:p>
        </w:tc>
      </w:tr>
      <w:tr>
        <w:trPr/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h1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1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h1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2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h1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3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h1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4</w:t>
            </w:r>
          </w:p>
        </w:tc>
      </w:tr>
      <w:tr>
        <w:trPr/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-11"/>
              <w:widowControl w:val="false"/>
              <w:numPr>
                <w:ilvl w:val="0"/>
                <w:numId w:val="0"/>
              </w:numPr>
              <w:ind w:hanging="0" w:left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1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l1"/>
              <w:widowControl w:val="false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cs="Times New Roman" w:ascii="Times New Roman" w:hAnsi="Times New Roman"/>
                <w:bCs/>
                <w:sz w:val="24"/>
              </w:rPr>
              <w:t>ПАО «РусГидро»</w:t>
            </w:r>
          </w:p>
        </w:tc>
      </w:tr>
      <w:tr>
        <w:trPr/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-21"/>
              <w:widowControl w:val="false"/>
              <w:numPr>
                <w:ilvl w:val="0"/>
                <w:numId w:val="0"/>
              </w:numPr>
              <w:ind w:hanging="0" w:left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1.1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l1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ПАО «РусГидро»</w:t>
            </w:r>
            <w:r>
              <w:rPr>
                <w:rFonts w:cs="Times New Roman" w:ascii="Times New Roman" w:hAnsi="Times New Roman"/>
                <w:iCs/>
                <w:sz w:val="24"/>
              </w:rPr>
              <w:t xml:space="preserve"> Центр обработки данных М9</w:t>
            </w:r>
          </w:p>
        </w:tc>
        <w:tc>
          <w:tcPr>
            <w:tcW w:w="3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l1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 xml:space="preserve">Юридический адрес: </w:t>
            </w:r>
          </w:p>
          <w:p>
            <w:pPr>
              <w:pStyle w:val="Tl1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660049, г. Красноярск, Красноярский край, улица Перенсона, зд. 2а, пом. 1.</w:t>
            </w:r>
          </w:p>
          <w:p>
            <w:pPr>
              <w:pStyle w:val="Tl1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Адреса размещения офисов и ЦОД:</w:t>
            </w:r>
          </w:p>
          <w:p>
            <w:pPr>
              <w:pStyle w:val="Tl1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- офис: 660049, г. Красноярск, Красноярский край, улица Перенсона, зд. 2а, пом. 1.</w:t>
            </w:r>
          </w:p>
          <w:p>
            <w:pPr>
              <w:pStyle w:val="Tl1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- ЦОД М9, арендуемое помещение у ПАО «Ростелеком»: 117485, Москва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76"/>
              <w:jc w:val="center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Программно-аппаратный комплекс Корпоративного центра обнаружения, предупреждения и ликвидации последствий компьютерных атак </w:t>
            </w:r>
            <w:r>
              <w:rPr>
                <w:iCs/>
                <w:sz w:val="24"/>
                <w:szCs w:val="24"/>
              </w:rPr>
              <w:t>ПАО «РусГидро» (инв. 10104010000000850000)</w:t>
            </w:r>
          </w:p>
        </w:tc>
      </w:tr>
    </w:tbl>
    <w:p>
      <w:pPr>
        <w:pStyle w:val="Normal"/>
        <w:ind w:firstLine="567"/>
        <w:jc w:val="center"/>
        <w:rPr>
          <w:rFonts w:eastAsia="Calibri"/>
          <w:b/>
          <w:bCs/>
          <w:sz w:val="24"/>
          <w:szCs w:val="24"/>
          <w:lang w:val="zh-CN" w:eastAsia="zh-CN"/>
        </w:rPr>
      </w:pPr>
      <w:r>
        <w:rPr>
          <w:rFonts w:eastAsia="Calibri"/>
          <w:b/>
          <w:bCs/>
          <w:sz w:val="24"/>
          <w:szCs w:val="24"/>
          <w:lang w:val="zh-CN" w:eastAsia="zh-CN"/>
        </w:rPr>
      </w:r>
    </w:p>
    <w:p>
      <w:pPr>
        <w:pStyle w:val="Heading2"/>
        <w:numPr>
          <w:ilvl w:val="0"/>
        </w:numPr>
        <w:ind w:hanging="0" w:left="0"/>
        <w:jc w:val="both"/>
        <w:rPr>
          <w:rFonts w:eastAsia="DengXian"/>
        </w:rPr>
      </w:pPr>
      <w:bookmarkStart w:id="30" w:name="_Toc214015885"/>
      <w:bookmarkStart w:id="31" w:name="_Toc214534531"/>
      <w:bookmarkStart w:id="32" w:name="_Hlk49857604"/>
      <w:bookmarkStart w:id="33" w:name="_Toc240957722"/>
      <w:bookmarkStart w:id="34" w:name="_Toc46743509"/>
      <w:bookmarkStart w:id="35" w:name="_Toc54643700"/>
      <w:r>
        <w:rPr>
          <w:rFonts w:eastAsia="DengXian"/>
        </w:rPr>
        <w:t>1.5.</w:t>
        <w:tab/>
      </w:r>
      <w:r>
        <w:rPr/>
        <w:t xml:space="preserve">Информация в отношении исполнения Договора, </w:t>
      </w:r>
      <w:bookmarkStart w:id="36" w:name="_Hlk46492347"/>
      <w:r>
        <w:rPr/>
        <w:t xml:space="preserve">которая должна быть учтена при подготовке заявки </w:t>
      </w:r>
      <w:bookmarkEnd w:id="36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26"/>
      <w:bookmarkEnd w:id="30"/>
      <w:bookmarkEnd w:id="31"/>
      <w:bookmarkEnd w:id="32"/>
      <w:bookmarkEnd w:id="33"/>
      <w:bookmarkEnd w:id="34"/>
      <w:bookmarkEnd w:id="35"/>
    </w:p>
    <w:p>
      <w:pPr>
        <w:pStyle w:val="Txt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рамках выполнения работ Заказчик предоставляет по запросу Подрядчика достоверные исходные данные в объеме, необходимом для выполнения работ, в том числе сведения, содержащие:</w:t>
      </w:r>
    </w:p>
    <w:p>
      <w:pPr>
        <w:pStyle w:val="ListParagraph"/>
        <w:numPr>
          <w:ilvl w:val="0"/>
          <w:numId w:val="11"/>
        </w:numPr>
        <w:suppressAutoHyphens w:val="false"/>
        <w:ind w:firstLine="709" w:left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организационно-распорядительную документацию в области обеспечения ИБ и процессов разработки, внедрения, модернизации и приемки в эксплуатацию информационных систем в ПАО «РусГидро»;</w:t>
      </w:r>
    </w:p>
    <w:p>
      <w:pPr>
        <w:pStyle w:val="ListParagraph"/>
        <w:numPr>
          <w:ilvl w:val="0"/>
          <w:numId w:val="11"/>
        </w:numPr>
        <w:suppressAutoHyphens w:val="false"/>
        <w:ind w:firstLine="709" w:left="0"/>
        <w:jc w:val="both"/>
        <w:rPr>
          <w:rFonts w:ascii="Times New Roman" w:hAnsi="Times New Roman" w:eastAsia="SimSun" w:cs="Times New Roman"/>
        </w:rPr>
      </w:pPr>
      <w:r>
        <w:rPr>
          <w:rFonts w:eastAsia="SimSun" w:cs="Times New Roman" w:ascii="Times New Roman" w:hAnsi="Times New Roman"/>
        </w:rPr>
        <w:t>сведения о существующей инфраструктуре ИС Группы РусГидро (в т.ч. о технических и программных средствах, обеспечивающих функционирование информационных систем (состав, технические характеристики, размещение, внешнее и внутреннее взаимодействие, схемы сетей связи и т.д.);</w:t>
      </w:r>
    </w:p>
    <w:p>
      <w:pPr>
        <w:pStyle w:val="ListParagraph"/>
        <w:numPr>
          <w:ilvl w:val="0"/>
          <w:numId w:val="11"/>
        </w:numPr>
        <w:suppressAutoHyphens w:val="false"/>
        <w:ind w:firstLine="709" w:left="0"/>
        <w:jc w:val="both"/>
        <w:rPr>
          <w:rFonts w:ascii="Times New Roman" w:hAnsi="Times New Roman" w:eastAsia="SimSun" w:cs="Times New Roman"/>
        </w:rPr>
      </w:pPr>
      <w:r>
        <w:rPr>
          <w:rFonts w:eastAsia="SimSun" w:cs="Times New Roman" w:ascii="Times New Roman" w:hAnsi="Times New Roman"/>
        </w:rPr>
        <w:t>сведения об организационной структуре Группы РусГидро и о структуре процессов управления учетными записями и доступом к ИС в Группе РусГидро;</w:t>
      </w:r>
    </w:p>
    <w:p>
      <w:pPr>
        <w:pStyle w:val="ListParagraph"/>
        <w:numPr>
          <w:ilvl w:val="0"/>
          <w:numId w:val="11"/>
        </w:numPr>
        <w:suppressAutoHyphens w:val="false"/>
        <w:ind w:firstLine="709" w:left="0"/>
        <w:jc w:val="both"/>
        <w:rPr>
          <w:rFonts w:ascii="Times New Roman" w:hAnsi="Times New Roman" w:eastAsia="SimSun" w:cs="Times New Roman"/>
        </w:rPr>
      </w:pPr>
      <w:r>
        <w:rPr>
          <w:rFonts w:eastAsia="SimSun" w:cs="Times New Roman" w:ascii="Times New Roman" w:hAnsi="Times New Roman"/>
        </w:rPr>
        <w:t>рекомендации по развитию процессов безопасной разработки в формате дорожной карты;</w:t>
      </w:r>
    </w:p>
    <w:p>
      <w:pPr>
        <w:pStyle w:val="ListParagraph"/>
        <w:numPr>
          <w:ilvl w:val="0"/>
          <w:numId w:val="11"/>
        </w:numPr>
        <w:suppressAutoHyphens w:val="false"/>
        <w:ind w:firstLine="709" w:left="0"/>
        <w:jc w:val="both"/>
        <w:rPr>
          <w:rFonts w:ascii="Times New Roman" w:hAnsi="Times New Roman" w:eastAsia="SimSun" w:cs="Times New Roman"/>
        </w:rPr>
      </w:pPr>
      <w:r>
        <w:rPr>
          <w:rFonts w:eastAsia="SimSun" w:cs="Times New Roman" w:ascii="Times New Roman" w:hAnsi="Times New Roman"/>
        </w:rPr>
        <w:t>иные сведения (по запросу Подрядчика) необходимые для качественного выполнения работ.</w:t>
      </w:r>
    </w:p>
    <w:p>
      <w:pPr>
        <w:pStyle w:val="Txt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Взаимодействие между Заказчиком и Подрядчиком осуществляется посредством корпоративных средств связи Заказчика и Подрядчика. В целях сбора необходимых исходных данных Подрядчик разрабатывает и предоставляет Заказчику соответствующие опросные листы. Заказчик предоставляет Подрядчику исходные данные (заполненные опросные листы) не позднее 10 (десяти) рабочих дней с момента получения соответствующих опросных листов.</w:t>
      </w:r>
    </w:p>
    <w:p>
      <w:pPr>
        <w:pStyle w:val="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 необходимости для уточнения исходных данных и/или сбора дополнительных данных Заказчик обеспечивает допуск персонала Подрядчика на объекты в контуре работ.</w:t>
      </w:r>
    </w:p>
    <w:p>
      <w:pPr>
        <w:pStyle w:val="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keepLines/>
        <w:spacing w:before="0" w:after="0"/>
        <w:ind w:hanging="357" w:left="357"/>
        <w:jc w:val="center"/>
        <w:rPr>
          <w:b w:val="false"/>
          <w:bCs/>
          <w:sz w:val="24"/>
          <w:szCs w:val="24"/>
        </w:rPr>
      </w:pPr>
      <w:bookmarkStart w:id="37" w:name="_Toc203571807"/>
      <w:bookmarkStart w:id="38" w:name="_Toc214015889"/>
      <w:bookmarkStart w:id="39" w:name="_Toc240957723"/>
      <w:bookmarkStart w:id="40" w:name="_Toc214534532"/>
      <w:bookmarkStart w:id="41" w:name="_Toc51339693"/>
      <w:bookmarkStart w:id="42" w:name="_Toc54643702"/>
      <w:bookmarkStart w:id="43" w:name="_Toc214010103"/>
      <w:bookmarkStart w:id="44" w:name="_Toc214015502"/>
      <w:bookmarkStart w:id="45" w:name="_Toc214010101"/>
      <w:bookmarkStart w:id="46" w:name="_Toc214015888"/>
      <w:bookmarkStart w:id="47" w:name="_Toc214015222"/>
      <w:bookmarkStart w:id="48" w:name="_Toc214015504"/>
      <w:bookmarkStart w:id="49" w:name="_Toc214015223"/>
      <w:bookmarkStart w:id="50" w:name="_Toc214015887"/>
      <w:bookmarkStart w:id="51" w:name="_Toc214015503"/>
      <w:bookmarkStart w:id="52" w:name="_Toc214015221"/>
      <w:bookmarkStart w:id="53" w:name="_Toc214015886"/>
      <w:bookmarkStart w:id="54" w:name="_Toc21401010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r>
        <w:rPr>
          <w:bCs/>
          <w:iCs/>
          <w:sz w:val="24"/>
          <w:szCs w:val="24"/>
        </w:rPr>
        <w:t>Требования к продукци</w:t>
      </w:r>
      <w:bookmarkEnd w:id="41"/>
      <w:bookmarkEnd w:id="42"/>
      <w:r>
        <w:rPr>
          <w:bCs/>
          <w:iCs/>
          <w:sz w:val="24"/>
          <w:szCs w:val="24"/>
        </w:rPr>
        <w:t>и</w:t>
      </w:r>
      <w:bookmarkEnd w:id="37"/>
      <w:bookmarkEnd w:id="38"/>
      <w:bookmarkEnd w:id="39"/>
      <w:bookmarkEnd w:id="40"/>
    </w:p>
    <w:p>
      <w:pPr>
        <w:pStyle w:val="Heading2"/>
        <w:numPr>
          <w:ilvl w:val="0"/>
        </w:numPr>
        <w:spacing w:lineRule="auto" w:line="276" w:before="0" w:after="0"/>
        <w:ind w:hanging="0" w:left="0"/>
        <w:rPr/>
      </w:pPr>
      <w:bookmarkStart w:id="55" w:name="_Toc214015890"/>
      <w:bookmarkStart w:id="56" w:name="_Toc240957724"/>
      <w:bookmarkStart w:id="57" w:name="_Toc214534533"/>
      <w:bookmarkStart w:id="58" w:name="_Toc203571808"/>
      <w:r>
        <w:rPr/>
        <w:t xml:space="preserve">2.1. </w:t>
      </w:r>
      <w:bookmarkStart w:id="59" w:name="_Toc54643703"/>
      <w:r>
        <w:rPr/>
        <w:t xml:space="preserve">Требования к объемам и срокам </w:t>
      </w:r>
      <w:bookmarkEnd w:id="58"/>
      <w:bookmarkEnd w:id="59"/>
      <w:r>
        <w:rPr>
          <w:lang w:val="ru-RU"/>
        </w:rPr>
        <w:t>выполнения работ</w:t>
      </w:r>
      <w:bookmarkEnd w:id="55"/>
      <w:bookmarkEnd w:id="56"/>
      <w:bookmarkEnd w:id="57"/>
    </w:p>
    <w:p>
      <w:pPr>
        <w:pStyle w:val="Heading2"/>
        <w:numPr>
          <w:ilvl w:val="0"/>
        </w:numPr>
        <w:spacing w:lineRule="auto" w:line="276" w:before="0" w:after="0"/>
        <w:ind w:hanging="0" w:left="0"/>
        <w:rPr>
          <w:lang w:val="ru-RU"/>
        </w:rPr>
      </w:pPr>
      <w:bookmarkStart w:id="60" w:name="_Toc240957725"/>
      <w:bookmarkStart w:id="61" w:name="_Toc214534534"/>
      <w:bookmarkStart w:id="62" w:name="_Toc214015891"/>
      <w:bookmarkStart w:id="63" w:name="_Toc203571809"/>
      <w:r>
        <w:rPr>
          <w:lang w:val="ru-RU"/>
        </w:rPr>
        <w:t xml:space="preserve">2.1.1 </w:t>
      </w:r>
      <w:bookmarkStart w:id="64" w:name="_Toc54643704"/>
      <w:r>
        <w:rPr/>
        <w:t xml:space="preserve">Требования к перечню и объему </w:t>
      </w:r>
      <w:bookmarkEnd w:id="63"/>
      <w:bookmarkEnd w:id="64"/>
      <w:r>
        <w:rPr>
          <w:lang w:val="ru-RU"/>
        </w:rPr>
        <w:t>работ</w:t>
      </w:r>
      <w:bookmarkEnd w:id="60"/>
      <w:bookmarkEnd w:id="61"/>
      <w:bookmarkEnd w:id="62"/>
    </w:p>
    <w:p>
      <w:pPr>
        <w:pStyle w:val="Normal"/>
        <w:spacing w:lineRule="auto" w:line="276"/>
        <w:ind w:firstLine="709"/>
        <w:jc w:val="both"/>
        <w:rPr>
          <w:rFonts w:eastAsia="Calibri"/>
          <w:sz w:val="24"/>
          <w:szCs w:val="24"/>
          <w:lang w:eastAsia="zh-CN"/>
        </w:rPr>
      </w:pPr>
      <w:r>
        <w:rPr>
          <w:rFonts w:eastAsia="Calibri"/>
          <w:sz w:val="24"/>
          <w:szCs w:val="24"/>
          <w:lang w:eastAsia="zh-CN"/>
        </w:rPr>
      </w:r>
    </w:p>
    <w:p>
      <w:pPr>
        <w:pStyle w:val="BodyText"/>
        <w:tabs>
          <w:tab w:val="clear" w:pos="708"/>
          <w:tab w:val="left" w:pos="679" w:leader="none"/>
        </w:tabs>
        <w:spacing w:lineRule="auto" w:line="276"/>
        <w:jc w:val="right"/>
        <w:rPr>
          <w:rFonts w:ascii="Times New Roman" w:hAnsi="Times New Roman" w:cs="Times New Roman"/>
          <w:sz w:val="24"/>
          <w:szCs w:val="24"/>
          <w:lang w:eastAsia="zh-CN"/>
        </w:rPr>
      </w:pPr>
      <w:bookmarkStart w:id="65" w:name="_Toc54643705"/>
      <w:bookmarkStart w:id="66" w:name="_Toc51339695"/>
      <w:r>
        <w:rPr>
          <w:rFonts w:cs="Times New Roman" w:ascii="Times New Roman" w:hAnsi="Times New Roman"/>
          <w:sz w:val="24"/>
          <w:szCs w:val="24"/>
          <w:lang w:eastAsia="zh-CN"/>
        </w:rPr>
        <w:t xml:space="preserve">Таблица 2. Перечень </w:t>
      </w:r>
      <w:bookmarkEnd w:id="66"/>
      <w:r>
        <w:rPr>
          <w:rFonts w:cs="Times New Roman" w:ascii="Times New Roman" w:hAnsi="Times New Roman"/>
          <w:sz w:val="24"/>
          <w:szCs w:val="24"/>
          <w:lang w:eastAsia="zh-CN"/>
        </w:rPr>
        <w:t xml:space="preserve">и объем </w:t>
      </w:r>
      <w:bookmarkEnd w:id="65"/>
      <w:r>
        <w:rPr>
          <w:rFonts w:cs="Times New Roman" w:ascii="Times New Roman" w:hAnsi="Times New Roman"/>
          <w:sz w:val="24"/>
          <w:szCs w:val="24"/>
          <w:lang w:eastAsia="zh-CN"/>
        </w:rPr>
        <w:t>выполняемых работ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61"/>
        <w:gridCol w:w="5312"/>
        <w:gridCol w:w="1745"/>
        <w:gridCol w:w="129"/>
        <w:gridCol w:w="1873"/>
      </w:tblGrid>
      <w:tr>
        <w:trPr/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работ / этапа работ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технорабочего проекта по модернизации Системы, согласно рекомендациям по развитию процессов безопасной разработки в формате дорожной карты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документации</w:t>
            </w:r>
          </w:p>
        </w:tc>
        <w:tc>
          <w:tcPr>
            <w:tcW w:w="2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  <w:tr>
        <w:trPr/>
        <w:tc>
          <w:tcPr>
            <w:tcW w:w="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3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 xml:space="preserve">Выполнение работ по вводу Системы в эксплуатацию в соответствии с разработанной рабочей документацией, </w:t>
            </w:r>
            <w:r>
              <w:rPr>
                <w:sz w:val="24"/>
                <w:szCs w:val="24"/>
              </w:rPr>
              <w:t>проведение ПСИ и ввод в опытную и затем промышленную эксплуатацию, представление исполнительной и эксплуатационной документации</w:t>
            </w:r>
          </w:p>
        </w:tc>
        <w:tc>
          <w:tcPr>
            <w:tcW w:w="374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Конкретный объем работ будет определен по результатам разработки технорабочего проекта</w:t>
            </w:r>
          </w:p>
        </w:tc>
      </w:tr>
      <w:tr>
        <w:trPr/>
        <w:tc>
          <w:tcPr>
            <w:tcW w:w="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Актуализация существующей ЛНД (А) в области БРПО</w:t>
            </w:r>
          </w:p>
        </w:tc>
        <w:tc>
          <w:tcPr>
            <w:tcW w:w="187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документации</w:t>
            </w:r>
          </w:p>
        </w:tc>
        <w:tc>
          <w:tcPr>
            <w:tcW w:w="1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BodyText"/>
        <w:tabs>
          <w:tab w:val="clear" w:pos="708"/>
          <w:tab w:val="left" w:pos="679" w:leader="none"/>
        </w:tabs>
        <w:spacing w:lineRule="auto" w:line="276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cs="Times New Roman" w:ascii="Times New Roman" w:hAnsi="Times New Roman"/>
          <w:sz w:val="24"/>
          <w:szCs w:val="24"/>
          <w:lang w:eastAsia="zh-CN"/>
        </w:rPr>
      </w:r>
    </w:p>
    <w:p>
      <w:pPr>
        <w:pStyle w:val="BodyText"/>
        <w:tabs>
          <w:tab w:val="clear" w:pos="708"/>
          <w:tab w:val="left" w:pos="679" w:leader="none"/>
        </w:tabs>
        <w:spacing w:lineRule="auto" w:line="276"/>
        <w:jc w:val="right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cs="Times New Roman" w:ascii="Times New Roman" w:hAnsi="Times New Roman"/>
          <w:sz w:val="24"/>
          <w:szCs w:val="24"/>
          <w:lang w:eastAsia="zh-CN"/>
        </w:rPr>
        <w:t>Таблица 3. – Перечень и объем закупаемых МТР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0"/>
        <w:gridCol w:w="4021"/>
        <w:gridCol w:w="2379"/>
        <w:gridCol w:w="2680"/>
      </w:tblGrid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-6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№</w:t>
            </w:r>
            <w:r>
              <w:rPr>
                <w:rFonts w:cs="Times New Roman" w:ascii="Times New Roman" w:hAnsi="Times New Roman"/>
                <w:sz w:val="24"/>
              </w:rPr>
              <w:t>п/п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-6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Наименование работ / этапа работ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-6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Единица измерения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-6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Количество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-5"/>
              <w:widowControl w:val="false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eastAsia="SimSun" w:cs="Times New Roman" w:ascii="Times New Roman" w:hAnsi="Times New Roman"/>
                <w:b/>
                <w:bCs/>
                <w:sz w:val="24"/>
              </w:rPr>
              <w:t>1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-5"/>
              <w:widowControl w:val="false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eastAsia="SimSun" w:cs="Times New Roman" w:ascii="Times New Roman" w:hAnsi="Times New Roman"/>
                <w:b/>
                <w:bCs/>
                <w:sz w:val="24"/>
              </w:rPr>
              <w:t>2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-5"/>
              <w:widowControl w:val="false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eastAsia="SimSun" w:cs="Times New Roman" w:ascii="Times New Roman" w:hAnsi="Times New Roman"/>
                <w:b/>
                <w:bCs/>
                <w:sz w:val="24"/>
              </w:rPr>
              <w:t>3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-5"/>
              <w:widowControl w:val="false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eastAsia="SimSun" w:cs="Times New Roman" w:ascii="Times New Roman" w:hAnsi="Times New Roman"/>
                <w:b/>
                <w:bCs/>
                <w:sz w:val="24"/>
              </w:rPr>
              <w:t>4</w:t>
            </w:r>
          </w:p>
        </w:tc>
      </w:tr>
      <w:tr>
        <w:trPr/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-11"/>
              <w:widowControl w:val="false"/>
              <w:numPr>
                <w:ilvl w:val="0"/>
                <w:numId w:val="0"/>
              </w:numPr>
              <w:ind w:hanging="0"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214"/>
              <w:widowControl w:val="false"/>
              <w:numPr>
                <w:ilvl w:val="0"/>
                <w:numId w:val="0"/>
              </w:numPr>
              <w:ind w:hanging="0" w:left="0"/>
              <w:jc w:val="both"/>
              <w:rPr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Передача прав использования ПО (бессрочная лицензия), либо эквивалент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-5"/>
              <w:widowControl w:val="false"/>
              <w:jc w:val="center"/>
              <w:rPr/>
            </w:pPr>
            <w:r>
              <w:rPr>
                <w:rFonts w:eastAsia="SimSun" w:cs="Times New Roman" w:ascii="Times New Roman" w:hAnsi="Times New Roman"/>
                <w:sz w:val="24"/>
                <w:lang w:val="en-US"/>
              </w:rPr>
              <w:t>Шт.</w:t>
            </w:r>
          </w:p>
        </w:tc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-5"/>
              <w:widowControl w:val="false"/>
              <w:jc w:val="center"/>
              <w:rPr/>
            </w:pPr>
            <w:r>
              <w:rPr>
                <w:rFonts w:eastAsia="SimSun" w:cs="Times New Roman" w:ascii="Times New Roman" w:hAnsi="Times New Roman"/>
                <w:sz w:val="24"/>
              </w:rPr>
              <w:t>Конкретный объем закупаемых МТР будет определен по результатам разработки технорабочего проекта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rPr>
          <w:bCs/>
          <w:sz w:val="24"/>
          <w:szCs w:val="24"/>
          <w:shd w:fill="FFFF99" w:val="clear"/>
        </w:rPr>
      </w:pPr>
      <w:r>
        <w:rPr>
          <w:bCs/>
          <w:sz w:val="24"/>
          <w:szCs w:val="24"/>
          <w:shd w:fill="FFFF99" w:val="clear"/>
        </w:rPr>
      </w:r>
    </w:p>
    <w:p>
      <w:pPr>
        <w:pStyle w:val="Heading3"/>
        <w:numPr>
          <w:ilvl w:val="0"/>
          <w:numId w:val="0"/>
        </w:numPr>
        <w:ind w:firstLine="709" w:left="0"/>
        <w:rPr>
          <w:lang w:val="ru-RU"/>
        </w:rPr>
      </w:pPr>
      <w:bookmarkStart w:id="67" w:name="_Toc240957726"/>
      <w:bookmarkStart w:id="68" w:name="_Toc214534535"/>
      <w:bookmarkStart w:id="69" w:name="_Toc214015892"/>
      <w:bookmarkStart w:id="70" w:name="_Toc203571810"/>
      <w:r>
        <w:rPr>
          <w:lang w:val="ru-RU"/>
        </w:rPr>
        <w:t xml:space="preserve">2.1.2. </w:t>
      </w:r>
      <w:r>
        <w:rPr/>
        <w:t>Т</w:t>
      </w:r>
      <w:bookmarkStart w:id="71" w:name="_Toc51339696"/>
      <w:r>
        <w:rPr/>
        <w:t xml:space="preserve">ребования </w:t>
      </w:r>
      <w:bookmarkEnd w:id="71"/>
      <w:r>
        <w:rPr/>
        <w:t xml:space="preserve">к срокам </w:t>
      </w:r>
      <w:r>
        <w:rPr>
          <w:lang w:val="ru-RU"/>
        </w:rPr>
        <w:t>выполнения</w:t>
      </w:r>
      <w:r>
        <w:rPr/>
        <w:t xml:space="preserve"> </w:t>
      </w:r>
      <w:bookmarkEnd w:id="70"/>
      <w:r>
        <w:rPr>
          <w:lang w:val="ru-RU"/>
        </w:rPr>
        <w:t>Работ</w:t>
      </w:r>
      <w:bookmarkEnd w:id="67"/>
      <w:bookmarkEnd w:id="68"/>
      <w:bookmarkEnd w:id="69"/>
    </w:p>
    <w:p>
      <w:pPr>
        <w:pStyle w:val="Normal"/>
        <w:jc w:val="right"/>
        <w:rPr>
          <w:rFonts w:eastAsia="Calibri"/>
          <w:sz w:val="24"/>
          <w:szCs w:val="24"/>
          <w:lang w:eastAsia="zh-CN"/>
        </w:rPr>
      </w:pPr>
      <w:bookmarkStart w:id="72" w:name="__RefHeading___Toc150655_1477206047"/>
      <w:bookmarkStart w:id="73" w:name="_Toc54643707"/>
      <w:bookmarkStart w:id="74" w:name="_Toc51339697"/>
      <w:bookmarkStart w:id="75" w:name="_Toc50125127"/>
      <w:bookmarkStart w:id="76" w:name="_Toc50125126"/>
      <w:bookmarkEnd w:id="72"/>
      <w:bookmarkEnd w:id="76"/>
      <w:r>
        <w:rPr>
          <w:rFonts w:eastAsia="Calibri"/>
          <w:sz w:val="24"/>
          <w:szCs w:val="24"/>
          <w:lang w:eastAsia="zh-CN"/>
        </w:rPr>
        <w:t xml:space="preserve">Таблица 4. </w:t>
      </w:r>
      <w:bookmarkStart w:id="77" w:name="_Hlk50465284"/>
      <w:r>
        <w:rPr>
          <w:rFonts w:eastAsia="Calibri"/>
          <w:sz w:val="24"/>
          <w:szCs w:val="24"/>
          <w:lang w:eastAsia="zh-CN"/>
        </w:rPr>
        <w:t xml:space="preserve">Требования к срокам </w:t>
      </w:r>
      <w:bookmarkEnd w:id="74"/>
      <w:bookmarkEnd w:id="75"/>
      <w:bookmarkEnd w:id="77"/>
      <w:r>
        <w:rPr>
          <w:rFonts w:eastAsia="Calibri"/>
          <w:sz w:val="24"/>
          <w:szCs w:val="24"/>
          <w:lang w:eastAsia="zh-CN"/>
        </w:rPr>
        <w:t xml:space="preserve">выполнения </w:t>
      </w:r>
      <w:bookmarkEnd w:id="73"/>
      <w:r>
        <w:rPr>
          <w:rFonts w:eastAsia="Calibri"/>
          <w:sz w:val="24"/>
          <w:szCs w:val="24"/>
          <w:lang w:eastAsia="zh-CN"/>
        </w:rPr>
        <w:t>работ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59"/>
        <w:gridCol w:w="4384"/>
        <w:gridCol w:w="2275"/>
        <w:gridCol w:w="2402"/>
      </w:tblGrid>
      <w:tr>
        <w:trPr/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  <w:lang w:val="en-US"/>
              </w:rPr>
              <w:t>работ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выполнения работ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выполнения работ</w:t>
            </w:r>
          </w:p>
        </w:tc>
      </w:tr>
      <w:tr>
        <w:trPr/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keepNext w:val="false"/>
              <w:widowControl w:val="false"/>
              <w:spacing w:before="0" w:after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keepNext w:val="false"/>
              <w:widowControl w:val="false"/>
              <w:spacing w:before="0" w:after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технорабочего проекта по модернизации Системы, согласно рекомендациям по развитию процессов безопасной разработки в формате дорожной карты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  <w:r>
              <w:rPr>
                <w:rStyle w:val="FootnoteReference"/>
                <w:rFonts w:eastAsia="Calibri"/>
                <w:sz w:val="24"/>
                <w:szCs w:val="24"/>
              </w:rPr>
              <w:footnoteReference w:id="2"/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Х+3 мес.</w:t>
            </w:r>
          </w:p>
        </w:tc>
      </w:tr>
      <w:tr>
        <w:trPr/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 xml:space="preserve">Выполнение работ по вводу Системы в эксплуатацию в соответствии с разработанной рабочей документацией, </w:t>
            </w:r>
            <w:r>
              <w:rPr>
                <w:sz w:val="24"/>
                <w:szCs w:val="24"/>
              </w:rPr>
              <w:t>проведение ПСИ и ввод в опытную и затем промышленную эксплуатацию, представление исполнительной и эксплуатационной документации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Х+3 мес.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Х+6 мес.</w:t>
            </w:r>
          </w:p>
        </w:tc>
      </w:tr>
      <w:tr>
        <w:trPr/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Актуализация существующей ЛНД (А) в области БРПО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  <w:r>
              <w:rPr>
                <w:rStyle w:val="FootnoteReference"/>
                <w:rFonts w:eastAsia="Calibri"/>
                <w:sz w:val="24"/>
                <w:szCs w:val="24"/>
              </w:rPr>
              <w:footnoteReference w:id="3"/>
            </w:r>
          </w:p>
        </w:tc>
        <w:tc>
          <w:tcPr>
            <w:tcW w:w="2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Х+6 мес.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aption11111"/>
        <w:spacing w:before="0" w:after="0"/>
        <w:jc w:val="right"/>
        <w:rPr>
          <w:rFonts w:cs="Times New Roman"/>
          <w:i w:val="false"/>
          <w:i w:val="false"/>
        </w:rPr>
      </w:pPr>
      <w:r>
        <w:rPr>
          <w:rFonts w:cs="Times New Roman"/>
          <w:i w:val="false"/>
        </w:rPr>
        <w:t>Таблица 5 – Требования по срокам поставки МТР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54"/>
        <w:gridCol w:w="4409"/>
        <w:gridCol w:w="2270"/>
        <w:gridCol w:w="2387"/>
      </w:tblGrid>
      <w:tr>
        <w:trPr/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-6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№</w:t>
            </w:r>
            <w:r>
              <w:rPr>
                <w:rFonts w:cs="Times New Roman" w:ascii="Times New Roman" w:hAnsi="Times New Roman"/>
                <w:sz w:val="24"/>
              </w:rPr>
              <w:t>п/п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-6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>Наименование продукции / (партии продукции)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-6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 xml:space="preserve">Требования </w:t>
            </w:r>
            <w:r>
              <w:rPr>
                <w:rFonts w:cs="Times New Roman" w:ascii="Times New Roman" w:hAnsi="Times New Roman"/>
                <w:spacing w:val="-8"/>
                <w:sz w:val="24"/>
              </w:rPr>
              <w:t xml:space="preserve">к началу срока </w:t>
            </w:r>
            <w:r>
              <w:rPr>
                <w:rFonts w:cs="Times New Roman" w:ascii="Times New Roman" w:hAnsi="Times New Roman"/>
                <w:sz w:val="24"/>
              </w:rPr>
              <w:t xml:space="preserve">поставки продукции 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-6"/>
              <w:widowControl w:val="false"/>
              <w:rPr>
                <w:rFonts w:ascii="Times New Roman" w:hAnsi="Times New Roman" w:cs="Times New Roman"/>
                <w:sz w:val="24"/>
              </w:rPr>
            </w:pPr>
            <w:r>
              <w:rPr>
                <w:rFonts w:cs="Times New Roman" w:ascii="Times New Roman" w:hAnsi="Times New Roman"/>
                <w:sz w:val="24"/>
              </w:rPr>
              <w:t xml:space="preserve">Требования к окончанию </w:t>
            </w:r>
            <w:r>
              <w:rPr>
                <w:rFonts w:cs="Times New Roman" w:ascii="Times New Roman" w:hAnsi="Times New Roman"/>
                <w:spacing w:val="-8"/>
                <w:sz w:val="24"/>
              </w:rPr>
              <w:t xml:space="preserve">срока </w:t>
            </w:r>
            <w:r>
              <w:rPr>
                <w:rFonts w:cs="Times New Roman" w:ascii="Times New Roman" w:hAnsi="Times New Roman"/>
                <w:sz w:val="24"/>
              </w:rPr>
              <w:t>поставки продукции</w:t>
            </w:r>
          </w:p>
        </w:tc>
      </w:tr>
      <w:tr>
        <w:trPr/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-5"/>
              <w:widowControl w:val="false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eastAsia="SimSun" w:cs="Times New Roman" w:ascii="Times New Roman" w:hAnsi="Times New Roman"/>
                <w:b/>
                <w:bCs/>
                <w:sz w:val="24"/>
              </w:rPr>
              <w:t>1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-5"/>
              <w:widowControl w:val="false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eastAsia="SimSun" w:cs="Times New Roman" w:ascii="Times New Roman" w:hAnsi="Times New Roman"/>
                <w:b/>
                <w:bCs/>
                <w:sz w:val="24"/>
              </w:rPr>
              <w:t>2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-5"/>
              <w:widowControl w:val="false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eastAsia="SimSun" w:cs="Times New Roman" w:ascii="Times New Roman" w:hAnsi="Times New Roman"/>
                <w:b/>
                <w:bCs/>
                <w:sz w:val="24"/>
              </w:rPr>
              <w:t>3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-5"/>
              <w:widowControl w:val="false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eastAsia="SimSun" w:cs="Times New Roman" w:ascii="Times New Roman" w:hAnsi="Times New Roman"/>
                <w:b/>
                <w:bCs/>
                <w:sz w:val="24"/>
              </w:rPr>
              <w:t>4</w:t>
            </w:r>
          </w:p>
        </w:tc>
      </w:tr>
      <w:tr>
        <w:trPr/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-11"/>
              <w:widowControl w:val="false"/>
              <w:numPr>
                <w:ilvl w:val="0"/>
                <w:numId w:val="0"/>
              </w:numPr>
              <w:ind w:hanging="0"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lang w:val="en-US" w:eastAsia="ru-RU"/>
              </w:rPr>
              <w:t>1.</w:t>
            </w:r>
          </w:p>
        </w:tc>
        <w:tc>
          <w:tcPr>
            <w:tcW w:w="9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-5"/>
              <w:widowControl w:val="false"/>
              <w:rPr>
                <w:rFonts w:ascii="Times New Roman" w:hAnsi="Times New Roman" w:eastAsia="SimSun" w:cs="Times New Roman"/>
                <w:b/>
                <w:sz w:val="24"/>
              </w:rPr>
            </w:pPr>
            <w:r>
              <w:rPr>
                <w:rFonts w:eastAsia="SimSun" w:cs="Times New Roman" w:ascii="Times New Roman" w:hAnsi="Times New Roman"/>
                <w:b/>
                <w:sz w:val="24"/>
              </w:rPr>
              <w:t>Поставка оборудования, сертификатов на техническую поддержку</w:t>
            </w:r>
          </w:p>
        </w:tc>
      </w:tr>
      <w:tr>
        <w:trPr/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>Передача прав использования ПО (бессрочная лицензия), либо эквивалент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 мес.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Х+6 мес.</w:t>
            </w:r>
          </w:p>
        </w:tc>
      </w:tr>
    </w:tbl>
    <w:p>
      <w:pPr>
        <w:sectPr>
          <w:headerReference w:type="default" r:id="rId2"/>
          <w:headerReference w:type="first" r:id="rId3"/>
          <w:footnotePr>
            <w:numFmt w:val="decimal"/>
            <w:numRestart w:val="eachPage"/>
          </w:footnotePr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2"/>
        <w:numPr>
          <w:ilvl w:val="0"/>
        </w:numPr>
        <w:ind w:hanging="0" w:left="0"/>
        <w:rPr/>
      </w:pPr>
      <w:bookmarkStart w:id="78" w:name="_Toc214015893"/>
      <w:bookmarkStart w:id="79" w:name="_Toc240957727"/>
      <w:bookmarkStart w:id="80" w:name="_Toc214534536"/>
      <w:bookmarkStart w:id="81" w:name="_Toc203571811"/>
      <w:r>
        <w:rPr/>
        <w:t xml:space="preserve">2.2. </w:t>
      </w:r>
      <w:bookmarkStart w:id="82" w:name="_Toc51339698"/>
      <w:bookmarkStart w:id="83" w:name="_Toc54643709"/>
      <w:bookmarkStart w:id="84" w:name="_Toc54643708"/>
      <w:bookmarkStart w:id="85" w:name="_Toc46743511"/>
      <w:r>
        <w:rPr/>
        <w:t xml:space="preserve">Требования к </w:t>
      </w:r>
      <w:bookmarkEnd w:id="85"/>
      <w:r>
        <w:rPr>
          <w:lang w:val="ru-RU"/>
        </w:rPr>
        <w:t xml:space="preserve">качеству </w:t>
      </w:r>
      <w:bookmarkEnd w:id="84"/>
      <w:r>
        <w:rPr>
          <w:lang w:val="ru-RU"/>
        </w:rPr>
        <w:t>продукции</w:t>
      </w:r>
      <w:bookmarkEnd w:id="78"/>
      <w:bookmarkEnd w:id="79"/>
      <w:bookmarkEnd w:id="80"/>
      <w:bookmarkEnd w:id="81"/>
      <w:bookmarkEnd w:id="82"/>
      <w:bookmarkEnd w:id="83"/>
    </w:p>
    <w:p>
      <w:pPr>
        <w:pStyle w:val="Normal"/>
        <w:ind w:firstLine="737"/>
        <w:jc w:val="both"/>
        <w:rPr>
          <w:sz w:val="24"/>
          <w:szCs w:val="24"/>
        </w:rPr>
      </w:pPr>
      <w:r>
        <w:rPr>
          <w:rStyle w:val="Style9"/>
          <w:b w:val="false"/>
          <w:i w:val="false"/>
          <w:sz w:val="24"/>
          <w:szCs w:val="24"/>
          <w:shd w:fill="auto" w:val="clear"/>
        </w:rPr>
        <w:t xml:space="preserve">Работы должны быть выполнены для нужд ПАО </w:t>
      </w:r>
      <w:r>
        <w:rPr>
          <w:rFonts w:eastAsia="Calibri"/>
          <w:sz w:val="24"/>
          <w:szCs w:val="24"/>
          <w:lang w:eastAsia="zh-CN"/>
        </w:rPr>
        <w:t>«</w:t>
      </w:r>
      <w:r>
        <w:rPr>
          <w:rStyle w:val="Style9"/>
          <w:b w:val="false"/>
          <w:i w:val="false"/>
          <w:sz w:val="24"/>
          <w:szCs w:val="24"/>
          <w:shd w:fill="auto" w:val="clear"/>
        </w:rPr>
        <w:t>РусГидро</w:t>
      </w:r>
      <w:r>
        <w:rPr>
          <w:rFonts w:eastAsia="Calibri"/>
          <w:sz w:val="24"/>
          <w:szCs w:val="24"/>
          <w:lang w:eastAsia="zh-CN"/>
        </w:rPr>
        <w:t>»</w:t>
      </w:r>
      <w:r>
        <w:rPr>
          <w:rStyle w:val="Style9"/>
          <w:b w:val="false"/>
          <w:i w:val="false"/>
          <w:sz w:val="24"/>
          <w:szCs w:val="24"/>
          <w:shd w:fill="auto" w:val="clear"/>
        </w:rPr>
        <w:t>.</w:t>
      </w:r>
      <w:r>
        <w:rPr>
          <w:sz w:val="24"/>
          <w:szCs w:val="24"/>
        </w:rPr>
        <w:t xml:space="preserve"> О</w:t>
      </w:r>
      <w:r>
        <w:rPr>
          <w:rStyle w:val="Style9"/>
          <w:b w:val="false"/>
          <w:i w:val="false"/>
          <w:sz w:val="24"/>
          <w:szCs w:val="24"/>
          <w:shd w:fill="auto" w:val="clear"/>
        </w:rPr>
        <w:t>бъем и в сроки выполнения Работ установлены в п.2.1. Технических требований.</w:t>
      </w:r>
    </w:p>
    <w:p>
      <w:pPr>
        <w:pStyle w:val="Normal"/>
        <w:ind w:firstLine="737"/>
        <w:jc w:val="both"/>
        <w:rPr>
          <w:rFonts w:eastAsia="Calibri"/>
          <w:sz w:val="24"/>
          <w:szCs w:val="24"/>
          <w:lang w:eastAsia="zh-CN"/>
        </w:rPr>
      </w:pPr>
      <w:r>
        <w:rPr>
          <w:b/>
          <w:bCs/>
          <w:sz w:val="24"/>
          <w:szCs w:val="24"/>
        </w:rPr>
        <w:t xml:space="preserve">Наименование Работ: </w:t>
      </w:r>
      <w:r>
        <w:rPr>
          <w:rFonts w:eastAsia="Calibri"/>
          <w:sz w:val="24"/>
          <w:szCs w:val="24"/>
          <w:lang w:eastAsia="zh-CN"/>
        </w:rPr>
        <w:t>«ОКДП2 74.90.20.142 Модерниза</w:t>
      </w:r>
      <w:r>
        <w:rPr>
          <w:rFonts w:eastAsia="Calibri"/>
          <w:sz w:val="24"/>
          <w:szCs w:val="24"/>
          <w:shd w:fill="auto" w:val="clear"/>
          <w:lang w:eastAsia="zh-CN"/>
        </w:rPr>
        <w:t xml:space="preserve">ция ПАК КЦОПЛ в части доработки системы контроля безопасной разработки программного обеспечения в рамках выполнения инвестиционного проекта </w:t>
      </w:r>
      <w:r>
        <w:rPr>
          <w:rFonts w:eastAsia="Calibri"/>
          <w:sz w:val="24"/>
          <w:szCs w:val="24"/>
          <w:shd w:fill="auto" w:val="clear"/>
          <w:lang w:eastAsia="zh-CN"/>
        </w:rPr>
        <w:t>P_T-1010-</w:t>
      </w:r>
      <w:r>
        <w:rPr>
          <w:rFonts w:eastAsia="Calibri"/>
          <w:sz w:val="24"/>
          <w:szCs w:val="24"/>
          <w:shd w:fill="auto" w:val="clear"/>
          <w:lang w:eastAsia="zh-CN"/>
        </w:rPr>
        <w:t>___</w:t>
      </w:r>
      <w:r>
        <w:rPr>
          <w:rFonts w:eastAsia="Calibri"/>
          <w:sz w:val="24"/>
          <w:szCs w:val="24"/>
          <w:shd w:fill="auto" w:val="clear"/>
          <w:lang w:eastAsia="zh-CN"/>
        </w:rPr>
        <w:t>».</w:t>
      </w:r>
    </w:p>
    <w:p>
      <w:pPr>
        <w:pStyle w:val="BodyText"/>
        <w:ind w:firstLine="709"/>
        <w:rPr>
          <w:highlight w:val="none"/>
          <w:shd w:fill="auto" w:val="clear"/>
        </w:rPr>
      </w:pPr>
      <w:r>
        <w:rPr>
          <w:rFonts w:cs="Times New Roman" w:ascii="Times New Roman" w:hAnsi="Times New Roman"/>
          <w:b/>
          <w:bCs/>
          <w:sz w:val="24"/>
          <w:szCs w:val="24"/>
          <w:shd w:fill="auto" w:val="clear"/>
        </w:rPr>
        <w:t>Наименование продукции (МТР, работ (этапа работ):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 все позиции Таблиц 2 и 3.</w:t>
      </w:r>
    </w:p>
    <w:p>
      <w:pPr>
        <w:pStyle w:val="BodyText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BodyText"/>
        <w:jc w:val="right"/>
        <w:rPr>
          <w:rFonts w:ascii="Times New Roman" w:hAnsi="Times New Roman" w:cs="Times New Roman"/>
          <w:sz w:val="24"/>
          <w:szCs w:val="24"/>
        </w:rPr>
      </w:pPr>
      <w:bookmarkStart w:id="86" w:name="__RefHeading___Toc150659_1477206047_Копи"/>
      <w:bookmarkEnd w:id="86"/>
      <w:r>
        <w:rPr>
          <w:rFonts w:cs="Times New Roman" w:ascii="Times New Roman" w:hAnsi="Times New Roman"/>
          <w:sz w:val="24"/>
          <w:szCs w:val="24"/>
        </w:rPr>
        <w:t>Таблица 6. Требования к качеству продукции</w:t>
      </w:r>
    </w:p>
    <w:tbl>
      <w:tblPr>
        <w:tblW w:w="15303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9"/>
        <w:gridCol w:w="2260"/>
        <w:gridCol w:w="6"/>
        <w:gridCol w:w="5826"/>
        <w:gridCol w:w="2496"/>
        <w:gridCol w:w="2107"/>
        <w:gridCol w:w="1758"/>
      </w:tblGrid>
      <w:tr>
        <w:trPr/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2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5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1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6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8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7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bookmarkStart w:id="87" w:name="_Toc53499667"/>
            <w:r>
              <w:rPr>
                <w:b/>
                <w:bCs/>
                <w:sz w:val="24"/>
                <w:szCs w:val="24"/>
              </w:rPr>
              <w:t>1</w:t>
            </w:r>
            <w:bookmarkEnd w:id="87"/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выполнению Работ </w:t>
            </w:r>
          </w:p>
        </w:tc>
        <w:tc>
          <w:tcPr>
            <w:tcW w:w="24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ind w:firstLine="142" w:left="-117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8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выполнению Работ</w:t>
            </w:r>
          </w:p>
        </w:tc>
        <w:tc>
          <w:tcPr>
            <w:tcW w:w="24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ind w:hanging="1199" w:left="1224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выполнении Работ Подрядчик должен руководствоваться следующими национальными, отраслевыми и корпоративными нормативно-техническими документами (НТД), их актуальными версиями: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Федеральный закон от 27.07.2006 г. № 149-ФЗ «Об информации, информационных технологиях и о защите информации»;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Федеральный закон от 27.07.2006 г. № 152-ФЗ «О персональных данных»;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Федеральный закон от 21.07.2011 г. № 256-ФЗ «О безопасности объектов топливно-энергетического комплекса»;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Федеральный закон от 29.07.2004 г. № 98-ФЗ «О коммерческой тайне»;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Федеральный закон от 26.07.2017 г. № 187-ФЗ «О безопасности критической информационной инфраструктуры Российской Федерации»;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Федеральный закон от 27.07.2010 г. № 224-ФЗ «О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Федерации»;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методический документ «Методика оценки угроз безопасности информации», (утв. ФСТЭК России от 05.02.2021)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ind w:firstLine="142" w:left="-117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</w:rPr>
            </w:r>
          </w:p>
        </w:tc>
        <w:tc>
          <w:tcPr>
            <w:tcW w:w="8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организации работ</w:t>
            </w:r>
          </w:p>
        </w:tc>
        <w:tc>
          <w:tcPr>
            <w:tcW w:w="24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-117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1.2.1.</w:t>
            </w:r>
          </w:p>
        </w:tc>
        <w:tc>
          <w:tcPr>
            <w:tcW w:w="226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организационно-техническим мероприятиям при выполнении работ</w:t>
            </w:r>
          </w:p>
        </w:tc>
        <w:tc>
          <w:tcPr>
            <w:tcW w:w="5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При выполнении работ Исполнитель должен соблюдать требования в отношении соблюдения конфиденциальности, правил пропускного и внутриобъектового режима заказчика, техники безопасности, пожарной и промышленной и информационной безопасности, охраны окружающей среды при выполнении работ.</w:t>
            </w:r>
          </w:p>
        </w:tc>
        <w:tc>
          <w:tcPr>
            <w:tcW w:w="24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0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5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-117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1.2.2.</w:t>
            </w:r>
          </w:p>
        </w:tc>
        <w:tc>
          <w:tcPr>
            <w:tcW w:w="226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rPr>
                <w:b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Организационно-технические мероприятия по допуску персонала подрядчика</w:t>
            </w:r>
          </w:p>
        </w:tc>
        <w:tc>
          <w:tcPr>
            <w:tcW w:w="5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Допуск персонала подрядчика для выполнения работ должен осуществляется в соответствии с «Временным положением о допуске персонала строительно-монтажных организаций и командированного персонала к выполнению работ на объектах ПАО «РусГидро».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Подготовку рабочих мест и допуск к выполнению работ выполняет персонал Заказчика.</w:t>
            </w:r>
          </w:p>
        </w:tc>
        <w:tc>
          <w:tcPr>
            <w:tcW w:w="24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0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75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-117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1.2.3.</w:t>
            </w:r>
          </w:p>
        </w:tc>
        <w:tc>
          <w:tcPr>
            <w:tcW w:w="226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Требования к информационной безопасности</w:t>
            </w:r>
          </w:p>
        </w:tc>
        <w:tc>
          <w:tcPr>
            <w:tcW w:w="5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76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Требования к информационной безопасности должны обеспечиваться с учетом всех сторон, вовлеченных в процессы жизненного цикла (разработчиков, заказчиков, поставщиков продуктов и услуг, эксплуатирующих и надзорных подразделений Общества).</w:t>
            </w:r>
          </w:p>
        </w:tc>
        <w:tc>
          <w:tcPr>
            <w:tcW w:w="249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ind w:firstLine="142" w:left="-117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0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персоналу Подрядчика</w:t>
            </w:r>
          </w:p>
        </w:tc>
        <w:tc>
          <w:tcPr>
            <w:tcW w:w="249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ind w:hanging="1199" w:left="1224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Квалификация персонала подрядчика, привлекаемого к выполнению работ</w:t>
            </w:r>
          </w:p>
        </w:tc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работ должно осуществляться силами не менее 5 специалистов: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обладающих высшим профессиональным образованием по направлениям подготовки (в любой комбинации) 10.03.01 «Информационная безопасность», или 10.04.01 «Информационная безопасность», или 10.05.00 «Информационная безопасность», или 10.06.01 «Информационная безопасность» - не менее 5 (пяти) человек;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прошедших обучение по теме сертификата и имеющих следующие сертификаты или (их аналоги):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2.1. </w:t>
            </w:r>
            <w:r>
              <w:rPr>
                <w:sz w:val="24"/>
                <w:szCs w:val="24"/>
              </w:rPr>
              <w:t>сертификат</w:t>
            </w:r>
            <w:r>
              <w:rPr>
                <w:sz w:val="24"/>
                <w:szCs w:val="24"/>
                <w:lang w:val="en-US"/>
              </w:rPr>
              <w:t xml:space="preserve"> Certified API Security Professional (CASP) – </w:t>
            </w:r>
            <w:r>
              <w:rPr>
                <w:sz w:val="24"/>
                <w:szCs w:val="24"/>
              </w:rPr>
              <w:t>не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менее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одного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человека</w:t>
            </w:r>
            <w:r>
              <w:rPr>
                <w:sz w:val="24"/>
                <w:szCs w:val="24"/>
                <w:lang w:val="en-US"/>
              </w:rPr>
              <w:t>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 сертификат Certified Container Security Expert (CCSE) (или аналогичным) – не менее одного человека;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2.3. </w:t>
            </w:r>
            <w:r>
              <w:rPr>
                <w:sz w:val="24"/>
                <w:szCs w:val="24"/>
              </w:rPr>
              <w:t>сертификат</w:t>
            </w:r>
            <w:r>
              <w:rPr>
                <w:sz w:val="24"/>
                <w:szCs w:val="24"/>
                <w:lang w:val="en-US"/>
              </w:rPr>
              <w:t xml:space="preserve"> Certified Information Systems Security Professional (CISSP) (</w:t>
            </w:r>
            <w:r>
              <w:rPr>
                <w:sz w:val="24"/>
                <w:szCs w:val="24"/>
              </w:rPr>
              <w:t>или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аналогичным</w:t>
            </w:r>
            <w:r>
              <w:rPr>
                <w:sz w:val="24"/>
                <w:szCs w:val="24"/>
                <w:lang w:val="en-US"/>
              </w:rPr>
              <w:t xml:space="preserve">) – </w:t>
            </w:r>
            <w:r>
              <w:rPr>
                <w:sz w:val="24"/>
                <w:szCs w:val="24"/>
              </w:rPr>
              <w:t>не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менее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двух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человек</w:t>
            </w:r>
            <w:r>
              <w:rPr>
                <w:sz w:val="24"/>
                <w:szCs w:val="24"/>
                <w:lang w:val="en-US"/>
              </w:rPr>
              <w:t>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 сертификат Certified Information Systems Auditor (CISA) (или аналогичным) – не менее одного человека;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 сертификат Certified Information Security Manager (CISM) (или аналогичным) – не менее одного человека;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2.6. </w:t>
            </w:r>
            <w:r>
              <w:rPr>
                <w:sz w:val="24"/>
                <w:szCs w:val="24"/>
              </w:rPr>
              <w:t>сертификат</w:t>
            </w:r>
            <w:r>
              <w:rPr>
                <w:sz w:val="24"/>
                <w:szCs w:val="24"/>
                <w:lang w:val="en-US"/>
              </w:rPr>
              <w:t xml:space="preserve"> Certified in Risk and Information Systems Control (CRISC) (</w:t>
            </w:r>
            <w:r>
              <w:rPr>
                <w:sz w:val="24"/>
                <w:szCs w:val="24"/>
              </w:rPr>
              <w:t>или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аналогичным</w:t>
            </w:r>
            <w:r>
              <w:rPr>
                <w:sz w:val="24"/>
                <w:szCs w:val="24"/>
                <w:lang w:val="en-US"/>
              </w:rPr>
              <w:t xml:space="preserve">) – </w:t>
            </w:r>
            <w:r>
              <w:rPr>
                <w:sz w:val="24"/>
                <w:szCs w:val="24"/>
              </w:rPr>
              <w:t>не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менее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одного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человека</w:t>
            </w:r>
            <w:r>
              <w:rPr>
                <w:sz w:val="24"/>
                <w:szCs w:val="24"/>
                <w:lang w:val="en-US"/>
              </w:rPr>
              <w:t>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2.7. сертификат Project Management Professional (PMP) (или аналогичным) – не менее одного человека;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2.8. сертификат Offensive Security Certified Professional (OSCP) (или аналогичным) – не менее одного человека;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2.9. сертификат Offensive Security Experienced Penetration Tester (OSEP) (или аналогичным) – не менее одного человека;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2.10. сертификат Offensive Security Web Expert (OSWE) (или аналогичным) – не менее одного человека;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2.11. сертификат ведущего аудитора систем менеджмента ISO/IEC 27001:2022 (или аналогичным) – не менее одного человека.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с группой допуска по электробезопасности не ниже II – не менее 2 человек;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прошедших обучение по проверке знания правил охраны и безопасности труда.</w:t>
            </w:r>
          </w:p>
        </w:tc>
        <w:tc>
          <w:tcPr>
            <w:tcW w:w="24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ind w:hanging="1199" w:left="1224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опыту</w:t>
            </w:r>
          </w:p>
        </w:tc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Подрядчик должен: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обладать опытом выполнения работ в сопоставимых по объему, длительности и охвату проектах внедрения системы безопасной разработки информационных систем (не менее 10 проектов);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обладать опытом в сопоставимых по объему, длительности и охвату проектах проведения комплексного обследования (аудита) процессов разработки для 1С, Web-систем, Scada-систем, мобильного ПО, анализа защищенности 1С:ERP, Web и мобильных приложений, Scada-систем (не менее 1 проекта);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иметь собственный продукт или платформу, выполняющий функции анализа защищенности ПО (не менее 1 продукта).</w:t>
            </w:r>
          </w:p>
        </w:tc>
        <w:tc>
          <w:tcPr>
            <w:tcW w:w="24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ind w:hanging="1199" w:left="1224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26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документам, подтверждающим соответствие Подрядчика установленным требованиям</w:t>
            </w:r>
          </w:p>
        </w:tc>
        <w:tc>
          <w:tcPr>
            <w:tcW w:w="5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начала проведения работ в рамках исполнения договора после его заключения подрядчик предоставляет </w:t>
            </w:r>
            <w:r>
              <w:rPr>
                <w:sz w:val="24"/>
                <w:szCs w:val="24"/>
                <w:shd w:fill="auto" w:val="clear"/>
              </w:rPr>
              <w:t>Заказчику Перечень привлекаемых кадровых ресурсов (дал</w:t>
            </w:r>
            <w:r>
              <w:rPr>
                <w:sz w:val="24"/>
                <w:szCs w:val="24"/>
              </w:rPr>
              <w:t>ее – «Перечень») с указанием сведений о квалификации, (требования к квалификации указаны в п 1.3.1., требования к опыту в п.1.3.2), а также включая следующие обязательные приложения к Перечню: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426" w:leader="none"/>
              </w:tabs>
              <w:ind w:hanging="0" w:left="0"/>
              <w:jc w:val="both"/>
              <w:rPr>
                <w:rFonts w:ascii="Times New Roman" w:hAnsi="Times New Roman" w:cs="Times New Roman"/>
              </w:rPr>
            </w:pPr>
            <w:bookmarkStart w:id="88" w:name="_Hlk182394836"/>
            <w:r>
              <w:rPr>
                <w:rFonts w:eastAsia="Times New Roman" w:cs="Times New Roman" w:ascii="Times New Roman" w:hAnsi="Times New Roman"/>
                <w:lang w:eastAsia="ru-RU"/>
              </w:rPr>
              <w:t>заверенные отделом кадров Подрядчика выписки из действующих трудовых договоров всех специалистов со сроком действия не менее 12 месяцев</w:t>
            </w:r>
            <w:bookmarkEnd w:id="88"/>
            <w:r>
              <w:rPr>
                <w:rFonts w:eastAsia="Times New Roman" w:cs="Times New Roman" w:ascii="Times New Roman" w:hAnsi="Times New Roman"/>
                <w:lang w:eastAsia="ru-RU"/>
              </w:rPr>
              <w:t>;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426" w:leader="none"/>
              </w:tabs>
              <w:ind w:hanging="0"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заверенные отделом кадров Подрядчика копии дипломов государственного образца и сертификатов прохождения обучения специалистов в соответствии с указанными требованиями и необходимым количеством;</w:t>
            </w:r>
          </w:p>
          <w:p>
            <w:pPr>
              <w:pStyle w:val="ListParagraph"/>
              <w:widowControl w:val="false"/>
              <w:numPr>
                <w:ilvl w:val="0"/>
                <w:numId w:val="8"/>
              </w:numPr>
              <w:ind w:hanging="0" w:left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справку в свободной форме о том, что все привлекаемые специалисты ранее участвовали в сопоставимых по объему, длительности и охвату проектах </w:t>
            </w:r>
            <w:r>
              <w:rPr>
                <w:rFonts w:eastAsia="SimSun" w:cs="Times New Roman" w:ascii="Times New Roman" w:hAnsi="Times New Roman"/>
                <w:lang w:eastAsia="ru-RU"/>
              </w:rPr>
              <w:t xml:space="preserve">внедрения системы безопасной разработки информационных систем (не менее 10 проектов) 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>и  проектах проведения комплексного обследования (аудита) процессов разработки для 1С, Web-систем, Scada-систем, мобильного ПО, анализа защищенности 1С:ERP, Web и мобильных приложений, Scada-систем (не менее 1 проекта);</w:t>
            </w:r>
          </w:p>
          <w:p>
            <w:pPr>
              <w:pStyle w:val="ListParagraph"/>
              <w:widowControl w:val="false"/>
              <w:ind w:left="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4. Справка должна включать описание и количество объ</w:t>
            </w:r>
            <w:r>
              <w:rPr>
                <w:rFonts w:eastAsia="Times New Roman" w:cs="Times New Roman" w:ascii="Times New Roman" w:hAnsi="Times New Roman"/>
                <w:lang w:eastAsia="ru-RU"/>
              </w:rPr>
              <w:t>ектов по внедрению системы безопасной разработки систем, программы обследования (обследование и сбор данных о процессах разработки ПО, составе и структуре используемых в этих целях информационных ресурсов и инструментов заказчиков, анализ результатов обследования, оценка степени и полноты внедрения мер по обеспечению безопасности разработки ПО, степени соответствия процессов разработки положениям стандартов, регламентов и методик, требованиям действующего законодательства Российской Федерации в области управления процессом безопасной разработки ПО, определение целевого состояния процессов управления безопасной разработки ПО, разработка заключения о соответствии/не соответствии ПО требованиям безопасности и рекомендаций по внедрению или корректировке процесса разработки безопасного ПО) и указание длительности работ.</w:t>
            </w:r>
          </w:p>
        </w:tc>
        <w:tc>
          <w:tcPr>
            <w:tcW w:w="24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0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Работ</w:t>
            </w:r>
          </w:p>
        </w:tc>
        <w:tc>
          <w:tcPr>
            <w:tcW w:w="24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ind w:firstLine="142" w:left="-117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Общие требования к результатам Работ</w:t>
            </w:r>
          </w:p>
        </w:tc>
        <w:tc>
          <w:tcPr>
            <w:tcW w:w="24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ind w:hanging="1199" w:left="1224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-5"/>
              <w:widowControl w:val="false"/>
              <w:rPr>
                <w:rFonts w:ascii="Times New Roman" w:hAnsi="Times New Roman" w:eastAsia="Times New Roman" w:cs="Times New Roman"/>
                <w:sz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lang w:eastAsia="ru-RU"/>
              </w:rPr>
              <w:t>Результат</w:t>
            </w:r>
            <w:r>
              <w:rPr>
                <w:rFonts w:eastAsia="Times New Roman" w:cs="Times New Roman" w:ascii="Times New Roman" w:hAnsi="Times New Roman"/>
                <w:sz w:val="24"/>
                <w:lang w:val="en-US" w:eastAsia="ru-RU"/>
              </w:rPr>
              <w:t xml:space="preserve"> выполнения Работ</w:t>
            </w:r>
          </w:p>
        </w:tc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-5"/>
              <w:widowControl w:val="false"/>
              <w:jc w:val="both"/>
              <w:rPr>
                <w:rFonts w:ascii="Times New Roman" w:hAnsi="Times New Roman"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lang w:eastAsia="ru-RU"/>
              </w:rPr>
              <w:t>По результатам выполненных работ, Система  должна быть модернизирована согласно рекомендациям по развитию процессов безопасной разработки в формате дорожной карты. Существующие ЛНД (А) должны быть актуализированы.</w:t>
            </w:r>
          </w:p>
        </w:tc>
        <w:tc>
          <w:tcPr>
            <w:tcW w:w="24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/>
              <w:t>-//-</w:t>
            </w:r>
          </w:p>
        </w:tc>
      </w:tr>
      <w:tr>
        <w:trPr/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ind w:hanging="1199" w:left="1224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26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-5"/>
              <w:widowControl w:val="false"/>
              <w:rPr>
                <w:rFonts w:ascii="Times New Roman" w:hAnsi="Times New Roman"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lang w:eastAsia="ru-RU"/>
              </w:rPr>
              <w:t>Функциональные требования к поставляемому ПО</w:t>
            </w:r>
          </w:p>
        </w:tc>
        <w:tc>
          <w:tcPr>
            <w:tcW w:w="5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-5"/>
              <w:widowControl w:val="false"/>
              <w:jc w:val="both"/>
              <w:rPr>
                <w:rFonts w:ascii="Times New Roman" w:hAnsi="Times New Roman"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lang w:eastAsia="ru-RU"/>
              </w:rPr>
              <w:t>Подробные функциональные требования к поставляемому ПО описаны в Приложении № 3.</w:t>
            </w:r>
          </w:p>
        </w:tc>
        <w:tc>
          <w:tcPr>
            <w:tcW w:w="249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4559" w:hRule="atLeast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ind w:hanging="1199" w:left="1224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26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-5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результатам разработки технорабочего проекта</w:t>
            </w:r>
          </w:p>
        </w:tc>
        <w:tc>
          <w:tcPr>
            <w:tcW w:w="5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-5"/>
              <w:widowControl w:val="false"/>
              <w:jc w:val="both"/>
              <w:rPr/>
            </w:pPr>
            <w:r>
              <w:rPr>
                <w:rFonts w:ascii="Times New Roman" w:hAnsi="Times New Roman"/>
                <w:sz w:val="24"/>
              </w:rPr>
              <w:t>Проектные решения по модернизации Системы безопасной разработки ИС должны разрабатываться с учетом существующих вычислительных ресурсов ИТ инфраструктуры ПАО «РусГидро» и планов по их развитию, а также согласно рекомендациям по развитию процессов безопасной разработки в формате дорожной карты.</w:t>
            </w:r>
          </w:p>
          <w:p>
            <w:pPr>
              <w:pStyle w:val="-5"/>
              <w:widowControl w:val="false"/>
              <w:jc w:val="both"/>
              <w:rPr/>
            </w:pPr>
            <w:r>
              <w:rPr>
                <w:rFonts w:ascii="Times New Roman" w:hAnsi="Times New Roman"/>
                <w:sz w:val="24"/>
              </w:rPr>
              <w:t>Технорабочий проект на Систему, должен содержать следующие обязательные тома (разделы):</w:t>
            </w:r>
          </w:p>
          <w:p>
            <w:pPr>
              <w:pStyle w:val="-5"/>
              <w:widowControl w:val="false"/>
              <w:jc w:val="both"/>
              <w:rPr/>
            </w:pPr>
            <w:r>
              <w:rPr>
                <w:rFonts w:ascii="Times New Roman" w:hAnsi="Times New Roman"/>
                <w:sz w:val="24"/>
              </w:rPr>
              <w:t xml:space="preserve">    • </w:t>
            </w:r>
            <w:r>
              <w:rPr>
                <w:rFonts w:ascii="Times New Roman" w:hAnsi="Times New Roman"/>
                <w:sz w:val="24"/>
              </w:rPr>
              <w:t>Пояснительная записка к технорабочему проекту;</w:t>
            </w:r>
          </w:p>
          <w:p>
            <w:pPr>
              <w:pStyle w:val="-5"/>
              <w:widowControl w:val="false"/>
              <w:jc w:val="both"/>
              <w:rPr/>
            </w:pPr>
            <w:r>
              <w:rPr>
                <w:rFonts w:ascii="Times New Roman" w:hAnsi="Times New Roman"/>
                <w:sz w:val="24"/>
              </w:rPr>
              <w:t xml:space="preserve">    • </w:t>
            </w:r>
            <w:r>
              <w:rPr>
                <w:rFonts w:ascii="Times New Roman" w:hAnsi="Times New Roman"/>
                <w:sz w:val="24"/>
              </w:rPr>
              <w:t>Техническое задание;</w:t>
            </w:r>
          </w:p>
          <w:p>
            <w:pPr>
              <w:pStyle w:val="-5"/>
              <w:widowControl w:val="false"/>
              <w:jc w:val="both"/>
              <w:rPr/>
            </w:pPr>
            <w:r>
              <w:rPr>
                <w:rFonts w:ascii="Times New Roman" w:hAnsi="Times New Roman"/>
                <w:sz w:val="24"/>
              </w:rPr>
              <w:t xml:space="preserve">    • </w:t>
            </w:r>
            <w:r>
              <w:rPr>
                <w:rFonts w:ascii="Times New Roman" w:hAnsi="Times New Roman"/>
                <w:sz w:val="24"/>
              </w:rPr>
              <w:t>Ведомость оборудования и материалов;</w:t>
            </w:r>
          </w:p>
          <w:p>
            <w:pPr>
              <w:pStyle w:val="-5"/>
              <w:widowControl w:val="false"/>
              <w:rPr/>
            </w:pPr>
            <w:r>
              <w:rPr>
                <w:rFonts w:ascii="Times New Roman" w:hAnsi="Times New Roman"/>
                <w:sz w:val="24"/>
              </w:rPr>
              <w:t xml:space="preserve">    • </w:t>
            </w:r>
            <w:r>
              <w:rPr>
                <w:rFonts w:ascii="Times New Roman" w:hAnsi="Times New Roman"/>
                <w:sz w:val="24"/>
              </w:rPr>
              <w:t>Описание комплекса технических средств и программного обеспечения;</w:t>
            </w:r>
          </w:p>
          <w:p>
            <w:pPr>
              <w:pStyle w:val="-5"/>
              <w:widowControl w:val="false"/>
              <w:jc w:val="both"/>
              <w:rPr/>
            </w:pPr>
            <w:r>
              <w:rPr>
                <w:rFonts w:ascii="Times New Roman" w:hAnsi="Times New Roman"/>
                <w:sz w:val="24"/>
              </w:rPr>
              <w:t xml:space="preserve">    • </w:t>
            </w:r>
            <w:r>
              <w:rPr>
                <w:rFonts w:ascii="Times New Roman" w:hAnsi="Times New Roman"/>
                <w:sz w:val="24"/>
              </w:rPr>
              <w:t>План производства работ (в т.ч. схемы L2 и L3);</w:t>
            </w:r>
          </w:p>
          <w:p>
            <w:pPr>
              <w:pStyle w:val="-5"/>
              <w:widowControl w:val="false"/>
              <w:jc w:val="both"/>
              <w:rPr/>
            </w:pPr>
            <w:r>
              <w:rPr>
                <w:rFonts w:ascii="Times New Roman" w:hAnsi="Times New Roman"/>
                <w:sz w:val="24"/>
              </w:rPr>
              <w:t xml:space="preserve">    • </w:t>
            </w:r>
            <w:r>
              <w:rPr>
                <w:rFonts w:ascii="Times New Roman" w:hAnsi="Times New Roman"/>
                <w:sz w:val="24"/>
              </w:rPr>
              <w:t>Кабельный журнал (при необходимости);</w:t>
            </w:r>
          </w:p>
          <w:p>
            <w:pPr>
              <w:pStyle w:val="-5"/>
              <w:widowControl w:val="false"/>
              <w:jc w:val="both"/>
              <w:rPr/>
            </w:pPr>
            <w:r>
              <w:rPr>
                <w:rFonts w:ascii="Times New Roman" w:hAnsi="Times New Roman"/>
                <w:sz w:val="24"/>
              </w:rPr>
              <w:t xml:space="preserve">    • </w:t>
            </w:r>
            <w:r>
              <w:rPr>
                <w:rFonts w:ascii="Times New Roman" w:hAnsi="Times New Roman"/>
                <w:sz w:val="24"/>
              </w:rPr>
              <w:t>Программа и методика испытаний</w:t>
            </w:r>
          </w:p>
          <w:p>
            <w:pPr>
              <w:pStyle w:val="-5"/>
              <w:widowControl w:val="false"/>
              <w:jc w:val="both"/>
              <w:rPr/>
            </w:pPr>
            <w:r>
              <w:rPr>
                <w:rFonts w:ascii="Times New Roman" w:hAnsi="Times New Roman"/>
                <w:sz w:val="24"/>
              </w:rPr>
              <w:t>Технорабочий проект должен включать в себя:</w:t>
            </w:r>
          </w:p>
          <w:p>
            <w:pPr>
              <w:pStyle w:val="-5"/>
              <w:widowControl w:val="false"/>
              <w:jc w:val="both"/>
              <w:rPr/>
            </w:pPr>
            <w:r>
              <w:rPr>
                <w:rFonts w:ascii="Times New Roman" w:hAnsi="Times New Roman"/>
                <w:sz w:val="24"/>
              </w:rPr>
              <w:t>- настройка сред оркестрации включая интеграции с Боцман;</w:t>
            </w:r>
          </w:p>
          <w:p>
            <w:pPr>
              <w:pStyle w:val="-5"/>
              <w:widowControl w:val="false"/>
              <w:jc w:val="both"/>
              <w:rPr/>
            </w:pPr>
            <w:r>
              <w:rPr>
                <w:rFonts w:ascii="Times New Roman" w:hAnsi="Times New Roman"/>
                <w:sz w:val="24"/>
              </w:rPr>
              <w:t>- настройка сред оркестрации включая интеграции с Касперский CS;</w:t>
            </w:r>
          </w:p>
          <w:p>
            <w:pPr>
              <w:pStyle w:val="-5"/>
              <w:widowControl w:val="false"/>
              <w:jc w:val="both"/>
              <w:rPr/>
            </w:pPr>
            <w:r>
              <w:rPr>
                <w:rFonts w:ascii="Times New Roman" w:hAnsi="Times New Roman"/>
                <w:sz w:val="24"/>
              </w:rPr>
              <w:t>- интеграция ПО с CI/CD Заказчика;</w:t>
            </w:r>
          </w:p>
          <w:p>
            <w:pPr>
              <w:pStyle w:val="-5"/>
              <w:widowControl w:val="false"/>
              <w:jc w:val="both"/>
              <w:rPr/>
            </w:pPr>
            <w:r>
              <w:rPr>
                <w:rFonts w:ascii="Times New Roman" w:hAnsi="Times New Roman"/>
                <w:sz w:val="24"/>
              </w:rPr>
              <w:t>- Внедрение и миграцию команд в платформу оркестрации и контроля процессов разработки защищенного программного обеспечения (ASOC);</w:t>
            </w:r>
          </w:p>
          <w:p>
            <w:pPr>
              <w:pStyle w:val="-5"/>
              <w:widowControl w:val="false"/>
              <w:jc w:val="both"/>
              <w:rPr/>
            </w:pPr>
            <w:r>
              <w:rPr>
                <w:rFonts w:ascii="Times New Roman" w:hAnsi="Times New Roman"/>
                <w:sz w:val="24"/>
              </w:rPr>
              <w:t>- Внедрение и миграцию команд платформы осуществления композиционного анализа ПО и выявления уязвимостей в цепочках поставок ПО с открытым исходным кодом (SCA);</w:t>
            </w:r>
          </w:p>
          <w:p>
            <w:pPr>
              <w:pStyle w:val="-5"/>
              <w:widowControl w:val="false"/>
              <w:jc w:val="both"/>
              <w:rPr/>
            </w:pPr>
            <w:r>
              <w:rPr>
                <w:rFonts w:ascii="Times New Roman" w:hAnsi="Times New Roman"/>
                <w:sz w:val="24"/>
              </w:rPr>
              <w:t>- Внедрение и миграцию команд в статический анализатор кода (SAST);</w:t>
            </w:r>
          </w:p>
          <w:p>
            <w:pPr>
              <w:pStyle w:val="-5"/>
              <w:widowControl w:val="false"/>
              <w:jc w:val="both"/>
              <w:rPr/>
            </w:pPr>
            <w:r>
              <w:rPr>
                <w:rFonts w:ascii="Times New Roman" w:hAnsi="Times New Roman"/>
                <w:sz w:val="24"/>
              </w:rPr>
              <w:t>- Внедрение и миграцию команд в динамический анализатор уязвимостей в ПО и API (DAST);</w:t>
            </w:r>
          </w:p>
          <w:p>
            <w:pPr>
              <w:pStyle w:val="-5"/>
              <w:widowControl w:val="false"/>
              <w:jc w:val="both"/>
              <w:rPr/>
            </w:pPr>
            <w:r>
              <w:rPr>
                <w:rFonts w:ascii="Times New Roman" w:hAnsi="Times New Roman"/>
                <w:sz w:val="24"/>
              </w:rPr>
              <w:t>- Внедрение инструмента для анализа защищенности;</w:t>
            </w:r>
          </w:p>
          <w:p>
            <w:pPr>
              <w:pStyle w:val="-5"/>
              <w:widowControl w:val="false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Миграцию команд в систему управления секретами.</w:t>
            </w:r>
          </w:p>
          <w:p>
            <w:pPr>
              <w:pStyle w:val="-5"/>
              <w:widowControl w:val="false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 разработке технорабочего проекта учесть: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разработку пояснительной записки в составе разделов, содержащих описание архитектуры Системы и порядка внедрения Системы безопасной разработки (в т.ч. описание необходимых вычислительных мощностей, характеристик сетей связи, вариантов масштабирования и тиражирования, организационных мероприятий на этапе внедрения, требований к персоналу и т.д.);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разработку архитектурной схемы и схемы взаимодействия и интеграции Системы безопасной разработки ИС;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разработку ведомости основных технических и программных средств, необходимых для внедрения Системы безопасной разработки ИС;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разработку руководства по безопасной разработке ПО;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разработку описания процессов безопасной разработки;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разработку требований к разработке на определенных языках программирования;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разработку программы и методики испытаний (система считается принятой при подключении ее к системе мониторинга и к системе резервного копирования).</w:t>
            </w:r>
          </w:p>
        </w:tc>
        <w:tc>
          <w:tcPr>
            <w:tcW w:w="249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ind w:hanging="1199" w:left="122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26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-5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объеме технорабочего проекта проработать:</w:t>
            </w:r>
          </w:p>
        </w:tc>
        <w:tc>
          <w:tcPr>
            <w:tcW w:w="5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-5"/>
              <w:widowControl w:val="false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Архитектура разрабатываемого проектного решения должна предусматривать возможность его дальнейшего тиражирования на подконтрольные общества Группы РусГидро. Все технические и программные средства, используемые в качестве проектных решений, должны быть отечественного производства, в т.ч. должно быть исключено применение средств защиты информации, странами происхождения которых являются иностранные государства, совершающие в отношении Российской Федерации, российских юридических лиц и физических лиц недружественные действия, либо производителями которых являются организации, находящиеся под юрисдикцией таких иностранных государств, прямо или косвенно подконтрольные им либо аффилированные с ними, а также использование сервисов (работ, услуг) по обеспечению информационной безопасности, предоставляемых (выполняемых, оказываемых) этими организациями.</w:t>
            </w:r>
          </w:p>
        </w:tc>
        <w:tc>
          <w:tcPr>
            <w:tcW w:w="249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-117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2.1.5.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вводу Системы в эксплуатацию, к результатам ПСИ, опытной эксплуатации</w:t>
            </w:r>
          </w:p>
        </w:tc>
        <w:tc>
          <w:tcPr>
            <w:tcW w:w="5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Работы по вводу Системы в эксплуатацию должны быть выполнены в соответствии с проектной документацией.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замечания выявленные в ходе испытаний на момент приемки должны быть устранены.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результатам ввода Системы в эксплуатацию, Система должна функционировать согласно технорабочей документации.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Должны быть проведены ПСИ согласно разработанной подрядчиком ПМИ.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Должна быть проведена опытная эксплуатация продолжительностью не менее 1 (одного) месяца.</w:t>
            </w:r>
          </w:p>
        </w:tc>
        <w:tc>
          <w:tcPr>
            <w:tcW w:w="24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-//-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-117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2.1.6.</w:t>
            </w:r>
          </w:p>
        </w:tc>
        <w:tc>
          <w:tcPr>
            <w:tcW w:w="22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исполнительной и эксплуатационной документации</w:t>
            </w:r>
          </w:p>
        </w:tc>
        <w:tc>
          <w:tcPr>
            <w:tcW w:w="583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Результат проведения работ по вводу Системы в эксплуатацию, а также имеющиеся отклонения от технорабочего проекта должны быть предоставлены Заказчику в виде исполнительной документации. 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Должна быть представлена эксплуатационная документация в составе: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shd w:val="clear" w:color="auto" w:fill="FFFFFF"/>
              <w:tabs>
                <w:tab w:val="clear" w:pos="708"/>
                <w:tab w:val="left" w:pos="391" w:leader="none"/>
                <w:tab w:val="left" w:pos="1134" w:leader="none"/>
              </w:tabs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Руководство по эксплуатации;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shd w:val="clear" w:color="auto" w:fill="FFFFFF"/>
              <w:tabs>
                <w:tab w:val="clear" w:pos="708"/>
                <w:tab w:val="left" w:pos="391" w:leader="none"/>
                <w:tab w:val="left" w:pos="1134" w:leader="none"/>
              </w:tabs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Руководство пользователя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shd w:val="clear" w:color="auto" w:fill="FFFFFF"/>
              <w:tabs>
                <w:tab w:val="clear" w:pos="708"/>
                <w:tab w:val="left" w:pos="391" w:leader="none"/>
                <w:tab w:val="left" w:pos="1134" w:leader="none"/>
              </w:tabs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Руководство администратора.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shd w:val="clear" w:color="auto" w:fill="FFFFFF"/>
              <w:tabs>
                <w:tab w:val="clear" w:pos="708"/>
                <w:tab w:val="left" w:pos="391" w:leader="none"/>
                <w:tab w:val="left" w:pos="1134" w:leader="none"/>
              </w:tabs>
              <w:ind w:hanging="0" w:left="0"/>
              <w:jc w:val="both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eastAsia="x-none"/>
              </w:rPr>
              <w:t xml:space="preserve">Руководство администратора ИБ. </w:t>
            </w:r>
          </w:p>
        </w:tc>
        <w:tc>
          <w:tcPr>
            <w:tcW w:w="249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-117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2.1.7.</w:t>
            </w:r>
          </w:p>
        </w:tc>
        <w:tc>
          <w:tcPr>
            <w:tcW w:w="22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происхождению поставляемой продукции</w:t>
            </w:r>
          </w:p>
        </w:tc>
        <w:tc>
          <w:tcPr>
            <w:tcW w:w="583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Поставляемое ПО должно быть включено в реестр Российского ПО, предусмотренный Постановлением Правительства РФ «Об утверждении Правил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Федерации» от 16.11.2015 № 1236.</w:t>
            </w:r>
          </w:p>
        </w:tc>
        <w:tc>
          <w:tcPr>
            <w:tcW w:w="249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 соответствующих реестров</w:t>
            </w:r>
          </w:p>
        </w:tc>
        <w:tc>
          <w:tcPr>
            <w:tcW w:w="1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-117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2.1.8.</w:t>
            </w:r>
          </w:p>
        </w:tc>
        <w:tc>
          <w:tcPr>
            <w:tcW w:w="22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а актуализации ЛНД (А) в области БРПО</w:t>
            </w:r>
          </w:p>
        </w:tc>
        <w:tc>
          <w:tcPr>
            <w:tcW w:w="583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ЛНД (А) должна быть актуализирована в соответствии с требованиями законодательства РФ.</w:t>
            </w:r>
          </w:p>
          <w:p>
            <w:pPr>
              <w:pStyle w:val="Normal"/>
              <w:widowControl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Результатом выполнения работ является разработанный комплект ЛНД (А) для ПАО «РусГидро». Разработанные проекты ЛНД (А) должны быть представлены Исполнителем Заказчику на согласование.</w:t>
            </w:r>
          </w:p>
          <w:p>
            <w:pPr>
              <w:pStyle w:val="Normal"/>
              <w:widowControl w:val="false"/>
              <w:spacing w:lineRule="auto" w:line="2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должен предоставить Заказчику не менее двух недель для согласования проектов ЛНД (А). В случае наличия замечаний к проектам ЛНД (А) со стороны Заказчика проекты ЛНД (А) с перечнем выявленных замечаний передаются Исполнителю на доработку.</w:t>
            </w:r>
          </w:p>
        </w:tc>
        <w:tc>
          <w:tcPr>
            <w:tcW w:w="249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ind w:firstLine="142" w:left="-117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09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Требования к безопасности использования результата выполнения Работ</w:t>
            </w:r>
          </w:p>
        </w:tc>
        <w:tc>
          <w:tcPr>
            <w:tcW w:w="249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-//-</w:t>
            </w:r>
          </w:p>
        </w:tc>
        <w:tc>
          <w:tcPr>
            <w:tcW w:w="1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ind w:hanging="1199" w:left="1224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информационной безопасности при выполнении работ</w:t>
            </w:r>
          </w:p>
          <w:p>
            <w:pPr>
              <w:pStyle w:val="Style37"/>
              <w:keepNext w:val="false"/>
              <w:widowControl w:val="false"/>
              <w:numPr>
                <w:ilvl w:val="0"/>
                <w:numId w:val="0"/>
              </w:numPr>
              <w:spacing w:before="0" w:after="0"/>
              <w:ind w:hanging="0" w:left="0"/>
              <w:jc w:val="left"/>
              <w:outlineLvl w:val="2"/>
              <w:rPr>
                <w:rFonts w:ascii="Calibri" w:hAnsi="Calibri" w:eastAsia="Times New Roman"/>
                <w:b w:val="false"/>
                <w:i/>
                <w:i/>
                <w:iCs/>
                <w:sz w:val="20"/>
                <w:szCs w:val="20"/>
                <w:lang w:val="ru-RU" w:eastAsia="ru-RU"/>
              </w:rPr>
            </w:pPr>
            <w:r>
              <w:rPr>
                <w:rFonts w:eastAsia="Times New Roman" w:ascii="Calibri" w:hAnsi="Calibri"/>
                <w:b w:val="false"/>
                <w:i/>
                <w:iCs/>
                <w:sz w:val="20"/>
                <w:szCs w:val="20"/>
                <w:lang w:val="ru-RU" w:eastAsia="ru-RU"/>
              </w:rPr>
            </w:r>
          </w:p>
        </w:tc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Подрядчик должен обеспечить соблюдение требований информационной безопасности установленных Заказчиком при выполнении работ (в части запрета подключения к корпоративной и технологической сети средств вычислительной техники, мобильных устройств, съемных машинных носителей информации не разрешенных к использованию). А также не допускать причинения ущерба информационной инфраструктуре Заказчика во время выполнения Работ.</w:t>
            </w:r>
          </w:p>
        </w:tc>
        <w:tc>
          <w:tcPr>
            <w:tcW w:w="24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-//-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/>
              <w:t>-//-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ind w:firstLine="142" w:left="-117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приемке результата выполнения Работ</w:t>
            </w:r>
            <w:r>
              <w:rPr>
                <w:rStyle w:val="Style9"/>
                <w:b w:val="false"/>
                <w:bCs/>
                <w:i w:val="false"/>
                <w:sz w:val="24"/>
                <w:szCs w:val="24"/>
                <w:shd w:fill="auto" w:val="clear"/>
              </w:rPr>
              <w:t xml:space="preserve"> </w:t>
            </w:r>
          </w:p>
        </w:tc>
        <w:tc>
          <w:tcPr>
            <w:tcW w:w="24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7"/>
              </w:numPr>
              <w:ind w:hanging="1199" w:left="1224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-5"/>
              <w:widowControl w:val="false"/>
              <w:rPr>
                <w:rFonts w:ascii="Times New Roman" w:hAnsi="Times New Roman"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lang w:eastAsia="ru-RU"/>
              </w:rPr>
              <w:t>Требования к приемке результатов Работ</w:t>
            </w:r>
          </w:p>
        </w:tc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-5"/>
              <w:widowControl w:val="false"/>
              <w:jc w:val="both"/>
              <w:rPr>
                <w:rFonts w:ascii="Times New Roman" w:hAnsi="Times New Roman"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lang w:eastAsia="ru-RU"/>
              </w:rPr>
              <w:t>Разработанные Подрядчиком комплекты документов должны быть согласованы с Заказчиком. Все замечания на момент приемки должны быть устранены</w:t>
            </w:r>
          </w:p>
        </w:tc>
        <w:tc>
          <w:tcPr>
            <w:tcW w:w="24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/>
              <w:t>-//-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/>
              <w:t>-//-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tabs>
                <w:tab w:val="clear" w:pos="708"/>
                <w:tab w:val="left" w:pos="637" w:leader="none"/>
              </w:tabs>
              <w:ind w:hanging="0"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соблюдению положений нормативной и иной обязательной для исполнителя документации, определяемой видами работ (помимо указанных в других разделах ТТ)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7" w:hRule="atLeast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ind w:hanging="0"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lang w:eastAsia="ru-RU"/>
              </w:rPr>
              <w:t>‍</w:t>
            </w:r>
          </w:p>
        </w:tc>
        <w:tc>
          <w:tcPr>
            <w:tcW w:w="226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Соблюдение при выполнении Работ требований ЛНД (А) Заказчика</w:t>
            </w:r>
          </w:p>
        </w:tc>
        <w:tc>
          <w:tcPr>
            <w:tcW w:w="5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rFonts w:eastAsia="Calibri"/>
                <w:bCs/>
                <w:kern w:val="2"/>
                <w:sz w:val="24"/>
                <w:szCs w:val="24"/>
                <w:lang w:eastAsia="en-US"/>
              </w:rPr>
              <w:t>При оказании услуг Исполнитель должен руководствоваться следующими ЛНД (А) Заказчика: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rFonts w:eastAsia="Calibri"/>
                <w:bCs/>
                <w:kern w:val="2"/>
                <w:sz w:val="24"/>
                <w:szCs w:val="24"/>
                <w:lang w:eastAsia="en-US"/>
              </w:rPr>
              <w:t>- Политикой ПАО «РусГидро» в отношении обработки персональных данных, утвержденной приказом ПАО «РусГидро» от 11.11.2024, размещенной на сайте под названием Политика ПАО «РусГидро» в Отношении обработки Персональных Данных, ссылка: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sz w:val="24"/>
                <w:szCs w:val="24"/>
              </w:rPr>
            </w:pPr>
            <w:hyperlink r:id="rId4">
              <w:r>
                <w:rPr>
                  <w:rStyle w:val="Hyperlink"/>
                  <w:rFonts w:eastAsia="Calibri"/>
                  <w:bCs/>
                  <w:kern w:val="2"/>
                  <w:sz w:val="24"/>
                  <w:szCs w:val="24"/>
                  <w:lang w:eastAsia="en-US"/>
                </w:rPr>
                <w:t>https://rushydro.ru/investors/disclosure/regulations_and_docs/documents/other_doc/</w:t>
              </w:r>
            </w:hyperlink>
            <w:r>
              <w:rPr>
                <w:rFonts w:eastAsia="Calibri"/>
                <w:bCs/>
                <w:kern w:val="2"/>
                <w:sz w:val="24"/>
                <w:szCs w:val="24"/>
                <w:lang w:eastAsia="en-US"/>
              </w:rPr>
              <w:t>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rFonts w:eastAsia="Calibri"/>
                <w:bCs/>
                <w:kern w:val="2"/>
                <w:sz w:val="24"/>
                <w:szCs w:val="24"/>
                <w:lang w:eastAsia="en-US"/>
              </w:rPr>
              <w:t>- Требованиями по обеспечению информационной безопасности при предоставлении контрагентам удаленного доступа к информационным ресурсам ПАО «РусГидро», ссылка: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sz w:val="24"/>
                <w:szCs w:val="24"/>
              </w:rPr>
            </w:pPr>
            <w:hyperlink r:id="rId5">
              <w:r>
                <w:rPr>
                  <w:rStyle w:val="Hyperlink"/>
                  <w:rFonts w:eastAsia="Calibri"/>
                  <w:bCs/>
                  <w:kern w:val="2"/>
                  <w:sz w:val="24"/>
                  <w:szCs w:val="24"/>
                  <w:lang w:eastAsia="en-US"/>
                </w:rPr>
                <w:t>https://rushydro.ru/investors/disclosure/regulations_and_docs/documents/other_doc/</w:t>
              </w:r>
            </w:hyperlink>
            <w:r>
              <w:rPr>
                <w:rFonts w:eastAsia="Calibri"/>
                <w:bCs/>
                <w:kern w:val="2"/>
                <w:sz w:val="24"/>
                <w:szCs w:val="24"/>
                <w:lang w:eastAsia="en-US"/>
              </w:rPr>
              <w:t>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rFonts w:eastAsia="Calibri"/>
                <w:bCs/>
                <w:kern w:val="2"/>
                <w:sz w:val="24"/>
                <w:szCs w:val="24"/>
                <w:lang w:eastAsia="en-US"/>
              </w:rPr>
              <w:t>- Положением об охране конфиденциальности информации, составляющей коммерческую тайну, в ПАО «РусГидро», утвержденной приказом ПАО «РусГидро» от 07.12.2023 №888 (Приложение № 4 к ТТ).</w:t>
            </w:r>
          </w:p>
        </w:tc>
        <w:tc>
          <w:tcPr>
            <w:tcW w:w="2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hanging="0"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4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ответственности и гарантиям Подрядчика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ind w:hanging="0"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Гарантийный срок на результат работ </w:t>
            </w:r>
          </w:p>
        </w:tc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Гарантийный срок на результат работ (в т.ч. на электронные носители информации) должен составлять 36 месяцев с даты подписания Универсального передаточного документа.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Гарантия не предполагает выполнение дополнительных работ по актуализации проектной документации в случаях изменений законодательства РФ и/или требований организационно-распорядительных документов ПАО «РусГидро» принятых после даты подписания Универсального передаточного документа по последнему этапу работ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hanging="0"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445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обязательствам подрядчика, влияющим на исполнение договора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ind w:hanging="0"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 о возможности оперативной замены конечных исполнителей</w:t>
            </w:r>
          </w:p>
        </w:tc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Подрядчик должен обеспечить возможность оперативной замены исполнителя с целью выполнения взятых обязательств и соблюдения сроков выполнения Работ.</w:t>
            </w:r>
          </w:p>
        </w:tc>
        <w:tc>
          <w:tcPr>
            <w:tcW w:w="24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ind w:hanging="0"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наличию лицензий на выполнение отдельных видов работ</w:t>
            </w:r>
          </w:p>
        </w:tc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период выполнения работ Подрядчик должен обладать действующей лицензией на выполнение соответствующих работ согласно п. 4 Положения о лицензировании деятельности по технической защите конфиденциальной информации (утв. Постановлением Правительства РФ от 03.02.2012 г. № 79 «О лицензировании деятельности по технической защите конфиденциальной информации»)</w:t>
            </w:r>
          </w:p>
        </w:tc>
        <w:tc>
          <w:tcPr>
            <w:tcW w:w="24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1"/>
                <w:numId w:val="7"/>
              </w:numPr>
              <w:ind w:hanging="0"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субподрядным организациям, привлекаемым к выполнению работ</w:t>
            </w:r>
          </w:p>
        </w:tc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l1"/>
              <w:widowControl w:val="false"/>
              <w:jc w:val="both"/>
              <w:rPr>
                <w:rFonts w:ascii="Times New Roman" w:hAnsi="Times New Roman" w:eastAsia="SimSun" w:cs="Times New Roman"/>
                <w:kern w:val="0"/>
                <w:sz w:val="24"/>
                <w:lang w:eastAsia="ru-RU"/>
              </w:rPr>
            </w:pPr>
            <w:r>
              <w:rPr>
                <w:rFonts w:eastAsia="SimSun" w:cs="Times New Roman" w:ascii="Times New Roman" w:hAnsi="Times New Roman"/>
                <w:kern w:val="0"/>
                <w:sz w:val="24"/>
                <w:lang w:eastAsia="ru-RU"/>
              </w:rPr>
              <w:t>В случае привлечения к выполнению работ субподрядных организаций подрядчик обязан представить Заказчику на момент согласования договора документы, подтверждающие соответствие их квалификационного уровня (в т.ч. соответствие требованиям п. 1.3.1. и п. 1.3.2 таблицы), а также готовность и возможность выполнения ими работ.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Подрядчик должен гарантировать выполнение субподрядными организациями положений настоящих технических требований</w:t>
            </w:r>
          </w:p>
        </w:tc>
        <w:tc>
          <w:tcPr>
            <w:tcW w:w="24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80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требования</w:t>
            </w:r>
          </w:p>
        </w:tc>
        <w:tc>
          <w:tcPr>
            <w:tcW w:w="24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bookmarkStart w:id="89" w:name="__RefHeading___Toc150661_1477206047"/>
            <w:bookmarkEnd w:id="89"/>
            <w:r>
              <w:rPr>
                <w:sz w:val="24"/>
                <w:szCs w:val="24"/>
              </w:rPr>
              <w:t>Требования к контролю за выполнением Работ</w:t>
            </w:r>
          </w:p>
        </w:tc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bookmarkStart w:id="90" w:name="__RefHeading___Toc150663_1477206047"/>
            <w:bookmarkEnd w:id="90"/>
            <w:r>
              <w:rPr>
                <w:sz w:val="24"/>
                <w:szCs w:val="24"/>
              </w:rPr>
              <w:t>Для осуществления контроля над ходом выполнения Работ Подрядчик по запросу Заказчика представляет необходимые материалы, относящиеся к Работам, и создает условия для проверки хода выполнения Работ.</w:t>
            </w:r>
          </w:p>
        </w:tc>
        <w:tc>
          <w:tcPr>
            <w:tcW w:w="24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обеспечению информационной безопасности при выполнении работ</w:t>
            </w:r>
          </w:p>
        </w:tc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ходе выполнения работ Подрядчик должен обеспечить принятие соответствующих мер по обеспечению безопасности (в т.ч. исключающих возможность несанкционированного доступа, ознакомления, изменения, распространения и/или разглашения информации третьими лицами) любой информации (вне зависимости от вида ее носителя) полученной от Заказчика и/или образующейся в ходе выполнения работ.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Подрядчик обязан уведомить Заказчика (в письменном виде в течение 4 рабочих дней с момента выявления) обо всех инцидентах информационной безопасности (в т.ч. несанкционированный доступ, ознакомление, изменение, распространение и/или разглашение) связанных с любой информации (вне зависимости от вида ее носителя) полученной от Заказчика и/или образованной в ходе выполнения настоящих работ</w:t>
            </w:r>
          </w:p>
        </w:tc>
        <w:tc>
          <w:tcPr>
            <w:tcW w:w="24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</w:tbl>
    <w:p>
      <w:pPr>
        <w:sectPr>
          <w:headerReference w:type="default" r:id="rId6"/>
          <w:headerReference w:type="first" r:id="rId7"/>
          <w:footerReference w:type="default" r:id="rId8"/>
          <w:footerReference w:type="first" r:id="rId9"/>
          <w:footnotePr>
            <w:numFmt w:val="decimal"/>
            <w:numRestart w:val="eachPage"/>
          </w:footnotePr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spacing w:before="0" w:after="0"/>
        <w:ind w:hanging="357" w:left="357"/>
        <w:jc w:val="center"/>
        <w:rPr>
          <w:sz w:val="24"/>
          <w:szCs w:val="24"/>
          <w:lang w:val="ru-RU"/>
        </w:rPr>
      </w:pPr>
      <w:bookmarkStart w:id="91" w:name="_Toc214534537"/>
      <w:bookmarkStart w:id="92" w:name="_Toc203571812"/>
      <w:bookmarkStart w:id="93" w:name="_Toc214015894"/>
      <w:bookmarkStart w:id="94" w:name="_Toc54643710"/>
      <w:bookmarkStart w:id="95" w:name="_Toc240957728"/>
      <w:bookmarkStart w:id="96" w:name="_Toc53393312"/>
      <w:bookmarkStart w:id="97" w:name="_Toc53395937"/>
      <w:r>
        <w:rPr>
          <w:sz w:val="24"/>
          <w:szCs w:val="24"/>
          <w:lang w:val="ru-RU"/>
        </w:rPr>
        <w:t>Требования к документации по ценообразованию</w:t>
      </w:r>
      <w:bookmarkEnd w:id="96"/>
      <w:bookmarkEnd w:id="97"/>
      <w:r>
        <w:rPr>
          <w:sz w:val="24"/>
          <w:szCs w:val="24"/>
          <w:lang w:val="ru-RU"/>
        </w:rPr>
        <w:t xml:space="preserve"> на этапе закупки</w:t>
      </w:r>
      <w:bookmarkEnd w:id="91"/>
      <w:bookmarkEnd w:id="92"/>
      <w:bookmarkEnd w:id="93"/>
      <w:bookmarkEnd w:id="94"/>
      <w:bookmarkEnd w:id="95"/>
    </w:p>
    <w:p>
      <w:pPr>
        <w:pStyle w:val="Normal"/>
        <w:widowControl w:val="false"/>
        <w:tabs>
          <w:tab w:val="clear" w:pos="708"/>
          <w:tab w:val="left" w:pos="426" w:leader="none"/>
        </w:tabs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В обоснование стоимости своей заявки Участник должен предоставить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firstLine="567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Дополнительные документы по ценообразованию (сметная документация) в состав заявки Участником не включаются.</w:t>
      </w:r>
    </w:p>
    <w:p>
      <w:pPr>
        <w:pStyle w:val="Normal"/>
        <w:rPr>
          <w:iCs/>
          <w:caps/>
          <w:sz w:val="24"/>
          <w:szCs w:val="24"/>
        </w:rPr>
      </w:pPr>
      <w:r>
        <w:rPr>
          <w:iCs/>
          <w:caps/>
          <w:sz w:val="24"/>
          <w:szCs w:val="24"/>
        </w:rPr>
      </w:r>
      <w:r>
        <w:br w:type="page"/>
      </w:r>
    </w:p>
    <w:p>
      <w:pPr>
        <w:pStyle w:val="Heading1"/>
        <w:keepLines/>
        <w:spacing w:before="0" w:after="0"/>
        <w:ind w:firstLine="426" w:left="0"/>
        <w:jc w:val="center"/>
        <w:rPr>
          <w:sz w:val="24"/>
          <w:szCs w:val="24"/>
          <w:lang w:val="ru-RU"/>
        </w:rPr>
      </w:pPr>
      <w:bookmarkStart w:id="98" w:name="_Toc240957729"/>
      <w:bookmarkStart w:id="99" w:name="_Toc214015895"/>
      <w:bookmarkStart w:id="100" w:name="_Toc203571813"/>
      <w:bookmarkStart w:id="101" w:name="_Toc54281228"/>
      <w:bookmarkStart w:id="102" w:name="_Toc214534538"/>
      <w:bookmarkStart w:id="103" w:name="_Toc54643711"/>
      <w:r>
        <w:rPr>
          <w:sz w:val="24"/>
          <w:szCs w:val="24"/>
          <w:lang w:val="ru-RU"/>
        </w:rPr>
        <w:t>Требования к документации по ценообразованию на этапе заключения (исполнения) договора</w:t>
      </w:r>
      <w:bookmarkEnd w:id="98"/>
      <w:bookmarkEnd w:id="99"/>
      <w:bookmarkEnd w:id="100"/>
      <w:bookmarkEnd w:id="101"/>
      <w:bookmarkEnd w:id="102"/>
      <w:bookmarkEnd w:id="103"/>
    </w:p>
    <w:p>
      <w:pPr>
        <w:pStyle w:val="Normal"/>
        <w:ind w:firstLine="567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</w:r>
    </w:p>
    <w:p>
      <w:pPr>
        <w:pStyle w:val="Normal"/>
        <w:ind w:firstLine="567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Сметная документация составляется Подрядчиком в рамках исполнения договора в соответствии с требованиями, указанными в приложении №1 к настоящим Техническим требованиям.</w:t>
      </w:r>
    </w:p>
    <w:p>
      <w:pPr>
        <w:pStyle w:val="Normal"/>
        <w:ind w:firstLine="567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В случае, если стоимость по разработанной смете Подрядчик будет превышать предельную стоимость, указанную в Договоре, в ходе исполнения договора Подрядчику необходимо применить соответствующий дополнительный понижающий коэффициент и откорректировать стоимость в сторону ее уменьшения.</w:t>
      </w:r>
    </w:p>
    <w:p>
      <w:pPr>
        <w:pStyle w:val="Normal"/>
        <w:ind w:firstLine="567"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В случае, если стоимость по разработанной смете Подрядчик будет ниже стоимости, указанной в Договоре, взаиморасчеты будут осуществляться по данной смете без увеличения стоимости, указанной в Договоре.</w:t>
      </w:r>
    </w:p>
    <w:p>
      <w:pPr>
        <w:pStyle w:val="Normal"/>
        <w:rPr>
          <w:rFonts w:eastAsia="Calibri"/>
          <w:b/>
          <w:iCs/>
          <w:sz w:val="24"/>
          <w:szCs w:val="24"/>
          <w:lang w:val="zh-CN" w:eastAsia="zh-CN"/>
        </w:rPr>
      </w:pPr>
      <w:r>
        <w:rPr>
          <w:rFonts w:eastAsia="Calibri"/>
          <w:b/>
          <w:iCs/>
          <w:sz w:val="24"/>
          <w:szCs w:val="24"/>
          <w:lang w:val="zh-CN" w:eastAsia="zh-CN"/>
        </w:rPr>
      </w:r>
      <w:r>
        <w:br w:type="page"/>
      </w:r>
    </w:p>
    <w:p>
      <w:pPr>
        <w:pStyle w:val="Normal"/>
        <w:rPr>
          <w:rFonts w:eastAsia="Calibri"/>
          <w:b/>
          <w:iCs/>
          <w:caps/>
          <w:sz w:val="24"/>
          <w:szCs w:val="24"/>
          <w:lang w:val="zh-CN" w:eastAsia="zh-CN"/>
        </w:rPr>
      </w:pPr>
      <w:r>
        <w:rPr>
          <w:rFonts w:eastAsia="Calibri"/>
          <w:b/>
          <w:iCs/>
          <w:caps/>
          <w:sz w:val="24"/>
          <w:szCs w:val="24"/>
          <w:lang w:val="zh-CN" w:eastAsia="zh-CN"/>
        </w:rPr>
      </w:r>
      <w:bookmarkStart w:id="104" w:name="_Toc51339699"/>
      <w:bookmarkStart w:id="105" w:name="_Toc46743519"/>
      <w:bookmarkStart w:id="106" w:name="_Toc51339699"/>
      <w:bookmarkStart w:id="107" w:name="_Toc46743519"/>
      <w:bookmarkEnd w:id="106"/>
      <w:bookmarkEnd w:id="107"/>
    </w:p>
    <w:p>
      <w:pPr>
        <w:pStyle w:val="Heading1"/>
        <w:keepLines/>
        <w:spacing w:before="0" w:after="0"/>
        <w:ind w:hanging="357" w:left="357"/>
        <w:jc w:val="center"/>
        <w:rPr>
          <w:iCs/>
          <w:sz w:val="24"/>
          <w:szCs w:val="24"/>
          <w:lang w:val="ru-RU"/>
        </w:rPr>
      </w:pPr>
      <w:bookmarkStart w:id="108" w:name="_Toc240957730"/>
      <w:bookmarkStart w:id="109" w:name="_Toc214534539"/>
      <w:bookmarkStart w:id="110" w:name="_Toc203571814"/>
      <w:bookmarkStart w:id="111" w:name="_Toc214015896"/>
      <w:r>
        <w:rPr>
          <w:iCs/>
          <w:sz w:val="24"/>
          <w:szCs w:val="24"/>
          <w:lang w:val="ru-RU"/>
        </w:rPr>
        <w:t>Приложения</w:t>
      </w:r>
      <w:bookmarkEnd w:id="108"/>
      <w:bookmarkEnd w:id="109"/>
      <w:bookmarkEnd w:id="110"/>
      <w:bookmarkEnd w:id="111"/>
    </w:p>
    <w:p>
      <w:pPr>
        <w:pStyle w:val="Heading3"/>
        <w:numPr>
          <w:ilvl w:val="0"/>
          <w:numId w:val="0"/>
        </w:numPr>
        <w:ind w:hanging="0" w:left="0"/>
        <w:jc w:val="both"/>
        <w:rPr>
          <w:b w:val="false"/>
          <w:lang w:val="ru-RU"/>
        </w:rPr>
      </w:pPr>
      <w:bookmarkStart w:id="112" w:name="_Toc240957731"/>
      <w:bookmarkStart w:id="113" w:name="_Toc214534540"/>
      <w:bookmarkStart w:id="114" w:name="_Toc214015897"/>
      <w:r>
        <w:rPr>
          <w:b w:val="false"/>
        </w:rPr>
        <w:t>Приложение №</w:t>
      </w:r>
      <w:r>
        <w:rPr>
          <w:b w:val="false"/>
          <w:lang w:val="ru-RU"/>
        </w:rPr>
        <w:t xml:space="preserve"> </w:t>
      </w:r>
      <w:r>
        <w:rPr>
          <w:b w:val="false"/>
        </w:rPr>
        <w:t>1. Требования к оформлению и составлению</w:t>
      </w:r>
      <w:r>
        <w:rPr>
          <w:rFonts w:eastAsia="DengXian"/>
          <w:b w:val="false"/>
        </w:rPr>
        <w:t xml:space="preserve"> </w:t>
      </w:r>
      <w:r>
        <w:rPr>
          <w:b w:val="false"/>
        </w:rPr>
        <w:t>смет или расчетов на выполнение работ/услуг</w:t>
      </w:r>
      <w:r>
        <w:rPr>
          <w:b w:val="false"/>
          <w:lang w:val="ru-RU"/>
        </w:rPr>
        <w:t>;</w:t>
      </w:r>
      <w:bookmarkEnd w:id="112"/>
      <w:bookmarkEnd w:id="113"/>
      <w:bookmarkEnd w:id="114"/>
    </w:p>
    <w:p>
      <w:pPr>
        <w:pStyle w:val="Heading3"/>
        <w:numPr>
          <w:ilvl w:val="0"/>
          <w:numId w:val="0"/>
        </w:numPr>
        <w:ind w:hanging="0" w:left="0"/>
        <w:jc w:val="both"/>
        <w:rPr>
          <w:b w:val="false"/>
          <w:lang w:val="ru-RU"/>
        </w:rPr>
      </w:pPr>
      <w:bookmarkStart w:id="115" w:name="_Toc240957732"/>
      <w:bookmarkStart w:id="116" w:name="_Toc214534542"/>
      <w:bookmarkStart w:id="117" w:name="_Toc214015899"/>
      <w:r>
        <w:rPr>
          <w:b w:val="false"/>
        </w:rPr>
        <w:t xml:space="preserve">Приложение № </w:t>
      </w:r>
      <w:r>
        <w:rPr>
          <w:b w:val="false"/>
          <w:lang w:val="ru-RU"/>
        </w:rPr>
        <w:t>2</w:t>
      </w:r>
      <w:r>
        <w:rPr>
          <w:b w:val="false"/>
        </w:rPr>
        <w:t>. Регламент процесса</w:t>
      </w:r>
      <w:r>
        <w:rPr>
          <w:rFonts w:eastAsia="DengXian"/>
          <w:b w:val="false"/>
        </w:rPr>
        <w:t xml:space="preserve"> </w:t>
      </w:r>
      <w:r>
        <w:rPr>
          <w:b w:val="false"/>
        </w:rPr>
        <w:t>«Допуск персонала подрядных организаций на объекты ПАО «РусГидро»</w:t>
      </w:r>
      <w:r>
        <w:rPr>
          <w:b w:val="false"/>
          <w:lang w:val="ru-RU"/>
        </w:rPr>
        <w:t>;</w:t>
      </w:r>
      <w:bookmarkEnd w:id="115"/>
      <w:bookmarkEnd w:id="116"/>
      <w:bookmarkEnd w:id="117"/>
    </w:p>
    <w:p>
      <w:pPr>
        <w:pStyle w:val="Heading3"/>
        <w:numPr>
          <w:ilvl w:val="0"/>
          <w:numId w:val="0"/>
        </w:numPr>
        <w:ind w:hanging="0" w:left="0"/>
        <w:jc w:val="both"/>
        <w:rPr>
          <w:b w:val="false"/>
          <w:lang w:val="ru-RU"/>
        </w:rPr>
      </w:pPr>
      <w:bookmarkStart w:id="118" w:name="_Toc240957733"/>
      <w:bookmarkStart w:id="119" w:name="_Toc214015900"/>
      <w:bookmarkStart w:id="120" w:name="_Toc214534543"/>
      <w:bookmarkStart w:id="121" w:name="_GoBack"/>
      <w:bookmarkEnd w:id="121"/>
      <w:r>
        <w:rPr>
          <w:b w:val="false"/>
        </w:rPr>
        <w:t xml:space="preserve">Приложение № </w:t>
      </w:r>
      <w:r>
        <w:rPr>
          <w:b w:val="false"/>
          <w:lang w:val="ru-RU"/>
        </w:rPr>
        <w:t>3</w:t>
      </w:r>
      <w:r>
        <w:rPr>
          <w:b w:val="false"/>
        </w:rPr>
        <w:t xml:space="preserve">. </w:t>
      </w:r>
      <w:bookmarkEnd w:id="119"/>
      <w:bookmarkEnd w:id="120"/>
      <w:r>
        <w:rPr>
          <w:rFonts w:eastAsia="DengXian"/>
          <w:b w:val="false"/>
          <w:lang w:val="ru-RU"/>
        </w:rPr>
        <w:t>Технические требования к внедряемому ПО;</w:t>
      </w:r>
      <w:bookmarkEnd w:id="118"/>
    </w:p>
    <w:p>
      <w:pPr>
        <w:pStyle w:val="Heading3"/>
        <w:numPr>
          <w:ilvl w:val="0"/>
          <w:numId w:val="0"/>
        </w:numPr>
        <w:ind w:hanging="0" w:left="0"/>
        <w:jc w:val="both"/>
        <w:rPr>
          <w:b w:val="false"/>
        </w:rPr>
      </w:pPr>
      <w:bookmarkStart w:id="122" w:name="_Toc231310676"/>
      <w:bookmarkStart w:id="123" w:name="_Toc240957734"/>
      <w:r>
        <w:rPr>
          <w:rFonts w:eastAsia="DengXian"/>
          <w:b w:val="false"/>
          <w:lang w:val="ru-RU"/>
        </w:rPr>
        <w:t>Приложение № 4. Положение об охране конфиденциальности информации, составляющей коммерческую тайну, в ПАО «РусГидро»</w:t>
      </w:r>
      <w:bookmarkEnd w:id="122"/>
      <w:bookmarkEnd w:id="123"/>
    </w:p>
    <w:p>
      <w:pPr>
        <w:pStyle w:val="Heading3"/>
        <w:numPr>
          <w:ilvl w:val="0"/>
          <w:numId w:val="0"/>
        </w:numPr>
        <w:ind w:hanging="0" w:left="0"/>
        <w:jc w:val="both"/>
        <w:rPr>
          <w:rFonts w:eastAsia="DengXian"/>
          <w:b w:val="false"/>
          <w:lang w:val="ru-RU"/>
        </w:rPr>
      </w:pPr>
      <w:r>
        <w:rPr>
          <w:rFonts w:eastAsia="DengXian"/>
          <w:b w:val="false"/>
          <w:lang w:val="ru-RU"/>
        </w:rPr>
      </w:r>
    </w:p>
    <w:p>
      <w:pPr>
        <w:pStyle w:val="Normal"/>
        <w:ind w:firstLine="709"/>
        <w:rPr>
          <w:rFonts w:eastAsia="Calibri"/>
          <w:sz w:val="24"/>
          <w:szCs w:val="24"/>
          <w:lang w:val="zh-CN" w:eastAsia="zh-CN"/>
        </w:rPr>
      </w:pPr>
      <w:r>
        <w:rPr>
          <w:rFonts w:eastAsia="Calibri"/>
          <w:sz w:val="24"/>
          <w:szCs w:val="24"/>
          <w:lang w:val="zh-CN" w:eastAsia="zh-CN"/>
        </w:rPr>
      </w:r>
      <w:r>
        <w:br w:type="page"/>
      </w:r>
    </w:p>
    <w:p>
      <w:pPr>
        <w:pStyle w:val="Normal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Приложение № 1</w:t>
      </w:r>
    </w:p>
    <w:p>
      <w:pPr>
        <w:pStyle w:val="Normal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к Техническим требованиям</w:t>
      </w:r>
    </w:p>
    <w:p>
      <w:pPr>
        <w:pStyle w:val="ConsPlusNormal1"/>
        <w:widowControl/>
        <w:tabs>
          <w:tab w:val="clear" w:pos="708"/>
          <w:tab w:val="left" w:pos="0" w:leader="none"/>
        </w:tabs>
        <w:ind w:firstLine="709"/>
        <w:jc w:val="center"/>
        <w:rPr>
          <w:rFonts w:ascii="Times New Roman" w:hAnsi="Times New Roman" w:cs="Times New Roman"/>
          <w:bCs/>
          <w:caps/>
          <w:sz w:val="24"/>
          <w:szCs w:val="24"/>
        </w:rPr>
      </w:pPr>
      <w:r>
        <w:rPr>
          <w:rFonts w:cs="Times New Roman" w:ascii="Times New Roman" w:hAnsi="Times New Roman"/>
          <w:bCs/>
          <w:caps/>
          <w:sz w:val="24"/>
          <w:szCs w:val="24"/>
        </w:rPr>
      </w:r>
      <w:bookmarkStart w:id="124" w:name="_Ref40301253_Копия_1"/>
      <w:bookmarkStart w:id="125" w:name="_Hlk48224758_Копия_1"/>
      <w:bookmarkStart w:id="126" w:name="_Toc54646414_Копия_1"/>
      <w:bookmarkStart w:id="127" w:name="_Toc54451385_Копия_1"/>
      <w:bookmarkStart w:id="128" w:name="_Ref40301253_Копия_1"/>
      <w:bookmarkStart w:id="129" w:name="_Hlk48224758_Копия_1"/>
      <w:bookmarkStart w:id="130" w:name="_Toc54646414_Копия_1"/>
      <w:bookmarkStart w:id="131" w:name="_Toc54451385_Копия_1"/>
      <w:bookmarkEnd w:id="128"/>
      <w:bookmarkEnd w:id="129"/>
      <w:bookmarkEnd w:id="130"/>
      <w:bookmarkEnd w:id="131"/>
    </w:p>
    <w:p>
      <w:pPr>
        <w:pStyle w:val="ConsPlusNormal1"/>
        <w:widowControl/>
        <w:tabs>
          <w:tab w:val="clear" w:pos="708"/>
          <w:tab w:val="left" w:pos="0" w:leader="none"/>
        </w:tabs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Требования к оформлению и составлению</w:t>
      </w:r>
    </w:p>
    <w:p>
      <w:pPr>
        <w:pStyle w:val="ConsPlusNormal1"/>
        <w:widowControl/>
        <w:tabs>
          <w:tab w:val="clear" w:pos="708"/>
          <w:tab w:val="left" w:pos="0" w:leader="none"/>
        </w:tabs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смет или расчетов на выполнение работ/услуг</w:t>
      </w:r>
    </w:p>
    <w:p>
      <w:pPr>
        <w:pStyle w:val="Normal"/>
        <w:ind w:firstLine="709"/>
        <w:jc w:val="center"/>
        <w:rPr>
          <w:bCs/>
          <w:caps/>
          <w:sz w:val="24"/>
          <w:szCs w:val="24"/>
        </w:rPr>
      </w:pPr>
      <w:r>
        <w:rPr>
          <w:bCs/>
          <w:caps/>
          <w:sz w:val="24"/>
          <w:szCs w:val="24"/>
        </w:rPr>
      </w:r>
    </w:p>
    <w:p>
      <w:pPr>
        <w:pStyle w:val="ConsPlusNormal1"/>
        <w:widowControl/>
        <w:tabs>
          <w:tab w:val="clear" w:pos="708"/>
          <w:tab w:val="left" w:pos="1260" w:leader="none"/>
        </w:tabs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Требования к оформлению и составлению</w:t>
      </w:r>
    </w:p>
    <w:p>
      <w:pPr>
        <w:pStyle w:val="ConsPlusNormal1"/>
        <w:widowControl/>
        <w:tabs>
          <w:tab w:val="clear" w:pos="708"/>
          <w:tab w:val="left" w:pos="1260" w:leader="none"/>
        </w:tabs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сметной документации на работы по техническому перевооружению</w:t>
      </w:r>
    </w:p>
    <w:p>
      <w:pPr>
        <w:pStyle w:val="ConsPlusNormal1"/>
        <w:widowControl/>
        <w:tabs>
          <w:tab w:val="clear" w:pos="708"/>
          <w:tab w:val="left" w:pos="1260" w:leader="none"/>
        </w:tabs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(не относящихся к работам, стоимость которых определяется в соответствии со Статьей 8.3 Градостроительного кодекса РФ)</w:t>
      </w:r>
    </w:p>
    <w:p>
      <w:pPr>
        <w:pStyle w:val="Normal"/>
        <w:ind w:firstLine="709"/>
        <w:jc w:val="center"/>
        <w:rPr>
          <w:bCs/>
          <w:caps/>
          <w:sz w:val="24"/>
          <w:szCs w:val="24"/>
        </w:rPr>
      </w:pPr>
      <w:r>
        <w:rPr>
          <w:bCs/>
          <w:caps/>
          <w:sz w:val="24"/>
          <w:szCs w:val="24"/>
        </w:rPr>
      </w:r>
    </w:p>
    <w:p>
      <w:pPr>
        <w:pStyle w:val="ConsPlusNormal1"/>
        <w:widowControl/>
        <w:numPr>
          <w:ilvl w:val="0"/>
          <w:numId w:val="18"/>
        </w:numPr>
        <w:tabs>
          <w:tab w:val="clear" w:pos="708"/>
          <w:tab w:val="left" w:pos="426" w:leader="none"/>
          <w:tab w:val="left" w:pos="993" w:leader="none"/>
        </w:tabs>
        <w:ind w:firstLine="709"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>Настоящие требования разработаны для единого подхода к оформлению и составлению сметной документации на работы по техническому перевооружению.</w:t>
      </w:r>
    </w:p>
    <w:p>
      <w:pPr>
        <w:pStyle w:val="ConsPlusNormal1"/>
        <w:widowControl/>
        <w:numPr>
          <w:ilvl w:val="0"/>
          <w:numId w:val="18"/>
        </w:numPr>
        <w:tabs>
          <w:tab w:val="clear" w:pos="708"/>
          <w:tab w:val="left" w:pos="426" w:leader="none"/>
          <w:tab w:val="left" w:pos="993" w:leader="none"/>
        </w:tabs>
        <w:ind w:firstLine="709"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 xml:space="preserve">Использование нормативов ценообразования, не зарегистрированных и не вошедших в ФРСН, </w:t>
      </w:r>
      <w:r>
        <w:rPr>
          <w:rFonts w:cs="Times New Roman" w:ascii="Times New Roman" w:hAnsi="Times New Roman"/>
          <w:b/>
          <w:sz w:val="24"/>
          <w:szCs w:val="24"/>
          <w:u w:val="single"/>
        </w:rPr>
        <w:t>не допускается</w:t>
      </w:r>
      <w:r>
        <w:rPr>
          <w:rFonts w:cs="Times New Roman" w:ascii="Times New Roman" w:hAnsi="Times New Roman"/>
          <w:sz w:val="24"/>
          <w:szCs w:val="24"/>
        </w:rPr>
        <w:t>, кроме случаев, прямо указанных в настоящих требованиях.</w:t>
      </w:r>
    </w:p>
    <w:p>
      <w:pPr>
        <w:pStyle w:val="ConsPlusNormal1"/>
        <w:widowControl/>
        <w:numPr>
          <w:ilvl w:val="0"/>
          <w:numId w:val="18"/>
        </w:numPr>
        <w:tabs>
          <w:tab w:val="clear" w:pos="708"/>
          <w:tab w:val="left" w:pos="426" w:leader="none"/>
          <w:tab w:val="left" w:pos="993" w:leader="none"/>
        </w:tabs>
        <w:ind w:firstLine="709"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 xml:space="preserve">Версия программного комплекса «Гранд-Смета» (далее–ПК «Гранд-смета») </w:t>
      </w:r>
      <w:r>
        <w:rPr>
          <w:rFonts w:cs="Times New Roman" w:ascii="Times New Roman" w:hAnsi="Times New Roman"/>
          <w:sz w:val="24"/>
          <w:szCs w:val="24"/>
          <w:u w:val="single"/>
        </w:rPr>
        <w:t>должна быть не ниже 2021.</w:t>
      </w:r>
    </w:p>
    <w:p>
      <w:pPr>
        <w:pStyle w:val="ConsPlusNormal1"/>
        <w:widowControl/>
        <w:numPr>
          <w:ilvl w:val="0"/>
          <w:numId w:val="18"/>
        </w:numPr>
        <w:tabs>
          <w:tab w:val="clear" w:pos="708"/>
          <w:tab w:val="left" w:pos="426" w:leader="none"/>
          <w:tab w:val="left" w:pos="993" w:leader="none"/>
        </w:tabs>
        <w:ind w:firstLine="709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 составлении смет руководствоваться Методикой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Федерации», введенной в действие Приказом Министерства строительства и ЖКХ РФ от 04.08.2020 № 421/пр. (далее - Методикой определения сметной стоимости строительства), с учетом изменений и дополнений.</w:t>
      </w:r>
    </w:p>
    <w:p>
      <w:pPr>
        <w:pStyle w:val="ConsPlusNormal1"/>
        <w:widowControl/>
        <w:numPr>
          <w:ilvl w:val="0"/>
          <w:numId w:val="18"/>
        </w:numPr>
        <w:tabs>
          <w:tab w:val="clear" w:pos="708"/>
          <w:tab w:val="left" w:pos="426" w:leader="none"/>
          <w:tab w:val="left" w:pos="993" w:leader="none"/>
        </w:tabs>
        <w:ind w:firstLine="709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 составлении смет на техническое перевооружение энергетического оборудования приоритетным является применение сборников «Базовых цен на работы по ремонту энергетического оборудования, адекватных условиям функционирования конкурентного рынка услуг по ремонту и техперевооружению» с учетом дополнений и изменений 1-12 (далее – БЦ), «Методических указаний по формированию смет и калькуляций на ремонт энергооборудования» (СО 34.20.607-2005), разработанных АО «ЦКБ Энергоремонт». Поправочный индекс к Базовым ценам учитывать в размере, не превышающем предельный индекс, установленный для Филиала (ПО) ПАО «РусГидро».</w:t>
      </w:r>
    </w:p>
    <w:p>
      <w:pPr>
        <w:pStyle w:val="ConsPlusNormal1"/>
        <w:widowControl/>
        <w:numPr>
          <w:ilvl w:val="0"/>
          <w:numId w:val="18"/>
        </w:numPr>
        <w:tabs>
          <w:tab w:val="clear" w:pos="708"/>
          <w:tab w:val="left" w:pos="426" w:leader="none"/>
          <w:tab w:val="left" w:pos="993" w:leader="none"/>
        </w:tabs>
        <w:ind w:firstLine="709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 составлении сметной документации необходимо использовать сметно-нормативную базу … «ФЕР 2020 изм.1-9».</w:t>
      </w:r>
    </w:p>
    <w:p>
      <w:pPr>
        <w:pStyle w:val="ConsPlusNormal1"/>
        <w:widowControl/>
        <w:numPr>
          <w:ilvl w:val="0"/>
          <w:numId w:val="18"/>
        </w:numPr>
        <w:tabs>
          <w:tab w:val="clear" w:pos="708"/>
          <w:tab w:val="left" w:pos="426" w:leader="none"/>
          <w:tab w:val="left" w:pos="993" w:leader="none"/>
        </w:tabs>
        <w:ind w:firstLine="709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Определение сметной стоимости работ при ремонте, реконструкции и техническом перевооружении возможно ниже указанным методом:</w:t>
      </w:r>
    </w:p>
    <w:p>
      <w:pPr>
        <w:pStyle w:val="ConsPlusNormal1"/>
        <w:widowControl/>
        <w:numPr>
          <w:ilvl w:val="1"/>
          <w:numId w:val="18"/>
        </w:numPr>
        <w:tabs>
          <w:tab w:val="clear" w:pos="708"/>
          <w:tab w:val="left" w:pos="426" w:leader="none"/>
          <w:tab w:val="left" w:pos="993" w:leader="none"/>
        </w:tabs>
        <w:ind w:firstLine="709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Базисно-индексным</w:t>
      </w:r>
      <w:r>
        <w:rPr>
          <w:rFonts w:cs="Times New Roman" w:ascii="Times New Roman" w:hAnsi="Times New Roman"/>
          <w:sz w:val="24"/>
          <w:szCs w:val="24"/>
        </w:rPr>
        <w:t xml:space="preserve"> (является </w:t>
      </w:r>
      <w:r>
        <w:rPr>
          <w:rFonts w:cs="Times New Roman" w:ascii="Times New Roman" w:hAnsi="Times New Roman"/>
          <w:b/>
          <w:sz w:val="24"/>
          <w:szCs w:val="24"/>
        </w:rPr>
        <w:t>приоритетным</w:t>
      </w:r>
      <w:r>
        <w:rPr>
          <w:rFonts w:cs="Times New Roman" w:ascii="Times New Roman" w:hAnsi="Times New Roman"/>
          <w:sz w:val="24"/>
          <w:szCs w:val="24"/>
        </w:rPr>
        <w:t xml:space="preserve"> до полного введения ресурсно-индексного метода) - с использованием единичных расценок, в том числе, их отдельных составляющих, сведения о которых включены в ФРСН. Сметная стоимость строительства, определенная с применением базисно-индексного метода, приводится в локальных сметных расчетах (далее – ЛСР), локальных сметах (далее -ЛС) в </w:t>
      </w:r>
      <w:r>
        <w:rPr>
          <w:rFonts w:cs="Times New Roman" w:ascii="Times New Roman" w:hAnsi="Times New Roman"/>
          <w:b/>
          <w:sz w:val="24"/>
          <w:szCs w:val="24"/>
        </w:rPr>
        <w:t>двух уровнях цен: базисном и текущем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ConsPlusNormal1"/>
        <w:widowControl/>
        <w:numPr>
          <w:ilvl w:val="0"/>
          <w:numId w:val="18"/>
        </w:numPr>
        <w:tabs>
          <w:tab w:val="clear" w:pos="708"/>
          <w:tab w:val="left" w:pos="426" w:leader="none"/>
          <w:tab w:val="left" w:pos="993" w:leader="none"/>
        </w:tabs>
        <w:ind w:firstLine="709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При определении сметной стоимости </w:t>
      </w:r>
      <w:r>
        <w:rPr>
          <w:rFonts w:cs="Times New Roman" w:ascii="Times New Roman" w:hAnsi="Times New Roman"/>
          <w:b/>
          <w:sz w:val="24"/>
          <w:szCs w:val="24"/>
        </w:rPr>
        <w:t>базисно-индексным</w:t>
      </w:r>
      <w:r>
        <w:rPr>
          <w:rFonts w:cs="Times New Roman" w:ascii="Times New Roman" w:hAnsi="Times New Roman"/>
          <w:sz w:val="24"/>
          <w:szCs w:val="24"/>
        </w:rPr>
        <w:t xml:space="preserve"> методами применяются индексы изменения сметной стоимости на текущий период (при наличии) для соответствующих видов объектов капитального строительства и субъектов Российской Федерации (частей территорий субъектов Российской Федерации), либо индексы, сведения о которых последними включены в ФРСН: </w:t>
      </w:r>
    </w:p>
    <w:p>
      <w:pPr>
        <w:pStyle w:val="ConsPlusNormal1"/>
        <w:widowControl/>
        <w:numPr>
          <w:ilvl w:val="1"/>
          <w:numId w:val="18"/>
        </w:numPr>
        <w:tabs>
          <w:tab w:val="clear" w:pos="708"/>
          <w:tab w:val="left" w:pos="426" w:leader="none"/>
          <w:tab w:val="left" w:pos="567" w:leader="none"/>
          <w:tab w:val="left" w:pos="993" w:leader="none"/>
        </w:tabs>
        <w:ind w:firstLine="709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Для базисно-индексного метода: Индексы, публикуемые Минстроем РФ: Индексы по</w:t>
      </w:r>
      <w:r>
        <w:rPr>
          <w:rFonts w:cs="Times New Roman" w:ascii="Times New Roman" w:hAnsi="Times New Roman"/>
          <w:b/>
          <w:sz w:val="24"/>
          <w:szCs w:val="24"/>
        </w:rPr>
        <w:t xml:space="preserve"> видам объектов</w:t>
      </w:r>
      <w:r>
        <w:rPr>
          <w:rFonts w:cs="Times New Roman" w:ascii="Times New Roman" w:hAnsi="Times New Roman"/>
          <w:sz w:val="24"/>
          <w:szCs w:val="24"/>
        </w:rPr>
        <w:t xml:space="preserve"> (при полном соответствии наименования объекта, кроме "Прочих", а также при применительном использовании наименования объекта, включая "Прочие") </w:t>
      </w:r>
      <w:r>
        <w:rPr>
          <w:rFonts w:cs="Times New Roman" w:ascii="Times New Roman" w:hAnsi="Times New Roman"/>
          <w:b/>
          <w:sz w:val="24"/>
          <w:szCs w:val="24"/>
        </w:rPr>
        <w:t xml:space="preserve">к </w:t>
      </w:r>
      <w:r>
        <w:rPr>
          <w:rFonts w:cs="Times New Roman" w:ascii="Times New Roman" w:hAnsi="Times New Roman"/>
          <w:sz w:val="24"/>
          <w:szCs w:val="24"/>
        </w:rPr>
        <w:t>элементам</w:t>
      </w:r>
      <w:r>
        <w:rPr>
          <w:rFonts w:cs="Times New Roman" w:ascii="Times New Roman" w:hAnsi="Times New Roman"/>
          <w:b/>
          <w:sz w:val="24"/>
          <w:szCs w:val="24"/>
        </w:rPr>
        <w:t xml:space="preserve"> прямых затрат.</w:t>
      </w:r>
    </w:p>
    <w:p>
      <w:pPr>
        <w:pStyle w:val="ConsPlusNormal1"/>
        <w:widowControl/>
        <w:numPr>
          <w:ilvl w:val="0"/>
          <w:numId w:val="18"/>
        </w:numPr>
        <w:tabs>
          <w:tab w:val="clear" w:pos="708"/>
          <w:tab w:val="left" w:pos="426" w:leader="none"/>
          <w:tab w:val="left" w:pos="993" w:leader="none"/>
        </w:tabs>
        <w:ind w:firstLine="709"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сметных расчетах на этап работ допускается использовать прогнозные среднегодовые индексы-дефляторы по данным Единых сценарных условий, Группы РусГидро. В настоящий момент актуальными являются индексы-дефляторы инвестиций (вариант – для формирования инвестиционных, производственных программ), приложенные к приказу ПАО «РусГидро</w:t>
      </w:r>
      <w:r>
        <w:rPr>
          <w:rFonts w:cs="Times New Roman" w:ascii="Times New Roman" w:hAnsi="Times New Roman"/>
          <w:color w:val="000000"/>
          <w:sz w:val="24"/>
          <w:szCs w:val="24"/>
        </w:rPr>
        <w:t>» от 08.11.2023г. № 810</w:t>
      </w:r>
      <w:r>
        <w:rPr>
          <w:rFonts w:cs="Times New Roman" w:ascii="Times New Roman" w:hAnsi="Times New Roman"/>
          <w:sz w:val="24"/>
          <w:szCs w:val="24"/>
        </w:rPr>
        <w:t>:</w:t>
      </w:r>
    </w:p>
    <w:p>
      <w:pPr>
        <w:pStyle w:val="ConsPlusNormal1"/>
        <w:widowControl/>
        <w:tabs>
          <w:tab w:val="clear" w:pos="708"/>
          <w:tab w:val="left" w:pos="284" w:leader="none"/>
          <w:tab w:val="left" w:pos="1134" w:leader="none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на 2024 г. – 5,3%;</w:t>
      </w:r>
    </w:p>
    <w:p>
      <w:pPr>
        <w:pStyle w:val="ConsPlusNormal1"/>
        <w:widowControl/>
        <w:tabs>
          <w:tab w:val="clear" w:pos="708"/>
          <w:tab w:val="left" w:pos="284" w:leader="none"/>
          <w:tab w:val="left" w:pos="1134" w:leader="none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на 2025г. – 4,8%;</w:t>
      </w:r>
    </w:p>
    <w:p>
      <w:pPr>
        <w:pStyle w:val="ConsPlusNormal1"/>
        <w:widowControl/>
        <w:tabs>
          <w:tab w:val="clear" w:pos="708"/>
          <w:tab w:val="left" w:pos="284" w:leader="none"/>
          <w:tab w:val="left" w:pos="1134" w:leader="none"/>
        </w:tabs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на 2026г. – 4,6%.</w:t>
      </w:r>
    </w:p>
    <w:p>
      <w:pPr>
        <w:pStyle w:val="ConsPlusNormal1"/>
        <w:widowControl/>
        <w:numPr>
          <w:ilvl w:val="0"/>
          <w:numId w:val="18"/>
        </w:numPr>
        <w:tabs>
          <w:tab w:val="clear" w:pos="708"/>
          <w:tab w:val="left" w:pos="284" w:leader="none"/>
          <w:tab w:val="left" w:pos="1134" w:leader="none"/>
        </w:tabs>
        <w:ind w:firstLine="709"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На основании прогнозных величин инфляции для каждого из видов работ по каждому году их проведения общие индексы-дефляторы определяются как произведение индексов-дефляторов 2-го, 3-го и последующих годов до середины срока производства работ от года, в уровне которого составлена сметная документация. Например, при проведении работ i-го этапа в 2023 г. при начале работ и составлении сметной документации в уровне цен 2021 г. должен быть учтен индекс-дефлятор на 2022 и 2023 год.</w:t>
      </w:r>
    </w:p>
    <w:p>
      <w:pPr>
        <w:pStyle w:val="ConsPlusNormal1"/>
        <w:widowControl/>
        <w:numPr>
          <w:ilvl w:val="0"/>
          <w:numId w:val="18"/>
        </w:numPr>
        <w:tabs>
          <w:tab w:val="clear" w:pos="708"/>
          <w:tab w:val="left" w:pos="284" w:leader="none"/>
          <w:tab w:val="left" w:pos="1134" w:leader="none"/>
        </w:tabs>
        <w:ind w:firstLine="709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В случае, если стоимость рассчитана в текущем уровне цен с применением индексов изменения сметной стоимости, соответствующих году начала строительства, а планируемый период выполнения работ составляет до одного календарного года, то индекс-дефлятор не </w:t>
      </w:r>
      <w:r>
        <w:rPr>
          <w:rFonts w:cs="Times New Roman" w:ascii="Times New Roman" w:hAnsi="Times New Roman"/>
          <w:sz w:val="24"/>
          <w:szCs w:val="24"/>
        </w:rPr>
        <w:t>применяется.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rFonts w:ascii="Times New Roman" w:hAnsi="Times New Roman" w:cs="Times New Roman"/>
          <w:spacing w:val="-4"/>
        </w:rPr>
      </w:pPr>
      <w:r>
        <w:rPr>
          <w:rFonts w:cs="Times New Roman" w:ascii="Times New Roman" w:hAnsi="Times New Roman"/>
          <w:spacing w:val="-4"/>
        </w:rPr>
        <w:t xml:space="preserve">В случае </w:t>
      </w:r>
      <w:r>
        <w:rPr>
          <w:rFonts w:cs="Times New Roman" w:ascii="Times New Roman" w:hAnsi="Times New Roman"/>
          <w:i/>
          <w:spacing w:val="-4"/>
        </w:rPr>
        <w:t>отсутствия</w:t>
      </w:r>
      <w:r>
        <w:rPr>
          <w:rFonts w:cs="Times New Roman" w:ascii="Times New Roman" w:hAnsi="Times New Roman"/>
          <w:spacing w:val="-4"/>
        </w:rPr>
        <w:t xml:space="preserve"> единичных расценок в действующей СНБ возможно определение сметной стоимости с применением сборников: «Единых норм и расценок на строительные, монтажные и ремонтно-строительные работы» (далее – ЕНиР) и «Ведомственных норм и расценок на строительные, монтажные и ремонтно-строительные работы» (далее – ВНиР). Уровень оплаты труда для ЕНиР и ВНиР определять аналогично примененному в сметной документации методу расчета в соответствии с тарифными ставками сборника «Показатели часовой оплаты труда» (далее - ТС 2001), внесенного в ФРСН.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284" w:leader="none"/>
          <w:tab w:val="left" w:pos="1134" w:leader="none"/>
        </w:tabs>
        <w:ind w:firstLine="709" w:left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При </w:t>
      </w:r>
      <w:r>
        <w:rPr>
          <w:rFonts w:cs="Times New Roman" w:ascii="Times New Roman" w:hAnsi="Times New Roman"/>
          <w:i/>
        </w:rPr>
        <w:t xml:space="preserve">отсутствии </w:t>
      </w:r>
      <w:r>
        <w:rPr>
          <w:rFonts w:cs="Times New Roman" w:ascii="Times New Roman" w:hAnsi="Times New Roman"/>
        </w:rPr>
        <w:t>информации о сметных ценах в ФГИС ЦС и ФССЦ по материальным ресурсам и оборудованию, их сметная цена формируется Методом анализа ТКП в соответствии с Методикой формирования плановой цены на закупаемую продукцию для организаций Группы РусГидро (далее – Методика ПЦ). При этом среднерыночная цена формируется Методом анализа ТКП в соответствии с Приложением №3 к Требованиям к оформлению и составлению сметной документации на работы по техническому перевооружению.</w:t>
      </w:r>
    </w:p>
    <w:p>
      <w:pPr>
        <w:pStyle w:val="ConsPlusNormal1"/>
        <w:numPr>
          <w:ilvl w:val="0"/>
          <w:numId w:val="18"/>
        </w:numPr>
        <w:tabs>
          <w:tab w:val="clear" w:pos="708"/>
          <w:tab w:val="left" w:pos="284" w:leader="none"/>
          <w:tab w:val="left" w:pos="1134" w:leader="none"/>
        </w:tabs>
        <w:ind w:firstLine="709"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При определении сметной стоимости в 2-х уровнях цен (текущем и базисном), стоимость указанных материальных ресурсов и оборудования, определяется в базисном уровне цен как отношение их стоимости в текущем уровне цен к соответствующим индексам изменения сметной стоимости, примененным при составлении сметной документации.</w:t>
      </w:r>
    </w:p>
    <w:p>
      <w:pPr>
        <w:pStyle w:val="ConsPlusNormal1"/>
        <w:numPr>
          <w:ilvl w:val="0"/>
          <w:numId w:val="18"/>
        </w:numPr>
        <w:tabs>
          <w:tab w:val="clear" w:pos="708"/>
          <w:tab w:val="left" w:pos="284" w:leader="none"/>
          <w:tab w:val="left" w:pos="1134" w:leader="none"/>
        </w:tabs>
        <w:ind w:firstLine="709"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Сметная стоимость материальных ресурсов и индивидуального стандартизированного (адаптированного) оборудования в текущем уровне цен, информация о которых отсутствует во ФГИС ЦС и ФРСН, определяется с учетом транспортных и заготовительно-складских затрат.</w:t>
      </w:r>
      <w:r>
        <w:rPr>
          <w:rFonts w:cs="Times New Roman" w:ascii="Times New Roman" w:hAnsi="Times New Roman"/>
          <w:color w:val="FF0000"/>
          <w:sz w:val="24"/>
          <w:szCs w:val="24"/>
        </w:rPr>
        <w:t xml:space="preserve"> 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Транспортные затраты определяются следующими методами:</w:t>
      </w:r>
    </w:p>
    <w:p>
      <w:pPr>
        <w:pStyle w:val="ListParagraph"/>
        <w:numPr>
          <w:ilvl w:val="1"/>
          <w:numId w:val="18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по доставке материальных ресурсов:</w:t>
      </w:r>
      <w:r>
        <w:rPr>
          <w:rFonts w:cs="Times New Roman" w:ascii="Times New Roman" w:hAnsi="Times New Roman"/>
        </w:rPr>
        <w:t xml:space="preserve"> </w:t>
      </w:r>
    </w:p>
    <w:p>
      <w:pPr>
        <w:pStyle w:val="ConsPlusNormal1"/>
        <w:numPr>
          <w:ilvl w:val="0"/>
          <w:numId w:val="21"/>
        </w:numPr>
        <w:tabs>
          <w:tab w:val="clear" w:pos="708"/>
          <w:tab w:val="left" w:pos="1134" w:leader="none"/>
        </w:tabs>
        <w:ind w:firstLine="709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расчетом с учетом расстояния перевозки, класса грузов, типа транспорта, наличии погрузо-разгрузочных работ, информации о ценах на услуги на перевозку грузов, в зависимости от вида транспорта (ж/д, автомобильный, речной, морской, воздушный), включенных в ФГИС ЦС и в соответствии со сметными нормативами, включенными в ФРСН;</w:t>
      </w:r>
    </w:p>
    <w:p>
      <w:pPr>
        <w:pStyle w:val="ConsPlusNormal1"/>
        <w:widowControl/>
        <w:numPr>
          <w:ilvl w:val="0"/>
          <w:numId w:val="21"/>
        </w:numPr>
        <w:tabs>
          <w:tab w:val="clear" w:pos="708"/>
          <w:tab w:val="left" w:pos="1134" w:leader="none"/>
        </w:tabs>
        <w:ind w:firstLine="709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Методом анализа ТКП в соответствии с Методикой ПЦ;</w:t>
      </w:r>
    </w:p>
    <w:p>
      <w:pPr>
        <w:pStyle w:val="ConsPlusNormal1"/>
        <w:widowControl/>
        <w:numPr>
          <w:ilvl w:val="0"/>
          <w:numId w:val="21"/>
        </w:numPr>
        <w:tabs>
          <w:tab w:val="clear" w:pos="708"/>
          <w:tab w:val="left" w:pos="1134" w:leader="none"/>
        </w:tabs>
        <w:ind w:firstLine="709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размере до 3-х процентов от отпускной цены материальных ресурсов (при невозможности определить затраты указанными выше способами), по решению заказчика.</w:t>
      </w:r>
    </w:p>
    <w:p>
      <w:pPr>
        <w:pStyle w:val="ListParagraph"/>
        <w:numPr>
          <w:ilvl w:val="1"/>
          <w:numId w:val="18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по доставке оборудования</w:t>
      </w:r>
      <w:r>
        <w:rPr>
          <w:rFonts w:cs="Times New Roman" w:ascii="Times New Roman" w:hAnsi="Times New Roman"/>
        </w:rPr>
        <w:t>:</w:t>
      </w:r>
    </w:p>
    <w:p>
      <w:pPr>
        <w:pStyle w:val="ConsPlusNormal1"/>
        <w:widowControl/>
        <w:numPr>
          <w:ilvl w:val="0"/>
          <w:numId w:val="21"/>
        </w:numPr>
        <w:tabs>
          <w:tab w:val="clear" w:pos="708"/>
          <w:tab w:val="left" w:pos="1134" w:leader="none"/>
        </w:tabs>
        <w:ind w:firstLine="709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расчетом с учетом расстояния перевозки, класса грузов, типа транспорта, наличии погрузо-разгрузочных работ, информации о ценах на услуги на перевозку грузов, в зависимости от вида транспорта (ж/д, автомобильный, речной, морской, воздушный), включенных в ФГИС ЦС и в соответствии со сметными нормативами, включенными в ФРСН;</w:t>
      </w:r>
    </w:p>
    <w:p>
      <w:pPr>
        <w:pStyle w:val="ConsPlusNormal1"/>
        <w:widowControl/>
        <w:numPr>
          <w:ilvl w:val="0"/>
          <w:numId w:val="21"/>
        </w:numPr>
        <w:tabs>
          <w:tab w:val="clear" w:pos="708"/>
          <w:tab w:val="left" w:pos="1134" w:leader="none"/>
        </w:tabs>
        <w:ind w:firstLine="709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Методом анализа ТКП в соответствии с Методикой ПЦ;</w:t>
      </w:r>
    </w:p>
    <w:p>
      <w:pPr>
        <w:pStyle w:val="ConsPlusNormal1"/>
        <w:numPr>
          <w:ilvl w:val="0"/>
          <w:numId w:val="21"/>
        </w:numPr>
        <w:tabs>
          <w:tab w:val="clear" w:pos="708"/>
          <w:tab w:val="left" w:pos="284" w:leader="none"/>
          <w:tab w:val="left" w:pos="1134" w:leader="none"/>
        </w:tabs>
        <w:ind w:firstLine="709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размере до 3-х процентов от отпускной цены оборудования (при невозможности определить затраты</w:t>
      </w:r>
      <w:bookmarkStart w:id="132" w:name="_Hlk86255346"/>
      <w:r>
        <w:rPr>
          <w:rFonts w:cs="Times New Roman" w:ascii="Times New Roman" w:hAnsi="Times New Roman"/>
          <w:sz w:val="24"/>
          <w:szCs w:val="24"/>
        </w:rPr>
        <w:t xml:space="preserve"> </w:t>
      </w:r>
      <w:bookmarkEnd w:id="132"/>
      <w:r>
        <w:rPr>
          <w:rFonts w:cs="Times New Roman" w:ascii="Times New Roman" w:hAnsi="Times New Roman"/>
          <w:sz w:val="24"/>
          <w:szCs w:val="24"/>
        </w:rPr>
        <w:t>указанными выше способами), по решению заказчика.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Если транспортировка осуществляется заказчиком самостоятельно (самовывоз), данный показатель не учитывается.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851" w:leader="none"/>
        </w:tabs>
        <w:spacing w:before="0" w:after="0"/>
        <w:ind w:firstLine="709" w:left="0"/>
        <w:contextualSpacing w:val="false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Заготовительно-складские расходы определяются в % от суммы отпускной цены материалов, изделий, конструкций, оборудования и транспортных затрат:</w:t>
      </w:r>
    </w:p>
    <w:p>
      <w:pPr>
        <w:pStyle w:val="ConsPlusNormal1"/>
        <w:numPr>
          <w:ilvl w:val="0"/>
          <w:numId w:val="20"/>
        </w:numPr>
        <w:tabs>
          <w:tab w:val="clear" w:pos="708"/>
          <w:tab w:val="left" w:pos="709" w:leader="none"/>
          <w:tab w:val="left" w:pos="851" w:leader="none"/>
        </w:tabs>
        <w:ind w:firstLine="709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2% -для материальных ресурсов (кроме металлоконструкций);</w:t>
      </w:r>
    </w:p>
    <w:p>
      <w:pPr>
        <w:pStyle w:val="ConsPlusNormal1"/>
        <w:numPr>
          <w:ilvl w:val="0"/>
          <w:numId w:val="20"/>
        </w:numPr>
        <w:tabs>
          <w:tab w:val="clear" w:pos="708"/>
          <w:tab w:val="left" w:pos="709" w:leader="none"/>
          <w:tab w:val="left" w:pos="851" w:leader="none"/>
        </w:tabs>
        <w:ind w:firstLine="709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0,75%- для металлоконструкций;</w:t>
      </w:r>
    </w:p>
    <w:p>
      <w:pPr>
        <w:pStyle w:val="ConsPlusNormal1"/>
        <w:numPr>
          <w:ilvl w:val="0"/>
          <w:numId w:val="20"/>
        </w:numPr>
        <w:tabs>
          <w:tab w:val="clear" w:pos="708"/>
          <w:tab w:val="left" w:pos="709" w:leader="none"/>
          <w:tab w:val="left" w:pos="851" w:leader="none"/>
        </w:tabs>
        <w:ind w:firstLine="709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1,2% - для оборудования.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709" w:leader="none"/>
          <w:tab w:val="left" w:pos="851" w:leader="none"/>
        </w:tabs>
        <w:spacing w:before="0" w:after="0"/>
        <w:ind w:firstLine="709" w:left="0"/>
        <w:contextualSpacing w:val="false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</w:rPr>
        <w:t>Затраты на эксплуатацию строительной техники, не учтенной нормами и расценками, включенными в ФРСН, определяются Методом анализа ТКП в соответствии с Методикой ПЦ и включаются в Главу 9 ССРСС</w:t>
      </w:r>
      <w:r>
        <w:rPr>
          <w:rFonts w:cs="Times New Roman" w:ascii="Times New Roman" w:hAnsi="Times New Roman"/>
          <w:b/>
          <w:color w:val="FF0000"/>
        </w:rPr>
        <w:t>.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709" w:leader="none"/>
          <w:tab w:val="left" w:pos="851" w:leader="none"/>
          <w:tab w:val="left" w:pos="1276" w:leader="none"/>
        </w:tabs>
        <w:spacing w:before="0" w:after="0"/>
        <w:ind w:firstLine="709" w:left="0"/>
        <w:contextualSpacing w:val="false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При формировании сметной стоимости в ЛСР (ЛС) отдельно выделяется сметная стоимость по видам оборудования: инженерное; технологическое; лабораторное; транспортные средства; инструмент для технологических процессов; производственный и хозяйственный инвентарь, в т.ч. мебель.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709" w:leader="none"/>
          <w:tab w:val="left" w:pos="851" w:leader="none"/>
          <w:tab w:val="left" w:pos="1276" w:leader="none"/>
        </w:tabs>
        <w:spacing w:before="0" w:after="0"/>
        <w:ind w:firstLine="709" w:left="0"/>
        <w:contextualSpacing w:val="false"/>
        <w:jc w:val="both"/>
        <w:rPr>
          <w:rFonts w:ascii="Times New Roman" w:hAnsi="Times New Roman" w:cs="Times New Roman"/>
          <w:color w:val="000000"/>
          <w:spacing w:val="-8"/>
        </w:rPr>
      </w:pPr>
      <w:r>
        <w:rPr>
          <w:rFonts w:cs="Times New Roman" w:ascii="Times New Roman" w:hAnsi="Times New Roman"/>
          <w:spacing w:val="-8"/>
        </w:rPr>
        <w:t>При использовании в сметах коэффициентов и лимитированных затрат указывать обоснование из технической части, вводных указаний сборников или других нормативных документов и приложений к ним.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709" w:leader="none"/>
          <w:tab w:val="left" w:pos="851" w:leader="none"/>
          <w:tab w:val="left" w:pos="1276" w:leader="none"/>
        </w:tabs>
        <w:spacing w:before="0" w:after="0"/>
        <w:ind w:firstLine="709" w:left="0"/>
        <w:contextualSpacing w:val="false"/>
        <w:jc w:val="both"/>
        <w:rPr>
          <w:rFonts w:ascii="Times New Roman" w:hAnsi="Times New Roman" w:cs="Times New Roman"/>
          <w:color w:val="000000"/>
          <w:spacing w:val="-4"/>
        </w:rPr>
      </w:pPr>
      <w:r>
        <w:rPr>
          <w:rFonts w:cs="Times New Roman" w:ascii="Times New Roman" w:hAnsi="Times New Roman"/>
          <w:color w:val="000000"/>
          <w:spacing w:val="-4"/>
        </w:rPr>
        <w:t>Поправочные коэффициенты из технической части к расценкам (например, на демонтаж или для учета особых условий выполнения работ) учитываются индивидуально для каждой позиции и в выходных формах при выгрузке в формат «Excel» и указываются попозиционно.</w:t>
      </w:r>
      <w:r>
        <w:rPr>
          <w:rFonts w:cs="Times New Roman" w:ascii="Times New Roman" w:hAnsi="Times New Roman"/>
          <w:color w:val="FF0000"/>
          <w:spacing w:val="-4"/>
        </w:rPr>
        <w:t xml:space="preserve"> </w:t>
      </w:r>
      <w:r>
        <w:rPr>
          <w:rFonts w:cs="Times New Roman" w:ascii="Times New Roman" w:hAnsi="Times New Roman"/>
          <w:spacing w:val="-4"/>
        </w:rPr>
        <w:t>Коэффициенты, учитывающие усложняющие факторы и условия производства работ, могут применяться одновременно с другими коэффициентами, предусмотренными сметными нормативами, включенными в ФРСН. При одновременном применении коэффициенты перемножаются, результат округляется до семи знаков после запятой.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709" w:leader="none"/>
          <w:tab w:val="left" w:pos="851" w:leader="none"/>
          <w:tab w:val="left" w:pos="1276" w:leader="none"/>
        </w:tabs>
        <w:spacing w:before="0" w:after="0"/>
        <w:ind w:firstLine="709" w:left="0"/>
        <w:contextualSpacing w:val="false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При внесении изменений в сметную документацию разрабатывается сводный сметный </w:t>
      </w:r>
    </w:p>
    <w:p>
      <w:pPr>
        <w:pStyle w:val="Normal"/>
        <w:tabs>
          <w:tab w:val="clear" w:pos="708"/>
          <w:tab w:val="left" w:pos="284" w:leader="none"/>
          <w:tab w:val="left" w:pos="709" w:leader="none"/>
          <w:tab w:val="left" w:pos="851" w:leader="none"/>
        </w:tabs>
        <w:ind w:firstLine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расчет, определяющий общую сметную стоимость строительства с учетом произведенных изменений проектной и (или) иной технической документации на полный объем работ с учетом объемов корректировки (исключаемых и дополнительных). Локальные сметные расчеты (сметы) разрабатываются отдельно на исключаемые и дополнительные объемы работ.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284" w:leader="none"/>
          <w:tab w:val="left" w:pos="709" w:leader="none"/>
          <w:tab w:val="left" w:pos="851" w:leader="none"/>
          <w:tab w:val="left" w:pos="1276" w:leader="none"/>
        </w:tabs>
        <w:spacing w:before="0" w:after="0"/>
        <w:ind w:firstLine="709" w:left="0"/>
        <w:contextualSpacing w:val="false"/>
        <w:jc w:val="both"/>
        <w:rPr>
          <w:rFonts w:ascii="Times New Roman" w:hAnsi="Times New Roman" w:cs="Times New Roman"/>
          <w:spacing w:val="-4"/>
        </w:rPr>
      </w:pPr>
      <w:r>
        <w:rPr>
          <w:rFonts w:cs="Times New Roman" w:ascii="Times New Roman" w:hAnsi="Times New Roman"/>
          <w:color w:val="000000"/>
          <w:spacing w:val="-4"/>
        </w:rPr>
        <w:t>Затраты</w:t>
      </w:r>
      <w:r>
        <w:rPr>
          <w:rFonts w:cs="Times New Roman" w:ascii="Times New Roman" w:hAnsi="Times New Roman"/>
          <w:spacing w:val="-4"/>
        </w:rPr>
        <w:t xml:space="preserve"> на возведение временных зданий и сооружений учитывать в том случае, если они указаны в ПОС, Технических требованиях. Размер средств на устройство и ликвидацию временных зданий и сооружений определяются одним из способов: нормативным методом с применением нормативов затрат на строительство титульных временных зданий и сооружений, сведения о которых включены в ФРСН, расчетным методом на основании ЛСР (ЛС) или калькуляций, в соответствии с данными ПОС. Порядок расчета за возведенные временные здания и сооружения оговаривать в договоре подряда.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709" w:leader="none"/>
          <w:tab w:val="left" w:pos="851" w:leader="none"/>
          <w:tab w:val="left" w:pos="1276" w:leader="none"/>
        </w:tabs>
        <w:spacing w:before="0" w:after="0"/>
        <w:ind w:firstLine="709" w:left="0"/>
        <w:contextualSpacing w:val="false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color w:val="000000"/>
        </w:rPr>
        <w:t>Резерв</w:t>
      </w:r>
      <w:r>
        <w:rPr>
          <w:rFonts w:cs="Times New Roman" w:ascii="Times New Roman" w:hAnsi="Times New Roman"/>
        </w:rPr>
        <w:t xml:space="preserve"> средств на непредвиденные работы и затраты определять в Технических </w:t>
      </w:r>
    </w:p>
    <w:p>
      <w:pPr>
        <w:pStyle w:val="ConsPlusNormal1"/>
        <w:widowControl/>
        <w:tabs>
          <w:tab w:val="clear" w:pos="708"/>
          <w:tab w:val="left" w:pos="284" w:leader="none"/>
          <w:tab w:val="left" w:pos="709" w:leader="none"/>
          <w:tab w:val="left" w:pos="851" w:leader="none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требованиях и начислять в смете в процентах в размере, указанном в утвержденных Технических требованиях. Порядок расчета за непредвиденные работы и затраты оговаривать в договоре подряда.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284" w:leader="none"/>
          <w:tab w:val="left" w:pos="709" w:leader="none"/>
          <w:tab w:val="left" w:pos="851" w:leader="none"/>
          <w:tab w:val="left" w:pos="1276" w:leader="none"/>
        </w:tabs>
        <w:spacing w:before="0" w:after="0"/>
        <w:ind w:firstLine="709" w:left="0"/>
        <w:contextualSpacing w:val="false"/>
        <w:jc w:val="both"/>
        <w:rPr>
          <w:rFonts w:ascii="Times New Roman" w:hAnsi="Times New Roman" w:cs="Times New Roman"/>
          <w:spacing w:val="-8"/>
        </w:rPr>
      </w:pPr>
      <w:r>
        <w:rPr>
          <w:rFonts w:cs="Times New Roman" w:ascii="Times New Roman" w:hAnsi="Times New Roman"/>
          <w:spacing w:val="-8"/>
        </w:rPr>
        <w:t xml:space="preserve">В </w:t>
      </w:r>
      <w:r>
        <w:rPr>
          <w:rFonts w:cs="Times New Roman" w:ascii="Times New Roman" w:hAnsi="Times New Roman"/>
          <w:color w:val="000000"/>
          <w:spacing w:val="-8"/>
        </w:rPr>
        <w:t>ЛСР</w:t>
      </w:r>
      <w:r>
        <w:rPr>
          <w:rFonts w:cs="Times New Roman" w:ascii="Times New Roman" w:hAnsi="Times New Roman"/>
          <w:spacing w:val="-8"/>
        </w:rPr>
        <w:t xml:space="preserve"> (ЛС) указывать величину накладных расходов по видам строительных, ремонтно-строительных, монтажных и пусконаладочных работ, на основании нормативных документов, внесенных в ФРСН.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284" w:leader="none"/>
          <w:tab w:val="left" w:pos="709" w:leader="none"/>
          <w:tab w:val="left" w:pos="851" w:leader="none"/>
          <w:tab w:val="left" w:pos="1276" w:leader="none"/>
        </w:tabs>
        <w:spacing w:before="0" w:after="0"/>
        <w:ind w:firstLine="709" w:left="0"/>
        <w:contextualSpacing w:val="false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В </w:t>
      </w:r>
      <w:r>
        <w:rPr>
          <w:rFonts w:cs="Times New Roman" w:ascii="Times New Roman" w:hAnsi="Times New Roman"/>
          <w:color w:val="000000"/>
        </w:rPr>
        <w:t>ЛСР</w:t>
      </w:r>
      <w:r>
        <w:rPr>
          <w:rFonts w:cs="Times New Roman" w:ascii="Times New Roman" w:hAnsi="Times New Roman"/>
        </w:rPr>
        <w:t xml:space="preserve"> (ЛС) указывать величину сметной прибыли по видам строительных, ремонтно-строительных, монтажных и пусконаладочных работ, на основании актуальных нормативных документов, внесенных в ФРСН.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284" w:leader="none"/>
          <w:tab w:val="left" w:pos="709" w:leader="none"/>
          <w:tab w:val="left" w:pos="851" w:leader="none"/>
          <w:tab w:val="left" w:pos="1276" w:leader="none"/>
        </w:tabs>
        <w:spacing w:before="0" w:after="0"/>
        <w:ind w:firstLine="709" w:left="0"/>
        <w:contextualSpacing w:val="false"/>
        <w:jc w:val="both"/>
        <w:rPr>
          <w:rFonts w:ascii="Times New Roman" w:hAnsi="Times New Roman" w:cs="Times New Roman"/>
          <w:spacing w:val="-4"/>
        </w:rPr>
      </w:pPr>
      <w:r>
        <w:rPr>
          <w:rFonts w:cs="Times New Roman" w:ascii="Times New Roman" w:hAnsi="Times New Roman"/>
          <w:color w:val="000000"/>
          <w:spacing w:val="-4"/>
        </w:rPr>
        <w:t>Сметная</w:t>
      </w:r>
      <w:r>
        <w:rPr>
          <w:rFonts w:cs="Times New Roman" w:ascii="Times New Roman" w:hAnsi="Times New Roman"/>
          <w:spacing w:val="-4"/>
        </w:rPr>
        <w:t xml:space="preserve"> стоимость пусконаладочных работ определяется на основании утвержденных заказчиком программы и графика. Расчет стоимости пусконаладочных работ составлять с применением сметных нормативов, включенных в ФРСН. При определении сметной стоимости полного комплекса пусконаладочных работ на основании раздела </w:t>
      </w:r>
      <w:r>
        <w:rPr>
          <w:rFonts w:cs="Times New Roman" w:ascii="Times New Roman" w:hAnsi="Times New Roman"/>
          <w:spacing w:val="-4"/>
          <w:lang w:val="en-US"/>
        </w:rPr>
        <w:t>VII</w:t>
      </w:r>
      <w:r>
        <w:rPr>
          <w:rFonts w:cs="Times New Roman" w:ascii="Times New Roman" w:hAnsi="Times New Roman"/>
          <w:spacing w:val="-4"/>
        </w:rPr>
        <w:t xml:space="preserve">. Методики определения сметной стоимости строительства: </w:t>
      </w:r>
    </w:p>
    <w:p>
      <w:pPr>
        <w:pStyle w:val="ConsPlusNormal1"/>
        <w:numPr>
          <w:ilvl w:val="0"/>
          <w:numId w:val="16"/>
        </w:numPr>
        <w:tabs>
          <w:tab w:val="clear" w:pos="708"/>
          <w:tab w:val="left" w:pos="709" w:leader="none"/>
          <w:tab w:val="left" w:pos="851" w:leader="none"/>
          <w:tab w:val="left" w:pos="1134" w:leader="none"/>
        </w:tabs>
        <w:ind w:firstLine="709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Затраты на проведение пусконаладочных работ «вхолостую» по объектам производственного и непроизводственного назначения, связанных с получением дохода от реализации товаров (услуг) включаются в Главу 9 «Прочие работы и затраты» (графы 7 и 8) ССРСС. В соответствии с заданием Заказчика и при обосновании программами ПНР (комплексного опробования оборудования), в сметной стоимости ПНР дополнительно могут учитываться: стоимость материальных, энергетических ресурсов, сырья и полуфабрикатов, используемых при проведении ПНР «вхолостую».</w:t>
      </w:r>
    </w:p>
    <w:p>
      <w:pPr>
        <w:pStyle w:val="ConsPlusNormal1"/>
        <w:numPr>
          <w:ilvl w:val="0"/>
          <w:numId w:val="16"/>
        </w:numPr>
        <w:tabs>
          <w:tab w:val="clear" w:pos="708"/>
          <w:tab w:val="left" w:pos="709" w:leader="none"/>
          <w:tab w:val="left" w:pos="851" w:leader="none"/>
          <w:tab w:val="left" w:pos="1134" w:leader="none"/>
        </w:tabs>
        <w:ind w:firstLine="709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Пусконаладочные работы «под нагрузкой» для объектов производственного и непроизводственного назначения, связанных с получением дохода от реализации товаров (услуг) не относятся на сметную стоимость строительства и в сметной документации не учитываются. Исключением являются ПНР на особо опасных, технически сложных и уникальных объектах капитального строительства, где необходимость учета таких затрат определяется заказчиком.</w:t>
      </w:r>
    </w:p>
    <w:p>
      <w:pPr>
        <w:pStyle w:val="ConsPlusNormal1"/>
        <w:tabs>
          <w:tab w:val="clear" w:pos="708"/>
          <w:tab w:val="left" w:pos="709" w:leader="none"/>
          <w:tab w:val="left" w:pos="851" w:leader="none"/>
        </w:tabs>
        <w:ind w:firstLine="709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>
        <w:rPr>
          <w:rFonts w:cs="Times New Roman" w:ascii="Times New Roman" w:hAnsi="Times New Roman"/>
          <w:spacing w:val="-6"/>
          <w:sz w:val="24"/>
          <w:szCs w:val="24"/>
        </w:rPr>
        <w:t xml:space="preserve">Данные работы оформляются отдельными локальными сметами в соответствии </w:t>
      </w:r>
      <w:r>
        <w:rPr>
          <w:rFonts w:cs="Times New Roman" w:ascii="Times New Roman" w:hAnsi="Times New Roman"/>
          <w:color w:val="000000"/>
          <w:spacing w:val="-6"/>
          <w:sz w:val="24"/>
          <w:szCs w:val="24"/>
        </w:rPr>
        <w:t xml:space="preserve">с Приложением № 1.5 к Требованиям по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 и включаются в ССР. 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709" w:leader="none"/>
          <w:tab w:val="left" w:pos="851" w:leader="none"/>
          <w:tab w:val="left" w:pos="1276" w:leader="none"/>
        </w:tabs>
        <w:spacing w:before="0" w:after="0"/>
        <w:ind w:firstLine="709" w:left="0"/>
        <w:contextualSpacing w:val="false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color w:val="000000"/>
        </w:rPr>
        <w:t>Стоимость</w:t>
      </w:r>
      <w:r>
        <w:rPr>
          <w:rFonts w:cs="Times New Roman" w:ascii="Times New Roman" w:hAnsi="Times New Roman"/>
        </w:rPr>
        <w:t xml:space="preserve"> шеф - монтажных и шеф - наладочных работ включается в сметную стоимость оборудования и может определяться отдельными расчетами. Расчет стоимости шеф - монтажных работ выполняется по форме 3П с предоставлением подтверждающих документов по уровню заработной платы, удельному весу накладных расходов в себестоимости, уровню рентабельности </w:t>
      </w:r>
      <w:r>
        <w:rPr>
          <w:rFonts w:cs="Times New Roman" w:ascii="Times New Roman" w:hAnsi="Times New Roman"/>
          <w:color w:val="000000"/>
        </w:rPr>
        <w:t>(образец формы расчета представлен в Приложении № 2 к Требованиям к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перевооружению).</w:t>
      </w:r>
      <w:r>
        <w:rPr>
          <w:rFonts w:cs="Times New Roman" w:ascii="Times New Roman" w:hAnsi="Times New Roman"/>
        </w:rPr>
        <w:t xml:space="preserve"> Участник (подрядчик, контрагент) представляет смету на шеф-монтажные работы в соответствии с графиком выполнения работ.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709" w:leader="none"/>
          <w:tab w:val="left" w:pos="851" w:leader="none"/>
          <w:tab w:val="left" w:pos="1276" w:leader="none"/>
        </w:tabs>
        <w:spacing w:before="0" w:after="0"/>
        <w:ind w:firstLine="709" w:left="0"/>
        <w:contextualSpacing w:val="false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При необходимости учета командировочных расходов в сметной документации составляется расчет. Размер суточных командировочных расходов определять в соответствии с Федеральным законодательством и с учетом норм, определяемых внутренним документом организации.</w:t>
      </w:r>
    </w:p>
    <w:p>
      <w:pPr>
        <w:pStyle w:val="ConsPlusNormal1"/>
        <w:widowControl/>
        <w:tabs>
          <w:tab w:val="clear" w:pos="708"/>
          <w:tab w:val="left" w:pos="284" w:leader="none"/>
          <w:tab w:val="left" w:pos="709" w:leader="none"/>
          <w:tab w:val="left" w:pos="851" w:leader="none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Лимиты командировочных расходов при производстве СМР и ПНР по статьям затрат следующие:</w:t>
      </w:r>
    </w:p>
    <w:p>
      <w:pPr>
        <w:pStyle w:val="ConsPlusNormal1"/>
        <w:numPr>
          <w:ilvl w:val="0"/>
          <w:numId w:val="16"/>
        </w:numPr>
        <w:tabs>
          <w:tab w:val="clear" w:pos="708"/>
          <w:tab w:val="left" w:pos="284" w:leader="none"/>
          <w:tab w:val="left" w:pos="709" w:leader="none"/>
          <w:tab w:val="left" w:pos="851" w:leader="none"/>
        </w:tabs>
        <w:ind w:firstLine="709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суточные - 700 руб./сутки;</w:t>
      </w:r>
    </w:p>
    <w:p>
      <w:pPr>
        <w:pStyle w:val="ConsPlusNormal1"/>
        <w:numPr>
          <w:ilvl w:val="0"/>
          <w:numId w:val="16"/>
        </w:numPr>
        <w:tabs>
          <w:tab w:val="clear" w:pos="708"/>
          <w:tab w:val="left" w:pos="284" w:leader="none"/>
          <w:tab w:val="left" w:pos="709" w:leader="none"/>
          <w:tab w:val="left" w:pos="851" w:leader="none"/>
        </w:tabs>
        <w:ind w:firstLine="709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проживание – 5000 руб./сутки;</w:t>
      </w:r>
    </w:p>
    <w:p>
      <w:pPr>
        <w:pStyle w:val="ConsPlusNormal1"/>
        <w:numPr>
          <w:ilvl w:val="0"/>
          <w:numId w:val="16"/>
        </w:numPr>
        <w:tabs>
          <w:tab w:val="clear" w:pos="708"/>
          <w:tab w:val="left" w:pos="284" w:leader="none"/>
          <w:tab w:val="left" w:pos="709" w:leader="none"/>
          <w:tab w:val="left" w:pos="851" w:leader="none"/>
        </w:tabs>
        <w:ind w:firstLine="709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проезд: поезд (купе) или самолет (класс–эконом с багажом до 20 (двадцати) кг, ручная кладь до 10 (десяти) кг).</w:t>
      </w:r>
    </w:p>
    <w:p>
      <w:pPr>
        <w:pStyle w:val="ConsPlusNormal1"/>
        <w:tabs>
          <w:tab w:val="clear" w:pos="708"/>
          <w:tab w:val="left" w:pos="284" w:leader="none"/>
          <w:tab w:val="left" w:pos="709" w:leader="none"/>
          <w:tab w:val="left" w:pos="851" w:leader="none"/>
        </w:tabs>
        <w:ind w:firstLine="709"/>
        <w:jc w:val="both"/>
        <w:rPr>
          <w:rFonts w:ascii="Times New Roman" w:hAnsi="Times New Roman" w:cs="Times New Roman"/>
          <w:b/>
          <w:i/>
          <w:i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i/>
          <w:color w:val="000000"/>
          <w:sz w:val="24"/>
          <w:szCs w:val="24"/>
        </w:rPr>
        <w:t>Данные лимиты могут быть пересмотрены на этапе согласования технических требований.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709" w:leader="none"/>
          <w:tab w:val="left" w:pos="851" w:leader="none"/>
          <w:tab w:val="left" w:pos="1276" w:leader="none"/>
        </w:tabs>
        <w:spacing w:before="0" w:after="0"/>
        <w:ind w:firstLine="709" w:left="0"/>
        <w:contextualSpacing w:val="false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При определении сметных затрат на демонтаж строительных конструкций и оборудования стоимость погрузки, перевозки (от строительной площадки до места утилизации или складирования) и разгрузки строительного мусора и материалов, полученных при разборке строительных конструкций и оборудования, следует учитывать дополнительно, на основании проектной и (или) иной технической документации, проекта организации работ по сносу объекта капитального строительства.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709" w:leader="none"/>
          <w:tab w:val="left" w:pos="851" w:leader="none"/>
          <w:tab w:val="left" w:pos="1276" w:leader="none"/>
        </w:tabs>
        <w:spacing w:before="0" w:after="0"/>
        <w:ind w:firstLine="709" w:left="0"/>
        <w:contextualSpacing w:val="false"/>
        <w:jc w:val="both"/>
        <w:rPr>
          <w:rFonts w:ascii="Times New Roman" w:hAnsi="Times New Roman" w:cs="Times New Roman"/>
          <w:b/>
          <w:u w:val="single"/>
        </w:rPr>
      </w:pPr>
      <w:r>
        <w:rPr>
          <w:rFonts w:cs="Times New Roman" w:ascii="Times New Roman" w:hAnsi="Times New Roman"/>
        </w:rPr>
        <w:t xml:space="preserve">В </w:t>
      </w:r>
      <w:r>
        <w:rPr>
          <w:rFonts w:cs="Times New Roman" w:ascii="Times New Roman" w:hAnsi="Times New Roman"/>
          <w:color w:val="000000"/>
        </w:rPr>
        <w:t>локальных</w:t>
      </w:r>
      <w:r>
        <w:rPr>
          <w:rFonts w:cs="Times New Roman" w:ascii="Times New Roman" w:hAnsi="Times New Roman"/>
        </w:rPr>
        <w:t xml:space="preserve"> сметных расчетах построчные и итоговые суммы </w:t>
      </w:r>
      <w:r>
        <w:rPr>
          <w:rFonts w:cs="Times New Roman" w:ascii="Times New Roman" w:hAnsi="Times New Roman"/>
          <w:b/>
          <w:u w:val="single"/>
        </w:rPr>
        <w:t>округлять:</w:t>
      </w:r>
    </w:p>
    <w:p>
      <w:pPr>
        <w:pStyle w:val="ConsPlusNormal1"/>
        <w:numPr>
          <w:ilvl w:val="0"/>
          <w:numId w:val="16"/>
        </w:numPr>
        <w:tabs>
          <w:tab w:val="clear" w:pos="708"/>
          <w:tab w:val="left" w:pos="709" w:leader="none"/>
          <w:tab w:val="left" w:pos="851" w:leader="none"/>
          <w:tab w:val="left" w:pos="1134" w:leader="none"/>
        </w:tabs>
        <w:ind w:firstLine="709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 базисно-индексном методе до двух знаков после запятой (до копеек)</w:t>
      </w:r>
      <w:r>
        <w:rPr>
          <w:rFonts w:cs="Times New Roman" w:ascii="Times New Roman" w:hAnsi="Times New Roman"/>
          <w:b/>
          <w:sz w:val="24"/>
          <w:szCs w:val="24"/>
        </w:rPr>
        <w:t>.</w:t>
      </w:r>
    </w:p>
    <w:p>
      <w:pPr>
        <w:pStyle w:val="ConsPlusNormal1"/>
        <w:numPr>
          <w:ilvl w:val="0"/>
          <w:numId w:val="16"/>
        </w:numPr>
        <w:tabs>
          <w:tab w:val="clear" w:pos="708"/>
          <w:tab w:val="left" w:pos="709" w:leader="none"/>
          <w:tab w:val="left" w:pos="851" w:leader="none"/>
          <w:tab w:val="left" w:pos="1134" w:leader="none"/>
        </w:tabs>
        <w:ind w:firstLine="709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объектных сметных расчетах (сметах), сводном сметном расчете и сводке затрат - в рублях с до двух знаков после запятой. Величину НДС не указывать.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709" w:leader="none"/>
          <w:tab w:val="left" w:pos="851" w:leader="none"/>
          <w:tab w:val="left" w:pos="1276" w:leader="none"/>
        </w:tabs>
        <w:spacing w:before="0" w:after="0"/>
        <w:ind w:firstLine="709" w:left="0"/>
        <w:contextualSpacing w:val="false"/>
        <w:jc w:val="both"/>
        <w:rPr>
          <w:rFonts w:ascii="Times New Roman" w:hAnsi="Times New Roman" w:cs="Times New Roman"/>
          <w:spacing w:val="-8"/>
        </w:rPr>
      </w:pPr>
      <w:r>
        <w:rPr>
          <w:rFonts w:cs="Times New Roman" w:ascii="Times New Roman" w:hAnsi="Times New Roman"/>
          <w:color w:val="000000"/>
          <w:spacing w:val="-8"/>
        </w:rPr>
        <w:t>Выходные</w:t>
      </w:r>
      <w:r>
        <w:rPr>
          <w:rFonts w:cs="Times New Roman" w:ascii="Times New Roman" w:hAnsi="Times New Roman"/>
          <w:spacing w:val="-8"/>
        </w:rPr>
        <w:t xml:space="preserve"> формы сметных расчетов должны соответствовать Образцу согласно Приложению 1.5.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709" w:leader="none"/>
          <w:tab w:val="left" w:pos="851" w:leader="none"/>
          <w:tab w:val="left" w:pos="1276" w:leader="none"/>
        </w:tabs>
        <w:spacing w:before="0" w:after="0"/>
        <w:ind w:firstLine="709" w:left="0"/>
        <w:contextualSpacing w:val="false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В связи с предоставлением Заказчиком услуг, указанных в разделе Технических требований «Иные условия поставки товаров, выполнения работ, оказания услуг»</w:t>
      </w:r>
      <w:r>
        <w:rPr>
          <w:rStyle w:val="FootnoteReference"/>
          <w:rFonts w:cs="Times New Roman" w:ascii="Times New Roman" w:hAnsi="Times New Roman"/>
        </w:rPr>
        <w:footnoteReference w:id="4"/>
      </w:r>
      <w:r>
        <w:rPr>
          <w:rFonts w:cs="Times New Roman" w:ascii="Times New Roman" w:hAnsi="Times New Roman"/>
        </w:rPr>
        <w:t>:</w:t>
      </w:r>
    </w:p>
    <w:p>
      <w:pPr>
        <w:pStyle w:val="ConsPlusNormal1"/>
        <w:widowControl/>
        <w:numPr>
          <w:ilvl w:val="1"/>
          <w:numId w:val="18"/>
        </w:numPr>
        <w:tabs>
          <w:tab w:val="clear" w:pos="708"/>
          <w:tab w:val="left" w:pos="709" w:leader="none"/>
          <w:tab w:val="left" w:pos="851" w:leader="none"/>
          <w:tab w:val="left" w:pos="1560" w:leader="none"/>
        </w:tabs>
        <w:ind w:firstLine="709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В </w:t>
      </w:r>
      <w:r>
        <w:rPr>
          <w:rFonts w:cs="Times New Roman" w:ascii="Times New Roman" w:hAnsi="Times New Roman"/>
          <w:color w:val="000000"/>
          <w:sz w:val="24"/>
          <w:szCs w:val="24"/>
        </w:rPr>
        <w:t>сметной</w:t>
      </w:r>
      <w:r>
        <w:rPr>
          <w:rFonts w:cs="Times New Roman" w:ascii="Times New Roman" w:hAnsi="Times New Roman"/>
          <w:sz w:val="24"/>
          <w:szCs w:val="24"/>
        </w:rPr>
        <w:t xml:space="preserve"> документации при определении стоимости работ по расценкам, указанным в сборниках «Базовых цен на работы по ремонту энергетического оборудования», затраты на услуги, предоставляемые Заказчиком подрядным организациям не учитывать. </w:t>
      </w:r>
    </w:p>
    <w:p>
      <w:pPr>
        <w:pStyle w:val="ConsPlusNormal1"/>
        <w:widowControl/>
        <w:numPr>
          <w:ilvl w:val="1"/>
          <w:numId w:val="18"/>
        </w:numPr>
        <w:tabs>
          <w:tab w:val="clear" w:pos="708"/>
          <w:tab w:val="left" w:pos="709" w:leader="none"/>
          <w:tab w:val="left" w:pos="851" w:leader="none"/>
          <w:tab w:val="left" w:pos="1560" w:leader="none"/>
        </w:tabs>
        <w:ind w:firstLine="709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Из норм и расценок, внесенных в ФРСН, при составлении сметной документации исключать затраты:</w:t>
      </w:r>
    </w:p>
    <w:p>
      <w:pPr>
        <w:pStyle w:val="ConsPlusNormal1"/>
        <w:widowControl/>
        <w:numPr>
          <w:ilvl w:val="2"/>
          <w:numId w:val="18"/>
        </w:numPr>
        <w:tabs>
          <w:tab w:val="clear" w:pos="708"/>
          <w:tab w:val="left" w:pos="709" w:leader="none"/>
          <w:tab w:val="left" w:pos="851" w:leader="none"/>
          <w:tab w:val="left" w:pos="1560" w:leader="none"/>
        </w:tabs>
        <w:ind w:firstLine="709" w:left="0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>
        <w:rPr>
          <w:rFonts w:cs="Times New Roman" w:ascii="Times New Roman" w:hAnsi="Times New Roman"/>
          <w:spacing w:val="-12"/>
          <w:sz w:val="24"/>
          <w:szCs w:val="24"/>
        </w:rPr>
        <w:t>По предоставляемым грузоподъемным механизмам, учтенным в составе сметных норм и расценок:</w:t>
      </w:r>
    </w:p>
    <w:p>
      <w:pPr>
        <w:pStyle w:val="ConsPlusNormal1"/>
        <w:numPr>
          <w:ilvl w:val="0"/>
          <w:numId w:val="19"/>
        </w:numPr>
        <w:tabs>
          <w:tab w:val="clear" w:pos="708"/>
          <w:tab w:val="left" w:pos="709" w:leader="none"/>
          <w:tab w:val="left" w:pos="851" w:leader="none"/>
          <w:tab w:val="left" w:pos="1701" w:leader="none"/>
        </w:tabs>
        <w:ind w:firstLine="709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Исключать из норм и расценок предоставляемые грузоподъемные механизмы. </w:t>
      </w:r>
    </w:p>
    <w:p>
      <w:pPr>
        <w:pStyle w:val="ConsPlusNormal1"/>
        <w:widowControl/>
        <w:tabs>
          <w:tab w:val="clear" w:pos="708"/>
          <w:tab w:val="left" w:pos="709" w:leader="none"/>
          <w:tab w:val="left" w:pos="851" w:leader="none"/>
          <w:tab w:val="left" w:pos="1418" w:leader="none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случае использования подрядчиком собственных/арендованных механизмов полностью, либо частично, для выполнения конкретной работы на строительной площадке, из расценки на выполнение данных работ грузоподъемные механизмы не исключаются</w:t>
      </w:r>
    </w:p>
    <w:p>
      <w:pPr>
        <w:pStyle w:val="ConsPlusNormal1"/>
        <w:widowControl/>
        <w:numPr>
          <w:ilvl w:val="2"/>
          <w:numId w:val="18"/>
        </w:numPr>
        <w:tabs>
          <w:tab w:val="clear" w:pos="708"/>
          <w:tab w:val="left" w:pos="709" w:leader="none"/>
          <w:tab w:val="left" w:pos="851" w:leader="none"/>
          <w:tab w:val="left" w:pos="1701" w:leader="none"/>
        </w:tabs>
        <w:ind w:firstLine="709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 предоставляемой электроэнергии (в том числе, в составе стоимости машино-часа):</w:t>
      </w:r>
    </w:p>
    <w:p>
      <w:pPr>
        <w:pStyle w:val="ConsPlusNormal1"/>
        <w:numPr>
          <w:ilvl w:val="0"/>
          <w:numId w:val="19"/>
        </w:numPr>
        <w:tabs>
          <w:tab w:val="clear" w:pos="708"/>
          <w:tab w:val="left" w:pos="709" w:leader="none"/>
          <w:tab w:val="left" w:pos="851" w:leader="none"/>
          <w:tab w:val="left" w:pos="1701" w:leader="none"/>
        </w:tabs>
        <w:ind w:firstLine="709" w:left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cs="Times New Roman" w:ascii="Times New Roman" w:hAnsi="Times New Roman"/>
          <w:spacing w:val="-4"/>
          <w:sz w:val="24"/>
          <w:szCs w:val="24"/>
        </w:rPr>
        <w:t>Рассчитанная сумма возврата стоимости электрической энергии (со знаком «–») учитывается в последней главе ССРСС, где имеется смета на СМР (как правило, в главах 1-7, если затраты по главе 8 определены на основании смет, то сумма возврата стоимости электрической энергии учитывается в главе 8)</w:t>
      </w:r>
      <w:r>
        <w:rPr>
          <w:rStyle w:val="FootnoteReference"/>
          <w:rFonts w:cs="Times New Roman" w:ascii="Times New Roman" w:hAnsi="Times New Roman"/>
          <w:spacing w:val="-4"/>
          <w:sz w:val="24"/>
          <w:szCs w:val="24"/>
        </w:rPr>
        <w:footnoteReference w:id="5"/>
      </w:r>
      <w:r>
        <w:rPr>
          <w:rFonts w:cs="Times New Roman" w:ascii="Times New Roman" w:hAnsi="Times New Roman"/>
          <w:spacing w:val="-4"/>
          <w:sz w:val="24"/>
          <w:szCs w:val="24"/>
        </w:rPr>
        <w:t>.</w:t>
      </w:r>
    </w:p>
    <w:p>
      <w:pPr>
        <w:pStyle w:val="ConsPlusNormal1"/>
        <w:numPr>
          <w:ilvl w:val="0"/>
          <w:numId w:val="19"/>
        </w:numPr>
        <w:tabs>
          <w:tab w:val="clear" w:pos="708"/>
          <w:tab w:val="left" w:pos="709" w:leader="none"/>
          <w:tab w:val="left" w:pos="851" w:leader="none"/>
          <w:tab w:val="left" w:pos="1701" w:leader="none"/>
        </w:tabs>
        <w:ind w:firstLine="709" w:left="0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cs="Times New Roman" w:ascii="Times New Roman" w:hAnsi="Times New Roman"/>
          <w:spacing w:val="-8"/>
          <w:sz w:val="24"/>
          <w:szCs w:val="24"/>
        </w:rPr>
        <w:t>Индекс пересчета в текущие цены применять аналогичный примененному в сметной документации.</w:t>
      </w:r>
    </w:p>
    <w:p>
      <w:pPr>
        <w:pStyle w:val="ConsPlusNormal1"/>
        <w:numPr>
          <w:ilvl w:val="0"/>
          <w:numId w:val="19"/>
        </w:numPr>
        <w:tabs>
          <w:tab w:val="clear" w:pos="708"/>
          <w:tab w:val="left" w:pos="709" w:leader="none"/>
          <w:tab w:val="left" w:pos="851" w:leader="none"/>
          <w:tab w:val="left" w:pos="1701" w:leader="none"/>
        </w:tabs>
        <w:ind w:firstLine="709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 применении индексов по статьям затрат в сметной документации для данного ресурса применять индекс на материалы.</w:t>
      </w:r>
    </w:p>
    <w:p>
      <w:pPr>
        <w:pStyle w:val="ConsPlusNormal1"/>
        <w:widowControl/>
        <w:numPr>
          <w:ilvl w:val="2"/>
          <w:numId w:val="18"/>
        </w:numPr>
        <w:tabs>
          <w:tab w:val="clear" w:pos="708"/>
          <w:tab w:val="left" w:pos="709" w:leader="none"/>
          <w:tab w:val="left" w:pos="851" w:leader="none"/>
          <w:tab w:val="left" w:pos="1701" w:leader="none"/>
        </w:tabs>
        <w:ind w:firstLine="709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 предоставляемому сжатому воздуху:</w:t>
      </w:r>
    </w:p>
    <w:p>
      <w:pPr>
        <w:pStyle w:val="ConsPlusNormal1"/>
        <w:numPr>
          <w:ilvl w:val="0"/>
          <w:numId w:val="19"/>
        </w:numPr>
        <w:tabs>
          <w:tab w:val="clear" w:pos="708"/>
          <w:tab w:val="left" w:pos="709" w:leader="none"/>
          <w:tab w:val="left" w:pos="851" w:leader="none"/>
          <w:tab w:val="left" w:pos="1701" w:leader="none"/>
        </w:tabs>
        <w:ind w:firstLine="709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Из норм и расценок исключать стоимость компрессоров. </w:t>
      </w:r>
    </w:p>
    <w:p>
      <w:pPr>
        <w:pStyle w:val="ConsPlusNormal1"/>
        <w:widowControl/>
        <w:numPr>
          <w:ilvl w:val="2"/>
          <w:numId w:val="18"/>
        </w:numPr>
        <w:tabs>
          <w:tab w:val="clear" w:pos="708"/>
          <w:tab w:val="left" w:pos="709" w:leader="none"/>
          <w:tab w:val="left" w:pos="851" w:leader="none"/>
          <w:tab w:val="left" w:pos="1701" w:leader="none"/>
        </w:tabs>
        <w:ind w:firstLine="709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 предоставляемой воде:</w:t>
      </w:r>
    </w:p>
    <w:p>
      <w:pPr>
        <w:pStyle w:val="ConsPlusNormal1"/>
        <w:numPr>
          <w:ilvl w:val="0"/>
          <w:numId w:val="19"/>
        </w:numPr>
        <w:tabs>
          <w:tab w:val="clear" w:pos="708"/>
          <w:tab w:val="left" w:pos="709" w:leader="none"/>
          <w:tab w:val="left" w:pos="851" w:leader="none"/>
          <w:tab w:val="left" w:pos="1701" w:leader="none"/>
        </w:tabs>
        <w:ind w:firstLine="709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Из норм и расценок исключать стоимость воды.</w:t>
      </w:r>
    </w:p>
    <w:p>
      <w:pPr>
        <w:pStyle w:val="ConsPlusNormal1"/>
        <w:widowControl/>
        <w:numPr>
          <w:ilvl w:val="2"/>
          <w:numId w:val="18"/>
        </w:numPr>
        <w:tabs>
          <w:tab w:val="clear" w:pos="708"/>
          <w:tab w:val="left" w:pos="709" w:leader="none"/>
          <w:tab w:val="left" w:pos="851" w:leader="none"/>
          <w:tab w:val="left" w:pos="1701" w:leader="none"/>
        </w:tabs>
        <w:ind w:firstLine="709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Учтенные в составе накладных расходов:</w:t>
      </w:r>
    </w:p>
    <w:p>
      <w:pPr>
        <w:pStyle w:val="ConsPlusNormal1"/>
        <w:numPr>
          <w:ilvl w:val="0"/>
          <w:numId w:val="19"/>
        </w:numPr>
        <w:tabs>
          <w:tab w:val="clear" w:pos="708"/>
          <w:tab w:val="left" w:pos="709" w:leader="none"/>
          <w:tab w:val="left" w:pos="851" w:leader="none"/>
          <w:tab w:val="left" w:pos="1701" w:leader="none"/>
        </w:tabs>
        <w:ind w:firstLine="709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расходы по обеспечению санитарно-гигиенических и бытовых условий (удельный вес статьи затрат в накладных расходах - 3,02%);</w:t>
      </w:r>
    </w:p>
    <w:p>
      <w:pPr>
        <w:pStyle w:val="ConsPlusNormal1"/>
        <w:numPr>
          <w:ilvl w:val="0"/>
          <w:numId w:val="19"/>
        </w:numPr>
        <w:tabs>
          <w:tab w:val="clear" w:pos="708"/>
          <w:tab w:val="left" w:pos="709" w:leader="none"/>
          <w:tab w:val="left" w:pos="851" w:leader="none"/>
          <w:tab w:val="left" w:pos="1701" w:leader="none"/>
        </w:tabs>
        <w:ind w:firstLine="709" w:left="0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cs="Times New Roman" w:ascii="Times New Roman" w:hAnsi="Times New Roman"/>
          <w:spacing w:val="-8"/>
          <w:sz w:val="24"/>
          <w:szCs w:val="24"/>
        </w:rPr>
        <w:t>содержание пожарной и сторожевой охраны (удельный вес статьи затрат в накладных расходах - 2,01%);</w:t>
      </w:r>
    </w:p>
    <w:p>
      <w:pPr>
        <w:pStyle w:val="ConsPlusNormal1"/>
        <w:numPr>
          <w:ilvl w:val="0"/>
          <w:numId w:val="19"/>
        </w:numPr>
        <w:tabs>
          <w:tab w:val="clear" w:pos="708"/>
          <w:tab w:val="left" w:pos="709" w:leader="none"/>
          <w:tab w:val="left" w:pos="851" w:leader="none"/>
          <w:tab w:val="left" w:pos="1701" w:leader="none"/>
        </w:tabs>
        <w:ind w:firstLine="709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расходы по благоустройству и содержанию строительных площадок (удельный вес статьи затрат в накладных расходах – 1,61%)</w:t>
      </w:r>
    </w:p>
    <w:p>
      <w:pPr>
        <w:pStyle w:val="Normal"/>
        <w:tabs>
          <w:tab w:val="clear" w:pos="708"/>
          <w:tab w:val="left" w:pos="709" w:leader="none"/>
          <w:tab w:val="left" w:pos="851" w:leader="none"/>
          <w:tab w:val="left" w:pos="1418" w:leader="none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>исключаются путем применения понижающего коэффициента к нормативам накладных расходов на строительные работы в размере 0,93</w:t>
      </w:r>
      <w:r>
        <w:rPr>
          <w:rStyle w:val="FootnoteReference"/>
          <w:sz w:val="24"/>
          <w:szCs w:val="24"/>
        </w:rPr>
        <w:footnoteReference w:id="6"/>
      </w:r>
      <w:r>
        <w:rPr>
          <w:sz w:val="24"/>
          <w:szCs w:val="24"/>
        </w:rPr>
        <w:t>. Понижающий коэффициент не применяется к нормативам накладных расходов на ремонтно-строительные работы, работы по реконструкции зданий и сооружений (ГЭСН/ФЕР/ТЕР-2001-46), монтажные и пусконаладочные работы.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709" w:leader="none"/>
          <w:tab w:val="left" w:pos="851" w:leader="none"/>
          <w:tab w:val="left" w:pos="1276" w:leader="none"/>
        </w:tabs>
        <w:spacing w:before="0" w:after="0"/>
        <w:ind w:firstLine="709" w:left="0"/>
        <w:contextualSpacing w:val="false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В сметных расчетах при исключении и добавлении ресурсов (материалов) необходимо данные ресурсы относить в отдельную позицию, не допускается изменение внутри расценки.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709" w:leader="none"/>
          <w:tab w:val="left" w:pos="851" w:leader="none"/>
          <w:tab w:val="left" w:pos="1276" w:leader="none"/>
        </w:tabs>
        <w:spacing w:before="0" w:after="0"/>
        <w:ind w:firstLine="709" w:left="0"/>
        <w:contextualSpacing w:val="false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</w:rPr>
        <w:t xml:space="preserve">ССРСС разрабатывается на объект строительства и (или) этап строительства на основании итоговых стоимостных показателей объектных и (или) локальных сметных расчетов (смет), а также сметных расчетов на отдельные виды затрат в текущем уровне цен. ССРСС составляется при наличии двух и более смет. Обязательными приложениями к ССРСС являются локальные сметы, подписанные инженером-сметчиком контрагента (подрядчика), с обязательным указанием должности, наименования организации, Ф.И.О. подписанта. Наименование и нумерация глав сводного сметного расчета не подлежат корректировке вне зависимости от состава включаемых затрат. В случае отсутствия затрат, предусматриваемых соответствующей главой сводного сметного расчета, эта глава пропускается без изменения номеров последующих глав. </w:t>
      </w:r>
      <w:r>
        <w:rPr>
          <w:rFonts w:cs="Times New Roman" w:ascii="Times New Roman" w:hAnsi="Times New Roman"/>
          <w:color w:val="000000"/>
        </w:rPr>
        <w:t>Формат ССРСС выполнять по Образцу Приложения № 1.1 к Требованиям к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перевооружению.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709" w:leader="none"/>
          <w:tab w:val="left" w:pos="851" w:leader="none"/>
          <w:tab w:val="left" w:pos="1276" w:leader="none"/>
        </w:tabs>
        <w:spacing w:before="0" w:after="0"/>
        <w:ind w:firstLine="709" w:left="0"/>
        <w:contextualSpacing w:val="false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Сметная документация должна быть представлена в двух вариантах:</w:t>
      </w:r>
    </w:p>
    <w:p>
      <w:pPr>
        <w:pStyle w:val="ConsPlusNormal1"/>
        <w:numPr>
          <w:ilvl w:val="0"/>
          <w:numId w:val="16"/>
        </w:numPr>
        <w:tabs>
          <w:tab w:val="clear" w:pos="708"/>
          <w:tab w:val="left" w:pos="709" w:leader="none"/>
          <w:tab w:val="left" w:pos="851" w:leader="none"/>
          <w:tab w:val="left" w:pos="1134" w:leader="none"/>
        </w:tabs>
        <w:ind w:firstLine="709" w:left="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cs="Times New Roman" w:ascii="Times New Roman" w:hAnsi="Times New Roman"/>
          <w:spacing w:val="-6"/>
          <w:sz w:val="24"/>
          <w:szCs w:val="24"/>
        </w:rPr>
        <w:t>на бумажном носителе (количество указано в конкурсной документации) Образец ЛСР в соответствии с приложением № 1.5 к Требованиям к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перевооружению;</w:t>
      </w:r>
    </w:p>
    <w:p>
      <w:pPr>
        <w:pStyle w:val="ConsPlusNormal1"/>
        <w:numPr>
          <w:ilvl w:val="0"/>
          <w:numId w:val="16"/>
        </w:numPr>
        <w:tabs>
          <w:tab w:val="clear" w:pos="708"/>
          <w:tab w:val="left" w:pos="709" w:leader="none"/>
          <w:tab w:val="left" w:pos="851" w:leader="none"/>
        </w:tabs>
        <w:ind w:firstLine="709" w:left="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>
        <w:rPr>
          <w:rFonts w:cs="Times New Roman" w:ascii="Times New Roman" w:hAnsi="Times New Roman"/>
          <w:spacing w:val="-6"/>
          <w:sz w:val="24"/>
          <w:szCs w:val="24"/>
        </w:rPr>
        <w:t>на электронном носителе (в формате «xml» ПК «Гранд-Смета», «Excel», «pdf»), полностью соответствующему, бумажному варианту. Сметная документация в формате «Excel» должна быть представлена в одном файле с внесением ССР, ЛСР и других расчетов на отдельные листы (вкладки) документа.</w:t>
      </w:r>
    </w:p>
    <w:p>
      <w:pPr>
        <w:pStyle w:val="ConsPlusNormal1"/>
        <w:numPr>
          <w:ilvl w:val="0"/>
          <w:numId w:val="16"/>
        </w:numPr>
        <w:tabs>
          <w:tab w:val="clear" w:pos="708"/>
          <w:tab w:val="left" w:pos="709" w:leader="none"/>
          <w:tab w:val="left" w:pos="851" w:leader="none"/>
        </w:tabs>
        <w:ind w:firstLine="709"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формате ПК «Гранд-смета» выходная форма для печати указана ниже:</w:t>
      </w:r>
    </w:p>
    <w:p>
      <w:pPr>
        <w:pStyle w:val="Normal"/>
        <w:ind w:firstLine="709"/>
        <w:rPr>
          <w:color w:val="000000"/>
          <w:sz w:val="24"/>
          <w:szCs w:val="24"/>
          <w:shd w:fill="FFFF00" w:val="clear"/>
        </w:rPr>
      </w:pPr>
      <w:r>
        <w:rPr/>
        <w:drawing>
          <wp:inline distT="0" distB="0" distL="0" distR="0">
            <wp:extent cx="5591175" cy="2995295"/>
            <wp:effectExtent l="0" t="0" r="0" b="0"/>
            <wp:docPr id="1" name="Рисунок 11" descr="cid:image001.jpg@01D771AB.FE884A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1" descr="cid:image001.jpg@01D771AB.FE884A1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299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>
      <w:pPr>
        <w:pStyle w:val="Normal"/>
        <w:ind w:left="482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Приложение 1</w:t>
      </w:r>
    </w:p>
    <w:p>
      <w:pPr>
        <w:pStyle w:val="Normal"/>
        <w:ind w:left="482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 Требованиям к оформлению и составлению</w:t>
      </w:r>
    </w:p>
    <w:p>
      <w:pPr>
        <w:pStyle w:val="Normal"/>
        <w:ind w:left="482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сметной документации</w:t>
      </w:r>
    </w:p>
    <w:p>
      <w:pPr>
        <w:pStyle w:val="Normal"/>
        <w:ind w:left="482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 выполнение работ по программе ремонтов,</w:t>
      </w:r>
    </w:p>
    <w:p>
      <w:pPr>
        <w:pStyle w:val="Normal"/>
        <w:ind w:left="482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реконструкции и техническому перевооружению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оформлению и составлению сводного сметного расчета</w:t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к договорам на реконструкцию, техническое перевооружение и ремонт и дополнительным соглашениям к указанным договорам</w:t>
      </w:r>
    </w:p>
    <w:p>
      <w:pPr>
        <w:pStyle w:val="ConsPlusNormal1"/>
        <w:widowControl/>
        <w:ind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1"/>
        <w:widowControl/>
        <w:numPr>
          <w:ilvl w:val="0"/>
          <w:numId w:val="17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При наличии двух и более сметных расчетов составлять ССРСС в текущем уровне цен по форме Приложения № 1.1 к Требованиям к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 по образцу.</w:t>
      </w:r>
    </w:p>
    <w:p>
      <w:pPr>
        <w:pStyle w:val="ConsPlusNormal1"/>
        <w:widowControl/>
        <w:numPr>
          <w:ilvl w:val="0"/>
          <w:numId w:val="17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В случае заключений дополнительных соглашений к договору (далее - д/с), ССРСС необходимо выполнять в накопительной форме с учетом ЛСР (ЛС) к основному договору и ко всем заключенным д/с к нему. В итогах ССРСС (справочно) указывать суммы изменения (уменьшения, увеличения) основного договора на основании заключения д/с, которые определяются как разница между суммой ССРСС очередного д/с и стоимостью основного договора. Форма ССРСС с учетом заключения д/с к договору приведена в Приложении № 1.2 к Требованиям к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перевооружению.</w:t>
      </w:r>
    </w:p>
    <w:p>
      <w:pPr>
        <w:pStyle w:val="ConsPlusNormal1"/>
        <w:widowControl/>
        <w:numPr>
          <w:ilvl w:val="0"/>
          <w:numId w:val="17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ЛСР (ЛС) разрабатываются отдельно на исключаемые и дополнительные объемы работ. К сметной документации дополнительно прилагаются и являются ее неотъемлемой частью сопоставительные ведомости изменения сметной стоимости и сопоставительные ведомости изменения объемов работ, подготовленные в соответствии с Образцом по Приложениям №№ 1.3 и 1.4 к Требованиям к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перевооружению. </w:t>
      </w:r>
    </w:p>
    <w:p>
      <w:pPr>
        <w:pStyle w:val="ConsPlusNormal1"/>
        <w:widowControl/>
        <w:numPr>
          <w:ilvl w:val="0"/>
          <w:numId w:val="17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ЛС являются приложениями к ССРСС. Нумерация приложений указывается по мере включения ЛС в ССР в накопительной форме - по порядку.</w:t>
      </w:r>
    </w:p>
    <w:p>
      <w:pPr>
        <w:pStyle w:val="ConsPlusNormal1"/>
        <w:widowControl/>
        <w:numPr>
          <w:ilvl w:val="0"/>
          <w:numId w:val="17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Разнесение затрат (сумм ЛС) по графам и главам ССРСС осуществлять в соответствии с указаниями Методики определения сметной стоимости строительства.</w:t>
      </w:r>
    </w:p>
    <w:p>
      <w:pPr>
        <w:pStyle w:val="ConsPlusNormal1"/>
        <w:widowControl/>
        <w:numPr>
          <w:ilvl w:val="0"/>
          <w:numId w:val="17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В ССРСС, построчные и итоговые суммы указывать в рублях с округлением до двух знаков после запятой. Величину НДС не указывать.</w:t>
      </w:r>
    </w:p>
    <w:p>
      <w:pPr>
        <w:sectPr>
          <w:headerReference w:type="default" r:id="rId11"/>
          <w:headerReference w:type="first" r:id="rId12"/>
          <w:footerReference w:type="default" r:id="rId13"/>
          <w:footerReference w:type="first" r:id="rId14"/>
          <w:footnotePr>
            <w:numFmt w:val="decimal"/>
            <w:numRestart w:val="eachPage"/>
          </w:footnotePr>
          <w:type w:val="nextPage"/>
          <w:pgSz w:w="11906" w:h="16838"/>
          <w:pgMar w:left="1276" w:right="707" w:gutter="0" w:header="709" w:top="851" w:footer="709" w:bottom="766"/>
          <w:pgNumType w:fmt="decimal"/>
          <w:formProt w:val="false"/>
          <w:textDirection w:val="lrTb"/>
          <w:docGrid w:type="default" w:linePitch="360" w:charSpace="0"/>
        </w:sectPr>
        <w:pStyle w:val="ConsPlusNormal1"/>
        <w:widowControl/>
        <w:numPr>
          <w:ilvl w:val="0"/>
          <w:numId w:val="17"/>
        </w:numPr>
        <w:tabs>
          <w:tab w:val="clear" w:pos="708"/>
          <w:tab w:val="left" w:pos="993" w:leader="none"/>
        </w:tabs>
        <w:ind w:firstLine="709"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В случае выполнения Подрядчиком полного комплекса пусконаладочных работ («вхолостую» и «под нагрузкой») сумму затрат на выполнение пусконаладочных работ «под нагрузкой» включать за итогом ССРСС. Таким образом, общая стоимость работ по договору (дополнительному соглашению) будет включать в себя все затраты Подрядчика в рамках конкретного договора, включая пусконаладочные работы «под нагрузкой» (для работ, выполняемых в рамках ТПиР). </w:t>
      </w:r>
    </w:p>
    <w:p>
      <w:pPr>
        <w:pStyle w:val="ConsPlusNormal1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 1.1</w:t>
      </w:r>
    </w:p>
    <w:p>
      <w:pPr>
        <w:pStyle w:val="ConsPlusNormal1"/>
        <w:ind w:hanging="0" w:left="5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 Требованиям к оформлению и составлению сметной документации на выполнение работ по программе ремонтов, реконструкции и техническому перевооружению</w:t>
      </w:r>
    </w:p>
    <w:p>
      <w:pPr>
        <w:pStyle w:val="ConsPlusNormal1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1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ОБРАЗЕЦ </w:t>
      </w: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</w:p>
    <w:p>
      <w:pPr>
        <w:pStyle w:val="ConsPlusNormal1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1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№___</w:t>
      </w:r>
    </w:p>
    <w:p>
      <w:pPr>
        <w:pStyle w:val="ConsPlusNormal1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 договору от_______№_____</w:t>
      </w:r>
    </w:p>
    <w:p>
      <w:pPr>
        <w:pStyle w:val="ConsPlusNormal1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bookmarkStart w:id="133" w:name="P2526"/>
      <w:bookmarkStart w:id="134" w:name="P2546"/>
      <w:bookmarkStart w:id="135" w:name="P2531"/>
      <w:bookmarkStart w:id="136" w:name="P2945"/>
      <w:bookmarkStart w:id="137" w:name="P2529"/>
      <w:bookmarkStart w:id="138" w:name="P2566"/>
      <w:bookmarkStart w:id="139" w:name="P3258"/>
      <w:bookmarkStart w:id="140" w:name="P2525"/>
      <w:bookmarkStart w:id="141" w:name="P2527"/>
      <w:bookmarkStart w:id="142" w:name="P2524"/>
      <w:bookmarkStart w:id="143" w:name="P2523"/>
      <w:bookmarkStart w:id="144" w:name="P2746"/>
      <w:bookmarkStart w:id="145" w:name="P2736"/>
      <w:bookmarkStart w:id="146" w:name="P2506"/>
      <w:bookmarkStart w:id="147" w:name="P2528"/>
      <w:bookmarkStart w:id="148" w:name="P2616"/>
      <w:bookmarkStart w:id="149" w:name="P2530"/>
      <w:bookmarkStart w:id="150" w:name="P2522"/>
      <w:bookmarkStart w:id="151" w:name="P2526"/>
      <w:bookmarkStart w:id="152" w:name="P2546"/>
      <w:bookmarkStart w:id="153" w:name="P2531"/>
      <w:bookmarkStart w:id="154" w:name="P2945"/>
      <w:bookmarkStart w:id="155" w:name="P2529"/>
      <w:bookmarkStart w:id="156" w:name="P2566"/>
      <w:bookmarkStart w:id="157" w:name="P3258"/>
      <w:bookmarkStart w:id="158" w:name="P2525"/>
      <w:bookmarkStart w:id="159" w:name="P2527"/>
      <w:bookmarkStart w:id="160" w:name="P2524"/>
      <w:bookmarkStart w:id="161" w:name="P2523"/>
      <w:bookmarkStart w:id="162" w:name="P2746"/>
      <w:bookmarkStart w:id="163" w:name="P2736"/>
      <w:bookmarkStart w:id="164" w:name="P2506"/>
      <w:bookmarkStart w:id="165" w:name="P2528"/>
      <w:bookmarkStart w:id="166" w:name="P2616"/>
      <w:bookmarkStart w:id="167" w:name="P2530"/>
      <w:bookmarkStart w:id="168" w:name="P2522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</w:p>
    <w:tbl>
      <w:tblPr>
        <w:tblW w:w="5000" w:type="pct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3735"/>
        <w:gridCol w:w="5618"/>
      </w:tblGrid>
      <w:tr>
        <w:trPr>
          <w:trHeight w:val="1158" w:hRule="atLeast"/>
        </w:trPr>
        <w:tc>
          <w:tcPr>
            <w:tcW w:w="3735" w:type="dxa"/>
            <w:tcBorders/>
          </w:tcPr>
          <w:p>
            <w:pPr>
              <w:pStyle w:val="ConsPlusNormal1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СОГЛАСОВАНО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:                                           </w:t>
            </w:r>
          </w:p>
          <w:p>
            <w:pPr>
              <w:pStyle w:val="ConsPlusNormal1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______________(Подрядчик )       </w:t>
            </w:r>
          </w:p>
          <w:p>
            <w:pPr>
              <w:pStyle w:val="ConsPlusNormal1"/>
              <w:tabs>
                <w:tab w:val="clear" w:pos="708"/>
                <w:tab w:val="left" w:pos="0" w:leader="none"/>
              </w:tabs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_______________(ФИО)</w:t>
            </w:r>
          </w:p>
          <w:p>
            <w:pPr>
              <w:pStyle w:val="ConsPlusNormal1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ConsPlusNormal1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Заказчик:______________________</w:t>
            </w:r>
          </w:p>
        </w:tc>
        <w:tc>
          <w:tcPr>
            <w:tcW w:w="5618" w:type="dxa"/>
            <w:tcBorders/>
          </w:tcPr>
          <w:p>
            <w:pPr>
              <w:pStyle w:val="ConsPlusNormal1"/>
              <w:ind w:hanging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УТВЕРЖДАЮ:</w:t>
            </w:r>
          </w:p>
          <w:p>
            <w:pPr>
              <w:pStyle w:val="ConsPlusNormal1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_____________(Заказчик )       </w:t>
            </w:r>
          </w:p>
          <w:p>
            <w:pPr>
              <w:pStyle w:val="ConsPlusNormal1"/>
              <w:ind w:hanging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      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______________(ФИО)</w:t>
            </w:r>
          </w:p>
        </w:tc>
      </w:tr>
      <w:tr>
        <w:trPr/>
        <w:tc>
          <w:tcPr>
            <w:tcW w:w="3735" w:type="dxa"/>
            <w:tcBorders/>
          </w:tcPr>
          <w:p>
            <w:pPr>
              <w:pStyle w:val="ConsPlusNormal1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(наименование организации)</w:t>
            </w:r>
          </w:p>
        </w:tc>
        <w:tc>
          <w:tcPr>
            <w:tcW w:w="5618" w:type="dxa"/>
            <w:tcBorders/>
          </w:tcPr>
          <w:p>
            <w:pPr>
              <w:pStyle w:val="ConsPlusNormal1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353" w:type="dxa"/>
            <w:gridSpan w:val="2"/>
            <w:tcBorders/>
          </w:tcPr>
          <w:p>
            <w:pPr>
              <w:pStyle w:val="ConsPlusNormal1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Утвержден: __ ______________202__ г.</w:t>
            </w:r>
          </w:p>
        </w:tc>
      </w:tr>
    </w:tbl>
    <w:p>
      <w:pPr>
        <w:pStyle w:val="ConsPlusNormal1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5000" w:type="pct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4443"/>
        <w:gridCol w:w="2269"/>
        <w:gridCol w:w="2642"/>
      </w:tblGrid>
      <w:tr>
        <w:trPr/>
        <w:tc>
          <w:tcPr>
            <w:tcW w:w="4443" w:type="dxa"/>
            <w:tcBorders/>
          </w:tcPr>
          <w:p>
            <w:pPr>
              <w:pStyle w:val="ConsPlusNormal1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Сводный сметный расчет сметной стоимостью</w:t>
            </w:r>
          </w:p>
        </w:tc>
        <w:tc>
          <w:tcPr>
            <w:tcW w:w="2269" w:type="dxa"/>
            <w:tcBorders>
              <w:bottom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642" w:type="dxa"/>
            <w:tcBorders/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руб.</w:t>
            </w:r>
          </w:p>
        </w:tc>
      </w:tr>
      <w:tr>
        <w:trPr/>
        <w:tc>
          <w:tcPr>
            <w:tcW w:w="9354" w:type="dxa"/>
            <w:gridSpan w:val="3"/>
            <w:tcBorders>
              <w:bottom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354" w:type="dxa"/>
            <w:gridSpan w:val="3"/>
            <w:tcBorders>
              <w:top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(ссылка на документ об утверждении)</w:t>
            </w:r>
          </w:p>
        </w:tc>
      </w:tr>
      <w:tr>
        <w:trPr/>
        <w:tc>
          <w:tcPr>
            <w:tcW w:w="9354" w:type="dxa"/>
            <w:gridSpan w:val="3"/>
            <w:tcBorders/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СВОДНЫЙ СМЕТНЫЙ РАСЧЕТ </w:t>
            </w:r>
          </w:p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N ССРСС-________</w:t>
            </w:r>
          </w:p>
        </w:tc>
      </w:tr>
      <w:tr>
        <w:trPr>
          <w:trHeight w:val="22" w:hRule="atLeast"/>
        </w:trPr>
        <w:tc>
          <w:tcPr>
            <w:tcW w:w="9354" w:type="dxa"/>
            <w:gridSpan w:val="3"/>
            <w:tcBorders>
              <w:bottom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354" w:type="dxa"/>
            <w:gridSpan w:val="3"/>
            <w:tcBorders>
              <w:top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(наименование стройки)</w:t>
            </w:r>
          </w:p>
        </w:tc>
      </w:tr>
      <w:tr>
        <w:trPr/>
        <w:tc>
          <w:tcPr>
            <w:tcW w:w="9354" w:type="dxa"/>
            <w:gridSpan w:val="3"/>
            <w:tcBorders/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Составлен в текущих ценах, соответствующих периоду выполнения работ по Договору_________________ 20__ г.</w:t>
            </w:r>
          </w:p>
        </w:tc>
      </w:tr>
    </w:tbl>
    <w:p>
      <w:pPr>
        <w:pStyle w:val="ConsPlusNormal1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5000" w:type="pct"/>
        <w:jc w:val="center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416"/>
        <w:gridCol w:w="1378"/>
        <w:gridCol w:w="287"/>
        <w:gridCol w:w="1246"/>
        <w:gridCol w:w="408"/>
        <w:gridCol w:w="1465"/>
        <w:gridCol w:w="342"/>
        <w:gridCol w:w="889"/>
        <w:gridCol w:w="1450"/>
        <w:gridCol w:w="806"/>
        <w:gridCol w:w="666"/>
      </w:tblGrid>
      <w:tr>
        <w:trPr>
          <w:trHeight w:val="212" w:hRule="atLeast"/>
        </w:trPr>
        <w:tc>
          <w:tcPr>
            <w:tcW w:w="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N п/п</w:t>
            </w:r>
          </w:p>
        </w:tc>
        <w:tc>
          <w:tcPr>
            <w:tcW w:w="1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Обоснование</w:t>
            </w:r>
          </w:p>
        </w:tc>
        <w:tc>
          <w:tcPr>
            <w:tcW w:w="15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глав, объектов капитального строительства, работ и затрат</w:t>
            </w:r>
          </w:p>
        </w:tc>
        <w:tc>
          <w:tcPr>
            <w:tcW w:w="6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Сметная стоимость, руб.</w:t>
            </w:r>
          </w:p>
        </w:tc>
      </w:tr>
      <w:tr>
        <w:trPr>
          <w:trHeight w:val="1114" w:hRule="atLeast"/>
        </w:trPr>
        <w:tc>
          <w:tcPr>
            <w:tcW w:w="4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3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533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строительных (ремонтно-строительных, ремонтно-реставрационных) работ</w:t>
            </w:r>
          </w:p>
        </w:tc>
        <w:tc>
          <w:tcPr>
            <w:tcW w:w="1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монтажных работ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оборудования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прочих затрат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Всего</w:t>
            </w:r>
          </w:p>
        </w:tc>
      </w:tr>
      <w:tr>
        <w:trPr>
          <w:trHeight w:val="85" w:hRule="atLeast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</w:tr>
      <w:tr>
        <w:trPr>
          <w:trHeight w:val="24" w:hRule="atLeast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327" w:hRule="atLeast"/>
        </w:trPr>
        <w:tc>
          <w:tcPr>
            <w:tcW w:w="3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tabs>
                <w:tab w:val="clear" w:pos="708"/>
                <w:tab w:val="left" w:pos="567" w:leader="none"/>
                <w:tab w:val="left" w:pos="2091" w:leader="none"/>
              </w:tabs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Руководитель</w:t>
            </w:r>
          </w:p>
          <w:p>
            <w:pPr>
              <w:pStyle w:val="ConsPlusNormal1"/>
              <w:tabs>
                <w:tab w:val="clear" w:pos="708"/>
                <w:tab w:val="left" w:pos="851" w:leader="none"/>
              </w:tabs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проектной организации</w:t>
            </w:r>
          </w:p>
        </w:tc>
        <w:tc>
          <w:tcPr>
            <w:tcW w:w="56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6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[подпись (инициалы, фамилия)]</w:t>
            </w:r>
          </w:p>
        </w:tc>
      </w:tr>
      <w:tr>
        <w:trPr/>
        <w:tc>
          <w:tcPr>
            <w:tcW w:w="3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Главный инженер проекта</w:t>
            </w:r>
          </w:p>
        </w:tc>
        <w:tc>
          <w:tcPr>
            <w:tcW w:w="56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Начальник</w:t>
            </w:r>
          </w:p>
        </w:tc>
        <w:tc>
          <w:tcPr>
            <w:tcW w:w="1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отдела</w:t>
            </w:r>
          </w:p>
        </w:tc>
        <w:tc>
          <w:tcPr>
            <w:tcW w:w="38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(наименование)</w:t>
            </w:r>
          </w:p>
        </w:tc>
        <w:tc>
          <w:tcPr>
            <w:tcW w:w="1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8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[подпись (инициалы, фамилия)]</w:t>
            </w:r>
          </w:p>
        </w:tc>
      </w:tr>
      <w:tr>
        <w:trPr/>
        <w:tc>
          <w:tcPr>
            <w:tcW w:w="20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2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[подпись (инициалы, фамилия)]</w:t>
            </w:r>
          </w:p>
        </w:tc>
      </w:tr>
    </w:tbl>
    <w:p>
      <w:pPr>
        <w:pStyle w:val="ConsPlusNormal1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firstLine="709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ConsPlusNormal1"/>
        <w:ind w:hanging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№1.2</w:t>
      </w:r>
    </w:p>
    <w:p>
      <w:pPr>
        <w:pStyle w:val="ConsPlusNormal1"/>
        <w:ind w:hanging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к Требованиям к оформлению и составлению </w:t>
      </w:r>
    </w:p>
    <w:p>
      <w:pPr>
        <w:pStyle w:val="ConsPlusNormal1"/>
        <w:ind w:hanging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сметной документации на выполнение работ по программе ремонтов, реконструкции и техническому перевооружению</w:t>
      </w:r>
    </w:p>
    <w:p>
      <w:pPr>
        <w:pStyle w:val="ConsPlusNormal1"/>
        <w:ind w:hanging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1"/>
        <w:ind w:hanging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ОБРАЗЕЦ</w:t>
      </w:r>
    </w:p>
    <w:p>
      <w:pPr>
        <w:pStyle w:val="ConsPlusNormal1"/>
        <w:ind w:hanging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1"/>
        <w:tabs>
          <w:tab w:val="clear" w:pos="708"/>
          <w:tab w:val="left" w:pos="6804" w:leader="none"/>
        </w:tabs>
        <w:ind w:hanging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№___ к дополнительному</w:t>
      </w:r>
    </w:p>
    <w:p>
      <w:pPr>
        <w:pStyle w:val="ConsPlusNormal1"/>
        <w:tabs>
          <w:tab w:val="clear" w:pos="708"/>
          <w:tab w:val="left" w:pos="6946" w:leader="none"/>
        </w:tabs>
        <w:ind w:hanging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соглашению от ___ № ___</w:t>
      </w:r>
    </w:p>
    <w:p>
      <w:pPr>
        <w:pStyle w:val="ConsPlusNormal1"/>
        <w:ind w:hanging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 договору</w:t>
      </w:r>
      <w:r>
        <w:rPr>
          <w:rFonts w:cs="Times New Roman" w:ascii="Times New Roman" w:hAnsi="Times New Roman"/>
          <w:sz w:val="24"/>
          <w:szCs w:val="24"/>
          <w:lang w:val="en-US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от________№_____</w:t>
      </w:r>
    </w:p>
    <w:tbl>
      <w:tblPr>
        <w:tblW w:w="5000" w:type="pct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1041"/>
        <w:gridCol w:w="3402"/>
        <w:gridCol w:w="2269"/>
        <w:gridCol w:w="2642"/>
      </w:tblGrid>
      <w:tr>
        <w:trPr/>
        <w:tc>
          <w:tcPr>
            <w:tcW w:w="1041" w:type="dxa"/>
            <w:tcBorders/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                         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8313" w:type="dxa"/>
            <w:gridSpan w:val="3"/>
            <w:tcBorders>
              <w:bottom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041" w:type="dxa"/>
            <w:tcBorders/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313" w:type="dxa"/>
            <w:gridSpan w:val="3"/>
            <w:tcBorders>
              <w:top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(наименование организации)</w:t>
            </w:r>
          </w:p>
        </w:tc>
      </w:tr>
      <w:tr>
        <w:trPr/>
        <w:tc>
          <w:tcPr>
            <w:tcW w:w="9354" w:type="dxa"/>
            <w:gridSpan w:val="4"/>
            <w:tcBorders/>
          </w:tcPr>
          <w:p>
            <w:pPr>
              <w:pStyle w:val="ConsPlusNormal1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Утвержден __ ______________ 20__ г.</w:t>
            </w:r>
          </w:p>
        </w:tc>
      </w:tr>
      <w:tr>
        <w:trPr/>
        <w:tc>
          <w:tcPr>
            <w:tcW w:w="4443" w:type="dxa"/>
            <w:gridSpan w:val="2"/>
            <w:tcBorders/>
          </w:tcPr>
          <w:p>
            <w:pPr>
              <w:pStyle w:val="ConsPlusNormal1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Сводный сметный расчет сметной стоимостью</w:t>
            </w:r>
          </w:p>
        </w:tc>
        <w:tc>
          <w:tcPr>
            <w:tcW w:w="2269" w:type="dxa"/>
            <w:tcBorders>
              <w:bottom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642" w:type="dxa"/>
            <w:tcBorders/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руб.</w:t>
            </w:r>
          </w:p>
        </w:tc>
      </w:tr>
      <w:tr>
        <w:trPr/>
        <w:tc>
          <w:tcPr>
            <w:tcW w:w="9354" w:type="dxa"/>
            <w:gridSpan w:val="4"/>
            <w:tcBorders>
              <w:top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(ссылка на документ об утверждении)</w:t>
            </w:r>
          </w:p>
        </w:tc>
      </w:tr>
      <w:tr>
        <w:trPr/>
        <w:tc>
          <w:tcPr>
            <w:tcW w:w="9354" w:type="dxa"/>
            <w:gridSpan w:val="4"/>
            <w:tcBorders/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СВОДНЫЙ СМЕТНЫЙ РАСЧЕТ </w:t>
            </w:r>
          </w:p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N ССРСС-________</w:t>
            </w:r>
          </w:p>
        </w:tc>
      </w:tr>
      <w:tr>
        <w:trPr/>
        <w:tc>
          <w:tcPr>
            <w:tcW w:w="9354" w:type="dxa"/>
            <w:gridSpan w:val="4"/>
            <w:tcBorders>
              <w:top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(наименование стройки)</w:t>
            </w:r>
          </w:p>
        </w:tc>
      </w:tr>
      <w:tr>
        <w:trPr/>
        <w:tc>
          <w:tcPr>
            <w:tcW w:w="9354" w:type="dxa"/>
            <w:gridSpan w:val="4"/>
            <w:tcBorders/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Составлен в текущих ценах, соответствующих периоду выполнения работ по Договору_________________ 20__ г.</w:t>
            </w:r>
          </w:p>
        </w:tc>
      </w:tr>
    </w:tbl>
    <w:p>
      <w:pPr>
        <w:pStyle w:val="ConsPlusNormal1"/>
        <w:ind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5000" w:type="pct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517"/>
        <w:gridCol w:w="1233"/>
        <w:gridCol w:w="348"/>
        <w:gridCol w:w="1825"/>
        <w:gridCol w:w="86"/>
        <w:gridCol w:w="1651"/>
        <w:gridCol w:w="39"/>
        <w:gridCol w:w="1076"/>
        <w:gridCol w:w="1289"/>
        <w:gridCol w:w="724"/>
        <w:gridCol w:w="565"/>
      </w:tblGrid>
      <w:tr>
        <w:trPr>
          <w:trHeight w:val="311" w:hRule="atLeast"/>
        </w:trPr>
        <w:tc>
          <w:tcPr>
            <w:tcW w:w="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Nп/п</w:t>
            </w:r>
          </w:p>
        </w:tc>
        <w:tc>
          <w:tcPr>
            <w:tcW w:w="1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Обоснование</w:t>
            </w:r>
          </w:p>
        </w:tc>
        <w:tc>
          <w:tcPr>
            <w:tcW w:w="225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глав, объектов капитального строительства, работ и затрат</w:t>
            </w:r>
          </w:p>
        </w:tc>
        <w:tc>
          <w:tcPr>
            <w:tcW w:w="53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Сметная стоимость, руб.</w:t>
            </w:r>
          </w:p>
        </w:tc>
      </w:tr>
      <w:tr>
        <w:trPr>
          <w:trHeight w:val="1294" w:hRule="atLeast"/>
        </w:trPr>
        <w:tc>
          <w:tcPr>
            <w:tcW w:w="5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2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5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строительных (ремонтно-строительных, ремонтно-реставрационных) работ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монтажных работ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оборудования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прочих затрат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всего</w:t>
            </w:r>
          </w:p>
        </w:tc>
      </w:tr>
      <w:tr>
        <w:trPr>
          <w:trHeight w:val="13" w:hRule="atLeast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</w:t>
            </w:r>
          </w:p>
        </w:tc>
      </w:tr>
      <w:tr>
        <w:trPr/>
        <w:tc>
          <w:tcPr>
            <w:tcW w:w="935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Сметы основного договора </w:t>
            </w:r>
          </w:p>
        </w:tc>
      </w:tr>
      <w:tr>
        <w:trPr>
          <w:trHeight w:val="287" w:hRule="atLeast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339" w:hRule="atLeast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321" w:hRule="atLeast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Итого по сметам основного договора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321" w:hRule="atLeast"/>
        </w:trPr>
        <w:tc>
          <w:tcPr>
            <w:tcW w:w="935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Включить дополнительным соглашением № 1</w:t>
            </w:r>
          </w:p>
        </w:tc>
      </w:tr>
      <w:tr>
        <w:trPr>
          <w:trHeight w:val="321" w:hRule="atLeast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321" w:hRule="atLeast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321" w:hRule="atLeast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Итого включено дополнительным соглашением № 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321" w:hRule="atLeast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8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Исключить дополнительным соглашением № 2</w:t>
            </w:r>
          </w:p>
        </w:tc>
      </w:tr>
      <w:tr>
        <w:trPr>
          <w:trHeight w:val="321" w:hRule="atLeast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Итого исключено дополнительным соглашением № 2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321" w:hRule="atLeast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Итого по главе №: __________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321" w:hRule="atLeast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Итого по главам №№: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321" w:hRule="atLeast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Всего по ССР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283" w:hRule="atLeast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rPr>
                <w:rFonts w:ascii="Times New Roman" w:hAnsi="Times New Roman" w:cs="Times New Roman"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  <w:u w:val="single"/>
              </w:rPr>
              <w:t>Справочно</w:t>
            </w: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321" w:hRule="atLeast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>Сумма основного договора, без НДС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321" w:hRule="atLeast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rPr>
                <w:rFonts w:ascii="Times New Roman" w:hAnsi="Times New Roman" w:cs="Times New Roman"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>Сумма изменения</w:t>
              <w:br/>
              <w:t xml:space="preserve">(увеличения/уменьшения) стоимости основного договора на основании ДС № 1, без НДС 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321" w:hRule="atLeast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sz w:val="24"/>
                <w:szCs w:val="24"/>
              </w:rPr>
              <w:t>Сумма изменения</w:t>
              <w:br/>
              <w:t>(увеличения/уменьшения) стоимости основного договора на основании ДС № 2, без НДС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923" w:type="dxa"/>
            <w:gridSpan w:val="4"/>
            <w:tcBorders/>
          </w:tcPr>
          <w:p>
            <w:pPr>
              <w:pStyle w:val="ConsPlusNormal1"/>
              <w:tabs>
                <w:tab w:val="clear" w:pos="708"/>
                <w:tab w:val="left" w:pos="2091" w:leader="none"/>
              </w:tabs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Руководитель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проектной организации</w:t>
            </w:r>
          </w:p>
        </w:tc>
        <w:tc>
          <w:tcPr>
            <w:tcW w:w="5430" w:type="dxa"/>
            <w:gridSpan w:val="7"/>
            <w:tcBorders>
              <w:bottom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923" w:type="dxa"/>
            <w:gridSpan w:val="4"/>
            <w:tcBorders/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430" w:type="dxa"/>
            <w:gridSpan w:val="7"/>
            <w:tcBorders>
              <w:top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[подпись (инициалы, фамилия)]</w:t>
            </w:r>
          </w:p>
        </w:tc>
      </w:tr>
      <w:tr>
        <w:trPr/>
        <w:tc>
          <w:tcPr>
            <w:tcW w:w="3923" w:type="dxa"/>
            <w:gridSpan w:val="4"/>
            <w:tcBorders/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Главный инженер проекта</w:t>
            </w:r>
          </w:p>
        </w:tc>
        <w:tc>
          <w:tcPr>
            <w:tcW w:w="5430" w:type="dxa"/>
            <w:gridSpan w:val="7"/>
            <w:tcBorders>
              <w:bottom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923" w:type="dxa"/>
            <w:gridSpan w:val="4"/>
            <w:tcBorders/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430" w:type="dxa"/>
            <w:gridSpan w:val="7"/>
            <w:tcBorders>
              <w:top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[подпись (инициалы, фамилия)]</w:t>
            </w:r>
          </w:p>
        </w:tc>
      </w:tr>
      <w:tr>
        <w:trPr/>
        <w:tc>
          <w:tcPr>
            <w:tcW w:w="2098" w:type="dxa"/>
            <w:gridSpan w:val="3"/>
            <w:tcBorders/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Начальник</w:t>
            </w:r>
          </w:p>
        </w:tc>
        <w:tc>
          <w:tcPr>
            <w:tcW w:w="1911" w:type="dxa"/>
            <w:gridSpan w:val="2"/>
            <w:tcBorders>
              <w:bottom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690" w:type="dxa"/>
            <w:gridSpan w:val="2"/>
            <w:tcBorders/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отдела</w:t>
            </w:r>
          </w:p>
        </w:tc>
        <w:tc>
          <w:tcPr>
            <w:tcW w:w="3654" w:type="dxa"/>
            <w:gridSpan w:val="4"/>
            <w:tcBorders>
              <w:bottom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98" w:type="dxa"/>
            <w:gridSpan w:val="3"/>
            <w:tcBorders/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11" w:type="dxa"/>
            <w:gridSpan w:val="2"/>
            <w:tcBorders>
              <w:top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(наименование)</w:t>
            </w:r>
          </w:p>
        </w:tc>
        <w:tc>
          <w:tcPr>
            <w:tcW w:w="1690" w:type="dxa"/>
            <w:gridSpan w:val="2"/>
            <w:tcBorders/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3654" w:type="dxa"/>
            <w:gridSpan w:val="4"/>
            <w:tcBorders>
              <w:top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[подпись (инициалы, фамилия)]</w:t>
            </w:r>
          </w:p>
        </w:tc>
      </w:tr>
      <w:tr>
        <w:trPr/>
        <w:tc>
          <w:tcPr>
            <w:tcW w:w="2098" w:type="dxa"/>
            <w:gridSpan w:val="3"/>
            <w:tcBorders/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255" w:type="dxa"/>
            <w:gridSpan w:val="8"/>
            <w:tcBorders>
              <w:bottom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098" w:type="dxa"/>
            <w:gridSpan w:val="3"/>
            <w:tcBorders/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255" w:type="dxa"/>
            <w:gridSpan w:val="8"/>
            <w:tcBorders>
              <w:top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[должность, подпись (инициалы, фамилия)]</w:t>
            </w:r>
          </w:p>
        </w:tc>
      </w:tr>
    </w:tbl>
    <w:p>
      <w:pPr>
        <w:sectPr>
          <w:headerReference w:type="default" r:id="rId15"/>
          <w:headerReference w:type="first" r:id="rId16"/>
          <w:footerReference w:type="default" r:id="rId17"/>
          <w:footerReference w:type="first" r:id="rId18"/>
          <w:footnotePr>
            <w:numFmt w:val="decimal"/>
            <w:numRestart w:val="eachPage"/>
          </w:footnotePr>
          <w:type w:val="nextPage"/>
          <w:pgSz w:w="11906" w:h="16838"/>
          <w:pgMar w:left="1418" w:right="1134" w:gutter="0" w:header="709" w:top="851" w:footer="709" w:bottom="851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ConsPlusNormal1"/>
        <w:ind w:hanging="0" w:left="581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№1.3</w:t>
      </w:r>
    </w:p>
    <w:p>
      <w:pPr>
        <w:pStyle w:val="ConsPlusNormal1"/>
        <w:ind w:hanging="0" w:left="60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к Требованиям к оформлению и составлению </w:t>
      </w:r>
    </w:p>
    <w:p>
      <w:pPr>
        <w:pStyle w:val="ConsPlusNormal1"/>
        <w:ind w:hanging="0" w:left="60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сметной документации на выполнение работ по программе ремонтов, реконструкции и техническому перевооружению</w:t>
      </w:r>
    </w:p>
    <w:p>
      <w:pPr>
        <w:pStyle w:val="ConsPlusNormal1"/>
        <w:ind w:firstLine="720" w:left="581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1"/>
        <w:ind w:firstLine="720" w:left="57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ОБРАЗЕЦ </w:t>
      </w: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</w:p>
    <w:p>
      <w:pPr>
        <w:pStyle w:val="ConsPlusNormal1"/>
        <w:ind w:firstLine="720" w:left="581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1"/>
        <w:ind w:firstLine="720" w:left="581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№___</w:t>
      </w:r>
    </w:p>
    <w:p>
      <w:pPr>
        <w:pStyle w:val="ConsPlusNormal1"/>
        <w:ind w:firstLine="720" w:left="581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 дополнительному соглашению от ___ № ___</w:t>
      </w:r>
    </w:p>
    <w:p>
      <w:pPr>
        <w:pStyle w:val="ConsPlusNormal1"/>
        <w:ind w:firstLine="720" w:left="581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</w:t>
      </w:r>
      <w:r>
        <w:rPr>
          <w:rFonts w:cs="Times New Roman" w:ascii="Times New Roman" w:hAnsi="Times New Roman"/>
          <w:sz w:val="24"/>
          <w:szCs w:val="24"/>
        </w:rPr>
        <w:t xml:space="preserve">к договору от_______№_____ </w:t>
      </w:r>
    </w:p>
    <w:p>
      <w:pPr>
        <w:pStyle w:val="ConsPlusNormal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Сопоставительная ведомость изменения сметной стоимости</w:t>
      </w:r>
    </w:p>
    <w:p>
      <w:pPr>
        <w:pStyle w:val="Normal"/>
        <w:widowControl w:val="false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tbl>
      <w:tblPr>
        <w:tblW w:w="10206" w:type="dxa"/>
        <w:jc w:val="left"/>
        <w:tblInd w:w="4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422"/>
        <w:gridCol w:w="853"/>
        <w:gridCol w:w="850"/>
        <w:gridCol w:w="1278"/>
        <w:gridCol w:w="1280"/>
        <w:gridCol w:w="1697"/>
        <w:gridCol w:w="1721"/>
        <w:gridCol w:w="2103"/>
      </w:tblGrid>
      <w:tr>
        <w:trPr>
          <w:trHeight w:val="433" w:hRule="atLeast"/>
        </w:trPr>
        <w:tc>
          <w:tcPr>
            <w:tcW w:w="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Данные сметного расчета (сметы)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Сметная стоимость, тыс. руб.</w:t>
            </w:r>
          </w:p>
        </w:tc>
        <w:tc>
          <w:tcPr>
            <w:tcW w:w="1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Разница в сметной стоимости, руб.</w:t>
            </w:r>
          </w:p>
        </w:tc>
        <w:tc>
          <w:tcPr>
            <w:tcW w:w="2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Обоснование изменений сметной стоимости</w:t>
            </w:r>
          </w:p>
        </w:tc>
      </w:tr>
      <w:tr>
        <w:trPr/>
        <w:tc>
          <w:tcPr>
            <w:tcW w:w="4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шифр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позиции сметного расчета (сметы) в ССР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подлежащая включению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подлежащая исключению</w:t>
            </w:r>
          </w:p>
        </w:tc>
        <w:tc>
          <w:tcPr>
            <w:tcW w:w="17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>
        <w:trPr/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20" w:left="357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ConsPlusNormal1"/>
        <w:ind w:hanging="0" w:left="609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№1.4</w:t>
      </w:r>
    </w:p>
    <w:p>
      <w:pPr>
        <w:pStyle w:val="ConsPlusNormal1"/>
        <w:ind w:hanging="0" w:left="60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к Требованиям к оформлению и составлению </w:t>
      </w:r>
    </w:p>
    <w:p>
      <w:pPr>
        <w:pStyle w:val="ConsPlusNormal1"/>
        <w:ind w:hanging="0" w:left="60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сметной документации на выполнение работ по программе ремонтов, реконструкции и техническому перевооружению</w:t>
      </w:r>
    </w:p>
    <w:p>
      <w:pPr>
        <w:pStyle w:val="ConsPlusNormal1"/>
        <w:ind w:firstLine="720" w:left="581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1"/>
        <w:ind w:firstLine="720" w:left="581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№___</w:t>
      </w:r>
    </w:p>
    <w:p>
      <w:pPr>
        <w:pStyle w:val="ConsPlusNormal1"/>
        <w:ind w:firstLine="720" w:left="581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 дополнительному соглашению от ___ № ___</w:t>
      </w:r>
    </w:p>
    <w:p>
      <w:pPr>
        <w:pStyle w:val="ConsPlusNormal1"/>
        <w:ind w:firstLine="720" w:left="581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к договору от_______№_____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Сопоставительная ведомость объемов работ</w:t>
      </w:r>
    </w:p>
    <w:p>
      <w:pPr>
        <w:pStyle w:val="ConsPlusNormal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W w:w="10773" w:type="dxa"/>
        <w:jc w:val="left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noHBand="0" w:noVBand="0" w:firstColumn="0" w:lastRow="0" w:lastColumn="0" w:firstRow="0"/>
      </w:tblPr>
      <w:tblGrid>
        <w:gridCol w:w="425"/>
        <w:gridCol w:w="710"/>
        <w:gridCol w:w="850"/>
        <w:gridCol w:w="1061"/>
        <w:gridCol w:w="1061"/>
        <w:gridCol w:w="851"/>
        <w:gridCol w:w="648"/>
        <w:gridCol w:w="992"/>
        <w:gridCol w:w="920"/>
        <w:gridCol w:w="701"/>
        <w:gridCol w:w="568"/>
        <w:gridCol w:w="850"/>
        <w:gridCol w:w="1135"/>
      </w:tblGrid>
      <w:tr>
        <w:trPr>
          <w:trHeight w:val="622" w:hRule="atLeast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 w:lef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№№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пп</w:t>
            </w:r>
          </w:p>
        </w:tc>
        <w:tc>
          <w:tcPr>
            <w:tcW w:w="36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Данные сметного расчета (сметы)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работ и затрат</w:t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191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Объем работ в сметной документации</w:t>
            </w:r>
          </w:p>
        </w:tc>
        <w:tc>
          <w:tcPr>
            <w:tcW w:w="12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Изменение объемов работ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Обоснование изменений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1416" w:left="13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Примечание</w:t>
            </w:r>
          </w:p>
        </w:tc>
      </w:tr>
      <w:tr>
        <w:trPr>
          <w:trHeight w:val="297" w:hRule="atLeast"/>
        </w:trPr>
        <w:tc>
          <w:tcPr>
            <w:tcW w:w="4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firstLine="720" w:left="-7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шифр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 w:lef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позиции в сметном расчете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1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26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18" w:hRule="atLeast"/>
        </w:trPr>
        <w:tc>
          <w:tcPr>
            <w:tcW w:w="4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7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изменений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 учетом изменений</w:t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6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до изменений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 учетом изменений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firstLine="720" w:left="-8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увели</w:t>
            </w:r>
          </w:p>
          <w:p>
            <w:pPr>
              <w:pStyle w:val="ConsPlusNormal1"/>
              <w:ind w:firstLine="720" w:left="-8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чение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ind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снижение</w:t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1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32" w:hRule="atLeast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sectPr>
          <w:headerReference w:type="default" r:id="rId19"/>
          <w:headerReference w:type="first" r:id="rId20"/>
          <w:footerReference w:type="default" r:id="rId21"/>
          <w:footerReference w:type="first" r:id="rId22"/>
          <w:footnotePr>
            <w:numFmt w:val="decimal"/>
            <w:numRestart w:val="eachPage"/>
          </w:footnotePr>
          <w:type w:val="nextPage"/>
          <w:pgSz w:w="11906" w:h="16838"/>
          <w:pgMar w:left="426" w:right="924" w:gutter="0" w:header="709" w:top="766" w:footer="709" w:bottom="766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ConsPlusNormal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1"/>
        <w:ind w:hanging="0" w:left="1049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Приложение №1.5</w:t>
      </w:r>
    </w:p>
    <w:p>
      <w:pPr>
        <w:pStyle w:val="ConsPlusNormal1"/>
        <w:ind w:hanging="0" w:left="1049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к Требованиям к оформлению и составлению </w:t>
      </w:r>
    </w:p>
    <w:p>
      <w:pPr>
        <w:pStyle w:val="ConsPlusNormal1"/>
        <w:ind w:hanging="0" w:left="1049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сметной документации на выполнение работ по программе ремонтов, реконструкции и техническому перевооружению</w:t>
      </w:r>
    </w:p>
    <w:p>
      <w:pPr>
        <w:pStyle w:val="Normal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ОБРАЗЕЦ</w:t>
      </w:r>
    </w:p>
    <w:p>
      <w:pPr>
        <w:pStyle w:val="Normal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999"/>
        <w:gridCol w:w="1227"/>
        <w:gridCol w:w="839"/>
        <w:gridCol w:w="1470"/>
        <w:gridCol w:w="806"/>
        <w:gridCol w:w="982"/>
        <w:gridCol w:w="808"/>
        <w:gridCol w:w="1303"/>
        <w:gridCol w:w="1358"/>
        <w:gridCol w:w="807"/>
        <w:gridCol w:w="1304"/>
        <w:gridCol w:w="599"/>
        <w:gridCol w:w="835"/>
        <w:gridCol w:w="1232"/>
      </w:tblGrid>
      <w:tr>
        <w:trPr>
          <w:trHeight w:val="285" w:hRule="atLeast"/>
        </w:trPr>
        <w:tc>
          <w:tcPr>
            <w:tcW w:w="3065" w:type="dxa"/>
            <w:gridSpan w:val="3"/>
            <w:tcBorders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СОГЛАСОВАНО:</w:t>
            </w:r>
          </w:p>
        </w:tc>
        <w:tc>
          <w:tcPr>
            <w:tcW w:w="1470" w:type="dxa"/>
            <w:tcBorders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806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82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08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3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58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07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970" w:type="dxa"/>
            <w:gridSpan w:val="4"/>
            <w:tcBorders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УТВЕРЖДАЮ:</w:t>
            </w:r>
          </w:p>
        </w:tc>
      </w:tr>
      <w:tr>
        <w:trPr>
          <w:trHeight w:val="225" w:hRule="exact"/>
        </w:trPr>
        <w:tc>
          <w:tcPr>
            <w:tcW w:w="4535" w:type="dxa"/>
            <w:gridSpan w:val="4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06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82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08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3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58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777" w:type="dxa"/>
            <w:gridSpan w:val="5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45" w:hRule="atLeast"/>
        </w:trPr>
        <w:tc>
          <w:tcPr>
            <w:tcW w:w="99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27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39" w:type="dxa"/>
            <w:tcBorders/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470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06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82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08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3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58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07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4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9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35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2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226" w:type="dxa"/>
            <w:gridSpan w:val="2"/>
            <w:tcBorders/>
            <w:vAlign w:val="bottom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"_____" _____________2021 г</w:t>
            </w:r>
          </w:p>
        </w:tc>
        <w:tc>
          <w:tcPr>
            <w:tcW w:w="839" w:type="dxa"/>
            <w:tcBorders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470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06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82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08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3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58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07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4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9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35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32" w:type="dxa"/>
            <w:tcBorders/>
            <w:vAlign w:val="bottom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"_____" ________2021 г</w:t>
            </w:r>
          </w:p>
        </w:tc>
      </w:tr>
      <w:tr>
        <w:trPr>
          <w:trHeight w:val="225" w:hRule="atLeast"/>
        </w:trPr>
        <w:tc>
          <w:tcPr>
            <w:tcW w:w="3065" w:type="dxa"/>
            <w:gridSpan w:val="3"/>
            <w:tcBorders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Наименование редакции сметных нормативов  </w:t>
            </w:r>
          </w:p>
        </w:tc>
        <w:tc>
          <w:tcPr>
            <w:tcW w:w="11504" w:type="dxa"/>
            <w:gridSpan w:val="11"/>
            <w:tcBorders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300" w:hRule="atLeast"/>
        </w:trPr>
        <w:tc>
          <w:tcPr>
            <w:tcW w:w="3065" w:type="dxa"/>
            <w:gridSpan w:val="3"/>
            <w:tcBorders/>
            <w:vAlign w:val="bottom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программного продукта</w:t>
            </w:r>
          </w:p>
        </w:tc>
        <w:tc>
          <w:tcPr>
            <w:tcW w:w="2276" w:type="dxa"/>
            <w:gridSpan w:val="2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ПК "ГРАНД-Смета 2021"</w:t>
            </w:r>
          </w:p>
        </w:tc>
        <w:tc>
          <w:tcPr>
            <w:tcW w:w="982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3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8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07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04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9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35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2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>
        <w:trPr>
          <w:trHeight w:val="165" w:hRule="exact"/>
        </w:trPr>
        <w:tc>
          <w:tcPr>
            <w:tcW w:w="999" w:type="dxa"/>
            <w:tcBorders/>
            <w:vAlign w:val="bottom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27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39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70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06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82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08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3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58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07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4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9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35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32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14569" w:type="dxa"/>
            <w:gridSpan w:val="14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(наименование стройки)</w:t>
            </w:r>
          </w:p>
        </w:tc>
      </w:tr>
      <w:tr>
        <w:trPr>
          <w:trHeight w:val="225" w:hRule="exact"/>
        </w:trPr>
        <w:tc>
          <w:tcPr>
            <w:tcW w:w="14569" w:type="dxa"/>
            <w:gridSpan w:val="14"/>
            <w:tcBorders/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14569" w:type="dxa"/>
            <w:gridSpan w:val="14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(наименование объекта капитального строительства)</w:t>
            </w:r>
          </w:p>
        </w:tc>
      </w:tr>
      <w:tr>
        <w:trPr>
          <w:trHeight w:val="480" w:hRule="atLeast"/>
        </w:trPr>
        <w:tc>
          <w:tcPr>
            <w:tcW w:w="14569" w:type="dxa"/>
            <w:gridSpan w:val="14"/>
            <w:tcBorders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ЛОКАЛЬНЫЙ СМЕТНЫЙ РАСЧЕТ (СМЕТА) № </w:t>
            </w:r>
          </w:p>
        </w:tc>
      </w:tr>
      <w:tr>
        <w:trPr>
          <w:trHeight w:val="165" w:hRule="exact"/>
        </w:trPr>
        <w:tc>
          <w:tcPr>
            <w:tcW w:w="999" w:type="dxa"/>
            <w:tcBorders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1227" w:type="dxa"/>
            <w:tcBorders/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39" w:type="dxa"/>
            <w:tcBorders/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70" w:type="dxa"/>
            <w:tcBorders/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06" w:type="dxa"/>
            <w:tcBorders/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82" w:type="dxa"/>
            <w:tcBorders/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08" w:type="dxa"/>
            <w:tcBorders/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3" w:type="dxa"/>
            <w:tcBorders/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58" w:type="dxa"/>
            <w:tcBorders/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07" w:type="dxa"/>
            <w:tcBorders/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4" w:type="dxa"/>
            <w:tcBorders/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9" w:type="dxa"/>
            <w:tcBorders/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35" w:type="dxa"/>
            <w:tcBorders/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32" w:type="dxa"/>
            <w:tcBorders/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14569" w:type="dxa"/>
            <w:gridSpan w:val="14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270" w:hRule="atLeast"/>
        </w:trPr>
        <w:tc>
          <w:tcPr>
            <w:tcW w:w="14569" w:type="dxa"/>
            <w:gridSpan w:val="14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(наименование конструктивного решения)</w:t>
            </w:r>
          </w:p>
        </w:tc>
      </w:tr>
      <w:tr>
        <w:trPr>
          <w:trHeight w:val="300" w:hRule="atLeast"/>
        </w:trPr>
        <w:tc>
          <w:tcPr>
            <w:tcW w:w="999" w:type="dxa"/>
            <w:tcBorders/>
            <w:vAlign w:val="bottom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Составлен </w:t>
            </w:r>
          </w:p>
        </w:tc>
        <w:tc>
          <w:tcPr>
            <w:tcW w:w="1227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базисно-индексным</w:t>
            </w:r>
          </w:p>
        </w:tc>
        <w:tc>
          <w:tcPr>
            <w:tcW w:w="839" w:type="dxa"/>
            <w:tcBorders/>
            <w:vAlign w:val="bottom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методом</w:t>
            </w:r>
          </w:p>
        </w:tc>
        <w:tc>
          <w:tcPr>
            <w:tcW w:w="1470" w:type="dxa"/>
            <w:tcBorders/>
            <w:vAlign w:val="bottom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06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82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08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3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58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07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4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9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35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32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60" w:hRule="atLeast"/>
        </w:trPr>
        <w:tc>
          <w:tcPr>
            <w:tcW w:w="999" w:type="dxa"/>
            <w:tcBorders/>
            <w:vAlign w:val="bottom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Основание</w:t>
            </w:r>
          </w:p>
        </w:tc>
        <w:tc>
          <w:tcPr>
            <w:tcW w:w="5324" w:type="dxa"/>
            <w:gridSpan w:val="5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08" w:type="dxa"/>
            <w:tcBorders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303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58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07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4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9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35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32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999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324" w:type="dxa"/>
            <w:gridSpan w:val="5"/>
            <w:tcBorders>
              <w:top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(проектная и (или) иная техническая документация)</w:t>
            </w:r>
          </w:p>
        </w:tc>
        <w:tc>
          <w:tcPr>
            <w:tcW w:w="808" w:type="dxa"/>
            <w:tcBorders/>
            <w:vAlign w:val="bottom"/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</w:r>
          </w:p>
        </w:tc>
        <w:tc>
          <w:tcPr>
            <w:tcW w:w="1303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58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07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4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9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35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32" w:type="dxa"/>
            <w:tcBorders/>
            <w:vAlign w:val="bottom"/>
          </w:tcPr>
          <w:p>
            <w:pPr>
              <w:pStyle w:val="Normal"/>
              <w:widowControl w:val="false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3065" w:type="dxa"/>
            <w:gridSpan w:val="3"/>
            <w:tcBorders/>
            <w:vAlign w:val="bottom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Составлен(а) в текущем (базисном) уровне цен </w:t>
            </w:r>
          </w:p>
        </w:tc>
        <w:tc>
          <w:tcPr>
            <w:tcW w:w="147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соответствующих периоду выполнения работ по договору</w:t>
            </w:r>
          </w:p>
        </w:tc>
        <w:tc>
          <w:tcPr>
            <w:tcW w:w="806" w:type="dxa"/>
            <w:tcBorders/>
            <w:vAlign w:val="bottom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982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08" w:type="dxa"/>
            <w:tcBorders/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3" w:type="dxa"/>
            <w:tcBorders/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58" w:type="dxa"/>
            <w:tcBorders/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07" w:type="dxa"/>
            <w:tcBorders/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4" w:type="dxa"/>
            <w:tcBorders/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9" w:type="dxa"/>
            <w:tcBorders/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35" w:type="dxa"/>
            <w:tcBorders/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32" w:type="dxa"/>
            <w:tcBorders/>
            <w:vAlign w:val="bottom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55" w:hRule="atLeast"/>
        </w:trPr>
        <w:tc>
          <w:tcPr>
            <w:tcW w:w="2226" w:type="dxa"/>
            <w:gridSpan w:val="2"/>
            <w:tcBorders/>
            <w:vAlign w:val="bottom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Сметная стоимость </w:t>
            </w:r>
          </w:p>
        </w:tc>
        <w:tc>
          <w:tcPr>
            <w:tcW w:w="83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47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06" w:type="dxa"/>
            <w:tcBorders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тыс.руб.</w:t>
            </w:r>
          </w:p>
        </w:tc>
        <w:tc>
          <w:tcPr>
            <w:tcW w:w="982" w:type="dxa"/>
            <w:tcBorders/>
            <w:vAlign w:val="bottom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08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3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58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07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4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9" w:type="dxa"/>
            <w:tcBorders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35" w:type="dxa"/>
            <w:tcBorders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32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55" w:hRule="atLeast"/>
        </w:trPr>
        <w:tc>
          <w:tcPr>
            <w:tcW w:w="999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7" w:type="dxa"/>
            <w:tcBorders/>
            <w:vAlign w:val="bottom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839" w:type="dxa"/>
            <w:tcBorders/>
            <w:vAlign w:val="bottom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470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06" w:type="dxa"/>
            <w:tcBorders/>
          </w:tcPr>
          <w:p>
            <w:pPr>
              <w:pStyle w:val="Normal"/>
              <w:widowControl w:val="false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82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08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3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58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07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4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9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35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32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55" w:hRule="atLeast"/>
        </w:trPr>
        <w:tc>
          <w:tcPr>
            <w:tcW w:w="999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7" w:type="dxa"/>
            <w:tcBorders/>
            <w:vAlign w:val="bottom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строительных работ</w:t>
            </w:r>
          </w:p>
        </w:tc>
        <w:tc>
          <w:tcPr>
            <w:tcW w:w="83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47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06" w:type="dxa"/>
            <w:tcBorders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тыс.руб.</w:t>
            </w:r>
          </w:p>
        </w:tc>
        <w:tc>
          <w:tcPr>
            <w:tcW w:w="982" w:type="dxa"/>
            <w:tcBorders/>
            <w:vAlign w:val="bottom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4276" w:type="dxa"/>
            <w:gridSpan w:val="4"/>
            <w:tcBorders/>
            <w:vAlign w:val="bottom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Средства на оплату труда рабочих</w:t>
            </w:r>
          </w:p>
        </w:tc>
        <w:tc>
          <w:tcPr>
            <w:tcW w:w="1304" w:type="dxa"/>
            <w:tcBorders/>
            <w:vAlign w:val="bottom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59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35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32" w:type="dxa"/>
            <w:tcBorders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тыс.руб.</w:t>
            </w:r>
          </w:p>
        </w:tc>
      </w:tr>
      <w:tr>
        <w:trPr>
          <w:trHeight w:val="255" w:hRule="atLeast"/>
        </w:trPr>
        <w:tc>
          <w:tcPr>
            <w:tcW w:w="999" w:type="dxa"/>
            <w:tcBorders/>
            <w:vAlign w:val="bottom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27" w:type="dxa"/>
            <w:tcBorders/>
            <w:vAlign w:val="bottom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монтажных работ</w:t>
            </w:r>
          </w:p>
        </w:tc>
        <w:tc>
          <w:tcPr>
            <w:tcW w:w="83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47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06" w:type="dxa"/>
            <w:tcBorders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тыс.руб.</w:t>
            </w:r>
          </w:p>
        </w:tc>
        <w:tc>
          <w:tcPr>
            <w:tcW w:w="982" w:type="dxa"/>
            <w:tcBorders/>
            <w:vAlign w:val="bottom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4276" w:type="dxa"/>
            <w:gridSpan w:val="4"/>
            <w:tcBorders/>
            <w:vAlign w:val="bottom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Нормативные затраты труда рабочих</w:t>
            </w:r>
          </w:p>
        </w:tc>
        <w:tc>
          <w:tcPr>
            <w:tcW w:w="1304" w:type="dxa"/>
            <w:tcBorders/>
            <w:vAlign w:val="bottom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59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35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32" w:type="dxa"/>
            <w:tcBorders/>
            <w:vAlign w:val="bottom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чел.час.</w:t>
            </w:r>
          </w:p>
        </w:tc>
      </w:tr>
      <w:tr>
        <w:trPr>
          <w:trHeight w:val="255" w:hRule="atLeast"/>
        </w:trPr>
        <w:tc>
          <w:tcPr>
            <w:tcW w:w="999" w:type="dxa"/>
            <w:tcBorders/>
            <w:vAlign w:val="bottom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27" w:type="dxa"/>
            <w:tcBorders/>
            <w:vAlign w:val="bottom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оборудования</w:t>
            </w:r>
          </w:p>
        </w:tc>
        <w:tc>
          <w:tcPr>
            <w:tcW w:w="83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47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06" w:type="dxa"/>
            <w:tcBorders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тыс.руб.</w:t>
            </w:r>
          </w:p>
        </w:tc>
        <w:tc>
          <w:tcPr>
            <w:tcW w:w="982" w:type="dxa"/>
            <w:tcBorders/>
            <w:vAlign w:val="bottom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4276" w:type="dxa"/>
            <w:gridSpan w:val="4"/>
            <w:tcBorders/>
            <w:vAlign w:val="bottom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Нормативные затраты труда машинистов</w:t>
            </w:r>
          </w:p>
        </w:tc>
        <w:tc>
          <w:tcPr>
            <w:tcW w:w="1304" w:type="dxa"/>
            <w:tcBorders/>
            <w:vAlign w:val="bottom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59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35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2" w:type="dxa"/>
            <w:tcBorders/>
            <w:vAlign w:val="bottom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чел.час.</w:t>
            </w:r>
          </w:p>
        </w:tc>
      </w:tr>
      <w:tr>
        <w:trPr>
          <w:trHeight w:val="255" w:hRule="atLeast"/>
        </w:trPr>
        <w:tc>
          <w:tcPr>
            <w:tcW w:w="999" w:type="dxa"/>
            <w:tcBorders/>
            <w:vAlign w:val="bottom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27" w:type="dxa"/>
            <w:tcBorders/>
            <w:vAlign w:val="bottom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прочих затрат</w:t>
            </w:r>
          </w:p>
        </w:tc>
        <w:tc>
          <w:tcPr>
            <w:tcW w:w="839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47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06" w:type="dxa"/>
            <w:tcBorders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тыс.руб.</w:t>
            </w:r>
          </w:p>
        </w:tc>
        <w:tc>
          <w:tcPr>
            <w:tcW w:w="982" w:type="dxa"/>
            <w:tcBorders/>
            <w:vAlign w:val="bottom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5580" w:type="dxa"/>
            <w:gridSpan w:val="5"/>
            <w:tcBorders/>
            <w:vAlign w:val="bottom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Расчетный измеритель конструктивного решения  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2" w:type="dxa"/>
            <w:tcBorders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195" w:hRule="exact"/>
        </w:trPr>
        <w:tc>
          <w:tcPr>
            <w:tcW w:w="999" w:type="dxa"/>
            <w:tcBorders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27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39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70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06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82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08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3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58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07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04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9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35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32" w:type="dxa"/>
            <w:tcBorders/>
            <w:vAlign w:val="bottom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20" w:hRule="atLeast"/>
        </w:trPr>
        <w:tc>
          <w:tcPr>
            <w:tcW w:w="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2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Обоснование</w:t>
            </w:r>
          </w:p>
        </w:tc>
        <w:tc>
          <w:tcPr>
            <w:tcW w:w="311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работ и затрат</w:t>
            </w:r>
          </w:p>
        </w:tc>
        <w:tc>
          <w:tcPr>
            <w:tcW w:w="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346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271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Сметная стоимость в базисном уровне цен (в текущем уровне цен (гр. 8) для ресурсов, отсутствующих в СНБ), руб.</w:t>
            </w:r>
          </w:p>
        </w:tc>
        <w:tc>
          <w:tcPr>
            <w:tcW w:w="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Индексы</w:t>
            </w:r>
          </w:p>
        </w:tc>
        <w:tc>
          <w:tcPr>
            <w:tcW w:w="12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Сметная стоимость в текущем уровне цен, руб.</w:t>
            </w:r>
          </w:p>
        </w:tc>
      </w:tr>
      <w:tr>
        <w:trPr>
          <w:trHeight w:val="735" w:hRule="atLeast"/>
        </w:trPr>
        <w:tc>
          <w:tcPr>
            <w:tcW w:w="9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2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1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98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46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710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8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2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900" w:hRule="atLeast"/>
        </w:trPr>
        <w:tc>
          <w:tcPr>
            <w:tcW w:w="9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2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11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98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8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 единицу</w:t>
            </w:r>
          </w:p>
        </w:tc>
        <w:tc>
          <w:tcPr>
            <w:tcW w:w="130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коэффициенты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всего с учетом коэффициентов</w:t>
            </w:r>
          </w:p>
        </w:tc>
        <w:tc>
          <w:tcPr>
            <w:tcW w:w="80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 единицу</w:t>
            </w:r>
          </w:p>
        </w:tc>
        <w:tc>
          <w:tcPr>
            <w:tcW w:w="13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коэффициенты</w:t>
            </w:r>
          </w:p>
        </w:tc>
        <w:tc>
          <w:tcPr>
            <w:tcW w:w="5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2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25" w:hRule="atLeast"/>
        </w:trPr>
        <w:tc>
          <w:tcPr>
            <w:tcW w:w="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11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30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35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80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3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59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23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</w:tr>
    </w:tbl>
    <w:p>
      <w:pPr>
        <w:sectPr>
          <w:headerReference w:type="default" r:id="rId23"/>
          <w:headerReference w:type="first" r:id="rId24"/>
          <w:footerReference w:type="default" r:id="rId25"/>
          <w:footerReference w:type="first" r:id="rId26"/>
          <w:footnotePr>
            <w:numFmt w:val="decimal"/>
            <w:numRestart w:val="eachPage"/>
          </w:footnotePr>
          <w:type w:val="nextPage"/>
          <w:pgSz w:orient="landscape" w:w="16838" w:h="11906"/>
          <w:pgMar w:left="1134" w:right="1134" w:gutter="0" w:header="709" w:top="1134" w:footer="709" w:bottom="1134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ind w:firstLine="720" w:left="5811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Приложение № 2</w:t>
      </w:r>
    </w:p>
    <w:p>
      <w:pPr>
        <w:pStyle w:val="Normal"/>
        <w:ind w:firstLine="142" w:left="5811"/>
        <w:jc w:val="right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 Требованиям к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</w:t>
      </w:r>
    </w:p>
    <w:p>
      <w:pPr>
        <w:pStyle w:val="Normal"/>
        <w:shd w:val="clear" w:color="auto" w:fill="FFFFFF"/>
        <w:ind w:hanging="142" w:left="142"/>
        <w:rPr>
          <w:b/>
          <w:sz w:val="24"/>
          <w:szCs w:val="24"/>
        </w:rPr>
      </w:pPr>
      <w:r>
        <w:rPr>
          <w:b/>
          <w:sz w:val="24"/>
          <w:szCs w:val="24"/>
        </w:rPr>
        <w:t>Образец № 3п</w:t>
      </w:r>
    </w:p>
    <w:tbl>
      <w:tblPr>
        <w:tblW w:w="998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9989"/>
      </w:tblGrid>
      <w:tr>
        <w:trPr/>
        <w:tc>
          <w:tcPr>
            <w:tcW w:w="9989" w:type="dxa"/>
            <w:tcBorders/>
          </w:tcPr>
          <w:p>
            <w:pPr>
              <w:pStyle w:val="Normal"/>
              <w:widowControl w:val="false"/>
              <w:shd w:val="clear" w:color="auto" w:fill="FFFFFF"/>
              <w:ind w:hanging="284" w:left="65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Приложение №_____</w:t>
            </w:r>
          </w:p>
          <w:p>
            <w:pPr>
              <w:pStyle w:val="Normal"/>
              <w:widowControl w:val="false"/>
              <w:shd w:val="clear" w:color="auto" w:fill="FFFFFF"/>
              <w:ind w:left="6239" w:right="-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 договору от ______№_______ </w:t>
            </w:r>
          </w:p>
          <w:p>
            <w:pPr>
              <w:pStyle w:val="Normal"/>
              <w:widowControl w:val="false"/>
              <w:shd w:val="clear" w:color="auto" w:fill="FFFFFF"/>
              <w:ind w:left="6239" w:right="-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(дополнительному соглашению)</w:t>
            </w:r>
          </w:p>
          <w:tbl>
            <w:tblPr>
              <w:tblW w:w="9564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00" w:noHBand="0" w:noVBand="0" w:firstColumn="0" w:lastRow="0" w:lastColumn="0" w:firstRow="0"/>
            </w:tblPr>
            <w:tblGrid>
              <w:gridCol w:w="3904"/>
              <w:gridCol w:w="5659"/>
            </w:tblGrid>
            <w:tr>
              <w:trPr>
                <w:trHeight w:val="446" w:hRule="atLeast"/>
              </w:trPr>
              <w:tc>
                <w:tcPr>
                  <w:tcW w:w="3904" w:type="dxa"/>
                  <w:tcBorders/>
                  <w:vAlign w:val="bottom"/>
                </w:tcPr>
                <w:p>
                  <w:pPr>
                    <w:pStyle w:val="Normal"/>
                    <w:widowControl w:val="false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</w:r>
                </w:p>
                <w:p>
                  <w:pPr>
                    <w:pStyle w:val="Normal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СОГЛАСОВАНО:</w:t>
                  </w:r>
                </w:p>
                <w:p>
                  <w:pPr>
                    <w:pStyle w:val="Normal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________________(Подрядчик)</w:t>
                  </w:r>
                </w:p>
                <w:p>
                  <w:pPr>
                    <w:pStyle w:val="Normal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________________ Ф.И.О</w:t>
                  </w:r>
                </w:p>
                <w:p>
                  <w:pPr>
                    <w:pStyle w:val="Normal"/>
                    <w:widowControl w:val="fals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W w:w="5659" w:type="dxa"/>
                  <w:tcBorders/>
                </w:tcPr>
                <w:p>
                  <w:pPr>
                    <w:pStyle w:val="Normal"/>
                    <w:widowControl w:val="false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</w:r>
                </w:p>
                <w:p>
                  <w:pPr>
                    <w:pStyle w:val="Normal"/>
                    <w:widowControl w:val="false"/>
                    <w:ind w:left="1886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УТВЕРЖДАЮ:</w:t>
                  </w:r>
                </w:p>
                <w:p>
                  <w:pPr>
                    <w:pStyle w:val="Normal"/>
                    <w:widowControl w:val="false"/>
                    <w:ind w:left="1886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_________________(Заказчик)</w:t>
                  </w:r>
                </w:p>
                <w:p>
                  <w:pPr>
                    <w:pStyle w:val="Normal"/>
                    <w:widowControl w:val="false"/>
                    <w:ind w:left="1886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_________________Ф.И.О.</w:t>
                  </w:r>
                </w:p>
                <w:p>
                  <w:pPr>
                    <w:pStyle w:val="Normal"/>
                    <w:widowControl w:val="false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Смета № </w:t>
              <w:br/>
              <w:t>на шеф - монтажные работы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предприятия, здания, сооружения, вида шеф-монтажных работ_____________________________________________________________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монтажной организации 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организации заказчика 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Составлена в текущих ценах, соответствующих периоду выполнения работ по договору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 Расчет заработной платы</w:t>
            </w:r>
            <w:r>
              <w:rPr>
                <w:sz w:val="24"/>
                <w:szCs w:val="24"/>
              </w:rPr>
              <w:tab/>
              <w:tab/>
              <w:tab/>
              <w:tab/>
              <w:tab/>
              <w:tab/>
              <w:tab/>
              <w:tab/>
              <w:t>руб.</w:t>
            </w:r>
          </w:p>
          <w:tbl>
            <w:tblPr>
              <w:tblW w:w="9649" w:type="dxa"/>
              <w:jc w:val="center"/>
              <w:tblInd w:w="0" w:type="dxa"/>
              <w:tblLayout w:type="fixed"/>
              <w:tblCellMar>
                <w:top w:w="0" w:type="dxa"/>
                <w:left w:w="28" w:type="dxa"/>
                <w:bottom w:w="0" w:type="dxa"/>
                <w:right w:w="28" w:type="dxa"/>
              </w:tblCellMar>
              <w:tblLook w:val="0000" w:noHBand="0" w:noVBand="0" w:firstColumn="0" w:lastRow="0" w:lastColumn="0" w:firstRow="0"/>
            </w:tblPr>
            <w:tblGrid>
              <w:gridCol w:w="549"/>
              <w:gridCol w:w="2200"/>
              <w:gridCol w:w="1209"/>
              <w:gridCol w:w="1175"/>
              <w:gridCol w:w="1400"/>
              <w:gridCol w:w="1391"/>
              <w:gridCol w:w="1724"/>
            </w:tblGrid>
            <w:tr>
              <w:trPr>
                <w:tblHeader w:val="true"/>
              </w:trPr>
              <w:tc>
                <w:tcPr>
                  <w:tcW w:w="549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№ </w:t>
                  </w:r>
                  <w:r>
                    <w:rPr>
                      <w:sz w:val="24"/>
                      <w:szCs w:val="24"/>
                    </w:rPr>
                    <w:t>п/п.</w:t>
                  </w:r>
                </w:p>
              </w:tc>
              <w:tc>
                <w:tcPr>
                  <w:tcW w:w="2200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Перечень выполняемых работ</w:t>
                  </w:r>
                </w:p>
              </w:tc>
              <w:tc>
                <w:tcPr>
                  <w:tcW w:w="2384" w:type="dxa"/>
                  <w:gridSpan w:val="2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Исполнители</w:t>
                  </w:r>
                </w:p>
              </w:tc>
              <w:tc>
                <w:tcPr>
                  <w:tcW w:w="1400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Количество человеко-дней</w:t>
                  </w:r>
                </w:p>
              </w:tc>
              <w:tc>
                <w:tcPr>
                  <w:tcW w:w="1391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Средняя оплата труда</w:t>
                  </w:r>
                </w:p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за 1 день</w:t>
                  </w:r>
                </w:p>
              </w:tc>
              <w:tc>
                <w:tcPr>
                  <w:tcW w:w="1724" w:type="dxa"/>
                  <w:vMerge w:val="restart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Оплата труда (всего)</w:t>
                  </w:r>
                </w:p>
              </w:tc>
            </w:tr>
            <w:tr>
              <w:trPr>
                <w:tblHeader w:val="true"/>
              </w:trPr>
              <w:tc>
                <w:tcPr>
                  <w:tcW w:w="549" w:type="dxa"/>
                  <w:vMerge w:val="continue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/>
                  </w:pPr>
                  <w:r>
                    <w:rPr/>
                  </w:r>
                </w:p>
              </w:tc>
              <w:tc>
                <w:tcPr>
                  <w:tcW w:w="2200" w:type="dxa"/>
                  <w:vMerge w:val="continue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/>
                  </w:pPr>
                  <w:r>
                    <w:rPr/>
                  </w:r>
                </w:p>
              </w:tc>
              <w:tc>
                <w:tcPr>
                  <w:tcW w:w="1209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количество</w:t>
                  </w:r>
                </w:p>
              </w:tc>
              <w:tc>
                <w:tcPr>
                  <w:tcW w:w="1175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должность</w:t>
                  </w:r>
                </w:p>
              </w:tc>
              <w:tc>
                <w:tcPr>
                  <w:tcW w:w="1400" w:type="dxa"/>
                  <w:vMerge w:val="continue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/>
                  </w:pPr>
                  <w:r>
                    <w:rPr/>
                  </w:r>
                </w:p>
              </w:tc>
              <w:tc>
                <w:tcPr>
                  <w:tcW w:w="1391" w:type="dxa"/>
                  <w:vMerge w:val="continue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/>
                  </w:pPr>
                  <w:r>
                    <w:rPr/>
                  </w:r>
                </w:p>
              </w:tc>
              <w:tc>
                <w:tcPr>
                  <w:tcW w:w="1724" w:type="dxa"/>
                  <w:vMerge w:val="continue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tcMar>
                    <w:left w:w="7" w:type="dxa"/>
                    <w:right w:w="2" w:type="dxa"/>
                  </w:tcMar>
                  <w:vAlign w:val="center"/>
                </w:tcPr>
                <w:p>
                  <w:pPr>
                    <w:pStyle w:val="Normal"/>
                    <w:widowControl w:val="false"/>
                    <w:rPr/>
                  </w:pPr>
                  <w:r>
                    <w:rPr/>
                  </w:r>
                </w:p>
              </w:tc>
            </w:tr>
            <w:tr>
              <w:trPr>
                <w:tblHeader w:val="true"/>
              </w:trPr>
              <w:tc>
                <w:tcPr>
                  <w:tcW w:w="5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200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09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175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400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3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724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</w:t>
                  </w:r>
                </w:p>
              </w:tc>
            </w:tr>
            <w:tr>
              <w:trPr/>
              <w:tc>
                <w:tcPr>
                  <w:tcW w:w="549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200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09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175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00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91" w:type="dxa"/>
                  <w:tcBorders>
                    <w:top w:val="single" w:sz="6" w:space="0" w:color="000000"/>
                    <w:left w:val="single" w:sz="6" w:space="0" w:color="000000"/>
                    <w:bottom w:val="single" w:sz="2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724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</w:tr>
            <w:tr>
              <w:trPr/>
              <w:tc>
                <w:tcPr>
                  <w:tcW w:w="54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200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09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175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400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391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2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724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color="auto" w:fill="FFFFFF" w:val="clear"/>
                  <w:vAlign w:val="center"/>
                </w:tcPr>
                <w:p>
                  <w:pPr>
                    <w:pStyle w:val="Normal"/>
                    <w:widowControl w:val="false"/>
                    <w:shd w:val="clear" w:color="auto" w:fill="FFFFFF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 </w:t>
                  </w:r>
                </w:p>
              </w:tc>
            </w:tr>
          </w:tbl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заработной платы, в руб. 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Расчет стоимости выполнения работ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 Накладные расходы, %__________________________________________________________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 Себестоимость работ 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 Уровень рентабельности, % 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Итого </w:t>
            </w:r>
            <w:r>
              <w:rPr>
                <w:sz w:val="24"/>
                <w:szCs w:val="24"/>
              </w:rPr>
              <w:t>__________________________________________________________________________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Командировочные расходы (по расчету)_________________________________________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 (руб.)</w:t>
            </w:r>
            <w:r>
              <w:rPr>
                <w:sz w:val="24"/>
                <w:szCs w:val="24"/>
              </w:rPr>
              <w:t xml:space="preserve"> __________________________________________________________________________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_________________________________________________________________________________</w:t>
            </w:r>
          </w:p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(сумма прописью)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Составил:________/должность,организация/_______/подпись/___________/расшифровка подписи/</w:t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Проверил:_________/должность, организация/_________/подпись/_________/расшифровка подписи/</w:t>
            </w:r>
          </w:p>
        </w:tc>
      </w:tr>
    </w:tbl>
    <w:p>
      <w:pPr>
        <w:pStyle w:val="ConsPlusNormal1"/>
        <w:widowControl/>
        <w:ind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r>
        <w:br w:type="page"/>
      </w:r>
    </w:p>
    <w:p>
      <w:pPr>
        <w:pStyle w:val="Normal"/>
        <w:ind w:left="5811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2.1</w:t>
      </w:r>
    </w:p>
    <w:p>
      <w:pPr>
        <w:pStyle w:val="Normal"/>
        <w:ind w:left="5811"/>
        <w:jc w:val="right"/>
        <w:rPr>
          <w:sz w:val="24"/>
          <w:szCs w:val="24"/>
        </w:rPr>
      </w:pPr>
      <w:r>
        <w:rPr>
          <w:sz w:val="24"/>
          <w:szCs w:val="24"/>
        </w:rPr>
        <w:t>к Требованиям к оформлению и</w:t>
      </w:r>
    </w:p>
    <w:p>
      <w:pPr>
        <w:pStyle w:val="Normal"/>
        <w:ind w:firstLine="857" w:left="5811"/>
        <w:jc w:val="right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составлению сметной документации </w:t>
      </w:r>
      <w:r>
        <w:rPr>
          <w:color w:val="000000"/>
          <w:sz w:val="24"/>
          <w:szCs w:val="24"/>
        </w:rPr>
        <w:t>на выполнение строительно-монтажных работ по программе ремонтов, реконструкции и техническому перевооружению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ПОЯСНИТЕЛЬНАЯ ЗАПИСКА </w:t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 заполнению формы №3п</w:t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при составлении смет на шеф-монтажные, шеф-наладочные работы </w:t>
      </w:r>
    </w:p>
    <w:p>
      <w:pPr>
        <w:pStyle w:val="Normal"/>
        <w:tabs>
          <w:tab w:val="clear" w:pos="708"/>
          <w:tab w:val="left" w:pos="1080" w:leader="none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15"/>
        </w:numPr>
        <w:tabs>
          <w:tab w:val="clear" w:pos="708"/>
          <w:tab w:val="left" w:pos="993" w:leader="none"/>
        </w:tabs>
        <w:spacing w:before="0" w:after="0"/>
        <w:ind w:firstLine="709" w:left="0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При составлении сметного расчета по трудозатратам (форма №3п), обоснование расчета трудозатрат представляется заказчику по его просьбе. Сметные расчеты составляются в ценах текущего периода.</w:t>
      </w:r>
    </w:p>
    <w:p>
      <w:pPr>
        <w:pStyle w:val="Normal"/>
        <w:numPr>
          <w:ilvl w:val="0"/>
          <w:numId w:val="15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709" w:left="0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Расчетом по трудозатратам (форма №3п) рекомендуется определять стоимость работ, цены на которые отсутствуют в СБЦ и СЦ, внесенных в ФРСН.</w:t>
      </w:r>
    </w:p>
    <w:p>
      <w:pPr>
        <w:pStyle w:val="Normal"/>
        <w:numPr>
          <w:ilvl w:val="0"/>
          <w:numId w:val="15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709" w:left="0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Форма сметы для определения затрат по себестоимости и уровню рентабельности (форма №3п) приведена в образце 3П Приложения 2.</w:t>
      </w:r>
    </w:p>
    <w:p>
      <w:pPr>
        <w:pStyle w:val="Normal"/>
        <w:numPr>
          <w:ilvl w:val="0"/>
          <w:numId w:val="15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709" w:left="0"/>
        <w:contextualSpacing/>
        <w:jc w:val="both"/>
        <w:rPr>
          <w:rFonts w:eastAsia="Calibri"/>
          <w:sz w:val="24"/>
          <w:szCs w:val="24"/>
        </w:rPr>
      </w:pPr>
      <w:r>
        <w:rPr>
          <w:sz w:val="24"/>
          <w:szCs w:val="24"/>
        </w:rPr>
        <w:t xml:space="preserve">Результаты вычислений и итоговые данные по разделам расчета </w:t>
      </w:r>
      <w:r>
        <w:rPr>
          <w:sz w:val="24"/>
          <w:szCs w:val="24"/>
          <w:u w:val="single"/>
        </w:rPr>
        <w:t>округлять до целых рублей.</w:t>
      </w:r>
    </w:p>
    <w:p>
      <w:pPr>
        <w:pStyle w:val="Normal"/>
        <w:numPr>
          <w:ilvl w:val="0"/>
          <w:numId w:val="15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709" w:left="0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Особенности заполнения формы 3п.</w:t>
      </w:r>
    </w:p>
    <w:p>
      <w:pPr>
        <w:pStyle w:val="Normal"/>
        <w:tabs>
          <w:tab w:val="clear" w:pos="708"/>
          <w:tab w:val="left" w:pos="993" w:leader="none"/>
        </w:tabs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Раздел 1. Расчет заработной платы:</w:t>
      </w:r>
    </w:p>
    <w:p>
      <w:pPr>
        <w:pStyle w:val="Normal"/>
        <w:numPr>
          <w:ilvl w:val="0"/>
          <w:numId w:val="13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709" w:left="0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в графе 1 приводится нумерация выполняемых работ;</w:t>
      </w:r>
    </w:p>
    <w:p>
      <w:pPr>
        <w:pStyle w:val="Normal"/>
        <w:numPr>
          <w:ilvl w:val="0"/>
          <w:numId w:val="13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709" w:left="0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в графе 2 приводится наименование выполняемых работ;</w:t>
      </w:r>
    </w:p>
    <w:p>
      <w:pPr>
        <w:pStyle w:val="Normal"/>
        <w:numPr>
          <w:ilvl w:val="0"/>
          <w:numId w:val="13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709" w:left="0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в графе 3 указывается количество привлекаемых работников;</w:t>
      </w:r>
    </w:p>
    <w:p>
      <w:pPr>
        <w:pStyle w:val="Normal"/>
        <w:numPr>
          <w:ilvl w:val="0"/>
          <w:numId w:val="13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709" w:left="0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в графе 4 указывается наименование должности (при необходимости с указанием конкретных фамилий) работников, участвующих в выполнении каждой из приведенных работ в графе 2 работ;</w:t>
      </w:r>
    </w:p>
    <w:p>
      <w:pPr>
        <w:pStyle w:val="Normal"/>
        <w:numPr>
          <w:ilvl w:val="0"/>
          <w:numId w:val="13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709" w:left="0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в графе 5 для каждой должностной группы (при необходимости с указанием конкретных фамилий) работников, участвующих в выполнении данной работы, указывается общее количество рабочих дней, необходимых данной квалификационной группе для её выполнения; рабочее время не должно превышать значений, определенных по нормативным временным нормам;</w:t>
      </w:r>
    </w:p>
    <w:p>
      <w:pPr>
        <w:pStyle w:val="Normal"/>
        <w:numPr>
          <w:ilvl w:val="0"/>
          <w:numId w:val="13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709" w:left="0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в графе 6 приводятся данные по стоимости 1 человеко-дня в рублях по категориям работников. Стоимость 1 человеко-дня непосредственных исполнителей приводится по штатному расписанию основного производственного персонала исходя из установленных в нем окладов, а также выплат стимулирующего и компенсирующего характера, установленных Положением о премировании работников предприятия.</w:t>
      </w:r>
    </w:p>
    <w:p>
      <w:pPr>
        <w:pStyle w:val="Normal"/>
        <w:numPr>
          <w:ilvl w:val="0"/>
          <w:numId w:val="13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709" w:left="0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в графе 7 указывается заработная плата в рублях (</w:t>
      </w:r>
      <w:r>
        <w:rPr>
          <w:rFonts w:eastAsia="Calibri"/>
          <w:b/>
          <w:sz w:val="24"/>
          <w:szCs w:val="24"/>
          <w:u w:val="single"/>
        </w:rPr>
        <w:t>результат перемножения граф 5 и 6</w:t>
      </w:r>
      <w:r>
        <w:rPr>
          <w:rFonts w:eastAsia="Calibri"/>
          <w:sz w:val="24"/>
          <w:szCs w:val="24"/>
        </w:rPr>
        <w:t>);</w:t>
      </w:r>
    </w:p>
    <w:p>
      <w:pPr>
        <w:pStyle w:val="Normal"/>
        <w:tabs>
          <w:tab w:val="clear" w:pos="708"/>
          <w:tab w:val="left" w:pos="993" w:leader="none"/>
          <w:tab w:val="left" w:pos="1080" w:leader="none"/>
        </w:tabs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Данные по количеству человек, дней и категорий непосредственных исполнителей, приведенные в графах 3, 4, 5, указываются в соответствии с экспертной оценкой трудоемкости этих работ или на базе имеющихся в организации проработок, определяющих нормативы их трудоемкости.</w:t>
      </w:r>
    </w:p>
    <w:p>
      <w:pPr>
        <w:pStyle w:val="Normal"/>
        <w:tabs>
          <w:tab w:val="clear" w:pos="708"/>
          <w:tab w:val="left" w:pos="993" w:leader="none"/>
          <w:tab w:val="left" w:pos="1080" w:leader="none"/>
        </w:tabs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Раздел 2. Расчет стоимости выполнения работ</w:t>
      </w:r>
    </w:p>
    <w:p>
      <w:pPr>
        <w:pStyle w:val="Normal"/>
        <w:numPr>
          <w:ilvl w:val="0"/>
          <w:numId w:val="13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709" w:left="0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в пункте 2.1 указываются накладные расходы. Данные по оплате труда, накладным расходам, уровню рентабельности организации принимаются в соответствии с плановыми показателями на соответствующий период выполнения работ и утверждаются внутренним распорядительным документом организации.</w:t>
      </w:r>
    </w:p>
    <w:p>
      <w:pPr>
        <w:pStyle w:val="Normal"/>
        <w:numPr>
          <w:ilvl w:val="0"/>
          <w:numId w:val="13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709" w:left="0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в пункте 2.2 производится расчет себестоимости работ на основании выполненного в разделе 1 расчета заработной платы и накладных расходов (сложение итога графы 7 раздела 1 и пункта 2.1);</w:t>
      </w:r>
    </w:p>
    <w:p>
      <w:pPr>
        <w:pStyle w:val="Normal"/>
        <w:numPr>
          <w:ilvl w:val="0"/>
          <w:numId w:val="13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709" w:left="0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в пункте 2.3 указывается уровень рентабельности (размер сметной прибыли), принимается по данным организации в соответствии с финансовым планом;</w:t>
      </w:r>
    </w:p>
    <w:p>
      <w:pPr>
        <w:pStyle w:val="Normal"/>
        <w:numPr>
          <w:ilvl w:val="0"/>
          <w:numId w:val="13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709" w:left="0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уровень рентабельности по отношению к себестоимости может составлять до 15%.</w:t>
      </w:r>
    </w:p>
    <w:p>
      <w:pPr>
        <w:pStyle w:val="Normal"/>
        <w:tabs>
          <w:tab w:val="clear" w:pos="708"/>
          <w:tab w:val="left" w:pos="993" w:leader="none"/>
          <w:tab w:val="left" w:pos="1080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t>К сметной документации необходимо приложить все справочные данные по вышеуказанным экономическим характеристикам предприятия в форме официальной справки (образец в Приложении №1 к пояснительной записке по заполнению формы 3П).</w:t>
      </w:r>
    </w:p>
    <w:p>
      <w:pPr>
        <w:pStyle w:val="Normal"/>
        <w:tabs>
          <w:tab w:val="clear" w:pos="708"/>
          <w:tab w:val="left" w:pos="993" w:leader="none"/>
          <w:tab w:val="left" w:pos="1080" w:leader="none"/>
        </w:tabs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Раздел 3. Расчет командировочных расходов.</w:t>
      </w:r>
    </w:p>
    <w:p>
      <w:pPr>
        <w:pStyle w:val="Normal"/>
        <w:tabs>
          <w:tab w:val="clear" w:pos="708"/>
          <w:tab w:val="left" w:pos="993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Командировочные расходы включаются в сметный расчет отдельной строкой (пункт 3 формы 3П) по отдельно выполненному расчету (приложение № 2) с расшифровкой затрат на проезд, проживание, суточные расходы. </w:t>
      </w:r>
    </w:p>
    <w:p>
      <w:pPr>
        <w:pStyle w:val="Normal"/>
        <w:tabs>
          <w:tab w:val="clear" w:pos="708"/>
          <w:tab w:val="left" w:pos="993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t>Стоимость проезда необходимо указать по каждому виду транспорта отдельно туда и отдельно обратно.</w:t>
      </w:r>
    </w:p>
    <w:p>
      <w:pPr>
        <w:pStyle w:val="Normal"/>
        <w:tabs>
          <w:tab w:val="clear" w:pos="708"/>
          <w:tab w:val="left" w:pos="993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t>Размер расходов на проезд и стоимость проживания в гостинице определяется на момент составления расчета.</w:t>
      </w:r>
    </w:p>
    <w:p>
      <w:pPr>
        <w:pStyle w:val="Normal"/>
        <w:tabs>
          <w:tab w:val="clear" w:pos="708"/>
          <w:tab w:val="left" w:pos="993" w:leader="none"/>
          <w:tab w:val="left" w:pos="1080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t>Размеры возмещения расходов, связанных со служебными командировками, определяются коллективным договором и/или локальным нормативным актом организации–исполнителя, но не выше нормативов возмещения расходов, связанных со служебными командировками, установленных локальным нормативным актом организации–заказчика.</w:t>
      </w:r>
    </w:p>
    <w:p>
      <w:pPr>
        <w:pStyle w:val="Normal"/>
        <w:tabs>
          <w:tab w:val="clear" w:pos="708"/>
          <w:tab w:val="left" w:pos="993" w:leader="none"/>
          <w:tab w:val="left" w:pos="1080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t>Лимиты командировочных расходов:</w:t>
      </w:r>
    </w:p>
    <w:p>
      <w:pPr>
        <w:pStyle w:val="Normal"/>
        <w:numPr>
          <w:ilvl w:val="0"/>
          <w:numId w:val="14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709" w:left="0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суточные - 700 руб./сутки;</w:t>
      </w:r>
    </w:p>
    <w:p>
      <w:pPr>
        <w:pStyle w:val="Normal"/>
        <w:numPr>
          <w:ilvl w:val="0"/>
          <w:numId w:val="14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709" w:left="0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проживание - до 5000 руб./сутки;</w:t>
      </w:r>
    </w:p>
    <w:p>
      <w:pPr>
        <w:pStyle w:val="Normal"/>
        <w:numPr>
          <w:ilvl w:val="0"/>
          <w:numId w:val="14"/>
        </w:numPr>
        <w:tabs>
          <w:tab w:val="clear" w:pos="708"/>
          <w:tab w:val="left" w:pos="993" w:leader="none"/>
          <w:tab w:val="left" w:pos="1080" w:leader="none"/>
        </w:tabs>
        <w:spacing w:before="0" w:after="0"/>
        <w:ind w:firstLine="709" w:left="0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проезд: поезд (купе) или самолет (</w:t>
      </w:r>
      <w:r>
        <w:rPr>
          <w:color w:val="000000"/>
          <w:sz w:val="24"/>
          <w:szCs w:val="24"/>
        </w:rPr>
        <w:t>класс–эконом с багажом до 20 (двадцати) кг, ручная кладь до 10 (десяти) кг</w:t>
      </w:r>
      <w:r>
        <w:rPr>
          <w:rFonts w:eastAsia="Calibri"/>
          <w:sz w:val="24"/>
          <w:szCs w:val="24"/>
        </w:rPr>
        <w:t>).</w:t>
      </w:r>
    </w:p>
    <w:p>
      <w:pPr>
        <w:pStyle w:val="Normal"/>
        <w:tabs>
          <w:tab w:val="clear" w:pos="708"/>
          <w:tab w:val="left" w:pos="993" w:leader="none"/>
          <w:tab w:val="left" w:pos="1080" w:leader="none"/>
        </w:tabs>
        <w:jc w:val="both"/>
        <w:rPr>
          <w:b/>
          <w:i/>
          <w:i/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Данные лимиты могут быть пересмотрены на этапе согласования технических требований.</w:t>
      </w:r>
    </w:p>
    <w:p>
      <w:pPr>
        <w:pStyle w:val="Normal"/>
        <w:tabs>
          <w:tab w:val="clear" w:pos="708"/>
          <w:tab w:val="left" w:pos="567" w:leader="none"/>
        </w:tabs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При учете командировочных расходов стоимость проезда (авиа-, ж/д, …) и проживания определяется </w:t>
      </w:r>
      <w:r>
        <w:rPr>
          <w:sz w:val="24"/>
          <w:szCs w:val="24"/>
        </w:rPr>
        <w:t>Методом анализа ТКП в соответствии с Методикой ПЦ</w:t>
      </w:r>
      <w:r>
        <w:rPr>
          <w:rFonts w:eastAsia="Calibri"/>
          <w:sz w:val="24"/>
          <w:szCs w:val="24"/>
        </w:rPr>
        <w:t>.</w:t>
      </w:r>
    </w:p>
    <w:p>
      <w:pPr>
        <w:sectPr>
          <w:headerReference w:type="default" r:id="rId27"/>
          <w:headerReference w:type="first" r:id="rId28"/>
          <w:footerReference w:type="default" r:id="rId29"/>
          <w:footerReference w:type="first" r:id="rId30"/>
          <w:footnotePr>
            <w:numFmt w:val="decimal"/>
            <w:numRestart w:val="eachPage"/>
          </w:footnotePr>
          <w:type w:val="nextPage"/>
          <w:pgSz w:w="11906" w:h="16838"/>
          <w:pgMar w:left="993" w:right="924" w:gutter="0" w:header="709" w:top="766" w:footer="709" w:bottom="766"/>
          <w:pgNumType w:fmt="decimal"/>
          <w:formProt w:val="false"/>
          <w:textDirection w:val="lrTb"/>
          <w:docGrid w:type="default" w:linePitch="360" w:charSpace="0"/>
        </w:sectPr>
        <w:pStyle w:val="Normal"/>
        <w:tabs>
          <w:tab w:val="clear" w:pos="708"/>
          <w:tab w:val="left" w:pos="567" w:leader="none"/>
        </w:tabs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При наличии командировочных расходов необходимо составлять общий реестр стоимости проездных билетов с разбивкой по сметам, к которым они относятся.</w:t>
      </w:r>
    </w:p>
    <w:p>
      <w:pPr>
        <w:pStyle w:val="Normal"/>
        <w:ind w:left="5811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№1</w:t>
      </w:r>
    </w:p>
    <w:p>
      <w:pPr>
        <w:pStyle w:val="Normal"/>
        <w:ind w:left="5811"/>
        <w:jc w:val="right"/>
        <w:rPr>
          <w:sz w:val="24"/>
          <w:szCs w:val="24"/>
        </w:rPr>
      </w:pPr>
      <w:r>
        <w:rPr>
          <w:sz w:val="24"/>
          <w:szCs w:val="24"/>
        </w:rPr>
        <w:t>к пояснительной записке</w:t>
      </w:r>
    </w:p>
    <w:p>
      <w:pPr>
        <w:pStyle w:val="Normal"/>
        <w:ind w:left="581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по заполнению формы 3П</w:t>
      </w:r>
    </w:p>
    <w:p>
      <w:pPr>
        <w:pStyle w:val="Normal"/>
        <w:ind w:left="581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СПРАВКА от__________ (указать дату составления справки) (Образец)</w:t>
      </w:r>
    </w:p>
    <w:p>
      <w:pPr>
        <w:pStyle w:val="Normal"/>
        <w:ind w:firstLine="284"/>
        <w:rPr>
          <w:sz w:val="24"/>
          <w:szCs w:val="24"/>
        </w:rPr>
      </w:pPr>
      <w:r>
        <w:rPr>
          <w:sz w:val="24"/>
          <w:szCs w:val="24"/>
        </w:rPr>
        <w:t>Настоящим (краткое/полное наименование организации подрядчика/контрагента) сообщает о том, что средняя оплата труда специалистов за рабочий день составляет: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8793" w:type="dxa"/>
        <w:jc w:val="left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747"/>
        <w:gridCol w:w="3942"/>
        <w:gridCol w:w="3104"/>
      </w:tblGrid>
      <w:tr>
        <w:trPr>
          <w:trHeight w:val="325" w:hRule="atLeast"/>
        </w:trPr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№ </w:t>
            </w:r>
            <w:r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 специалиста</w:t>
            </w:r>
          </w:p>
        </w:tc>
        <w:tc>
          <w:tcPr>
            <w:tcW w:w="31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Заработная плата в день, в руб.</w:t>
            </w:r>
          </w:p>
        </w:tc>
      </w:tr>
      <w:tr>
        <w:trPr>
          <w:trHeight w:val="630" w:hRule="atLeast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9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(указать должность)</w:t>
            </w:r>
          </w:p>
        </w:tc>
        <w:tc>
          <w:tcPr>
            <w:tcW w:w="31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>
        <w:trPr>
          <w:trHeight w:val="581" w:hRule="atLeast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9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(указать должность)</w:t>
            </w:r>
          </w:p>
        </w:tc>
        <w:tc>
          <w:tcPr>
            <w:tcW w:w="31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>
        <w:trPr>
          <w:trHeight w:val="634" w:hRule="atLeast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9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(указать должность)</w:t>
            </w:r>
          </w:p>
        </w:tc>
        <w:tc>
          <w:tcPr>
            <w:tcW w:w="31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ab/>
      </w:r>
    </w:p>
    <w:p>
      <w:pPr>
        <w:pStyle w:val="Normal"/>
        <w:ind w:firstLine="284"/>
        <w:rPr>
          <w:sz w:val="24"/>
          <w:szCs w:val="24"/>
        </w:rPr>
      </w:pPr>
      <w:r>
        <w:rPr>
          <w:sz w:val="24"/>
          <w:szCs w:val="24"/>
        </w:rPr>
        <w:t>Накладные расходы _______(%)</w:t>
        <w:tab/>
        <w:tab/>
        <w:tab/>
        <w:tab/>
        <w:tab/>
        <w:tab/>
      </w:r>
    </w:p>
    <w:p>
      <w:pPr>
        <w:pStyle w:val="Normal"/>
        <w:ind w:firstLine="284"/>
        <w:rPr>
          <w:sz w:val="24"/>
          <w:szCs w:val="24"/>
        </w:rPr>
      </w:pPr>
      <w:r>
        <w:rPr>
          <w:sz w:val="24"/>
          <w:szCs w:val="24"/>
        </w:rPr>
        <w:t>Рентабельность предприятия_________(%)</w:t>
        <w:tab/>
        <w:tab/>
        <w:tab/>
        <w:tab/>
        <w:tab/>
        <w:tab/>
        <w:t xml:space="preserve"> </w:t>
      </w:r>
    </w:p>
    <w:p>
      <w:pPr>
        <w:pStyle w:val="Normal"/>
        <w:ind w:firstLine="284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284"/>
        <w:rPr>
          <w:b/>
          <w:sz w:val="24"/>
          <w:szCs w:val="24"/>
        </w:rPr>
      </w:pPr>
      <w:r>
        <w:rPr>
          <w:b/>
          <w:sz w:val="24"/>
          <w:szCs w:val="24"/>
        </w:rPr>
        <w:t>Дата</w:t>
      </w:r>
    </w:p>
    <w:p>
      <w:pPr>
        <w:pStyle w:val="Normal"/>
        <w:ind w:firstLine="284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firstLine="284"/>
        <w:rPr>
          <w:sz w:val="24"/>
          <w:szCs w:val="24"/>
        </w:rPr>
      </w:pPr>
      <w:r>
        <w:rPr>
          <w:sz w:val="24"/>
          <w:szCs w:val="24"/>
        </w:rPr>
        <w:t>(Должность единоличного исполнительного органа контрагента/подрядчика)</w:t>
        <w:tab/>
        <w:tab/>
      </w:r>
    </w:p>
    <w:p>
      <w:pPr>
        <w:pStyle w:val="Normal"/>
        <w:ind w:firstLine="284"/>
        <w:rPr>
          <w:sz w:val="24"/>
          <w:szCs w:val="24"/>
        </w:rPr>
      </w:pPr>
      <w:r>
        <w:rPr>
          <w:sz w:val="24"/>
          <w:szCs w:val="24"/>
        </w:rPr>
        <w:t>(краткое/полное наименование организации) ________________ (ФИО)</w:t>
      </w:r>
    </w:p>
    <w:p>
      <w:pPr>
        <w:pStyle w:val="Normal"/>
        <w:ind w:firstLine="284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284"/>
        <w:rPr>
          <w:sz w:val="24"/>
          <w:szCs w:val="24"/>
        </w:rPr>
      </w:pPr>
      <w:r>
        <w:rPr>
          <w:sz w:val="24"/>
          <w:szCs w:val="24"/>
        </w:rPr>
        <w:t>м.п.</w:t>
      </w:r>
    </w:p>
    <w:p>
      <w:pPr>
        <w:pStyle w:val="Normal"/>
        <w:ind w:firstLine="284"/>
        <w:rPr>
          <w:sz w:val="24"/>
          <w:szCs w:val="24"/>
        </w:rPr>
      </w:pPr>
      <w:r>
        <w:rPr>
          <w:sz w:val="24"/>
          <w:szCs w:val="24"/>
        </w:rPr>
        <w:t>(Главный бухгалтер)</w:t>
      </w:r>
      <w:r>
        <w:rPr>
          <w:rStyle w:val="FootnoteReference"/>
          <w:sz w:val="24"/>
          <w:szCs w:val="24"/>
        </w:rPr>
        <w:footnoteReference w:id="7"/>
      </w:r>
      <w:r>
        <w:rPr>
          <w:sz w:val="24"/>
          <w:szCs w:val="24"/>
        </w:rPr>
        <w:tab/>
        <w:tab/>
      </w:r>
    </w:p>
    <w:p>
      <w:pPr>
        <w:pStyle w:val="Normal"/>
        <w:ind w:firstLine="284"/>
        <w:rPr>
          <w:sz w:val="24"/>
          <w:szCs w:val="24"/>
        </w:rPr>
      </w:pPr>
      <w:r>
        <w:rPr>
          <w:sz w:val="24"/>
          <w:szCs w:val="24"/>
        </w:rPr>
        <w:t>(краткое/полное наименование организации контрагента/подрядчика) _________ (ФИО)</w:t>
      </w:r>
    </w:p>
    <w:p>
      <w:pPr>
        <w:pStyle w:val="Normal"/>
        <w:ind w:firstLine="284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284"/>
        <w:rPr>
          <w:sz w:val="24"/>
          <w:szCs w:val="24"/>
        </w:rPr>
      </w:pPr>
      <w:r>
        <w:rPr>
          <w:sz w:val="24"/>
          <w:szCs w:val="24"/>
        </w:rPr>
        <w:t>м.п.</w:t>
      </w:r>
    </w:p>
    <w:p>
      <w:pPr>
        <w:pStyle w:val="ConsPlusNormal1"/>
        <w:widowControl/>
        <w:ind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r>
        <w:br w:type="page"/>
      </w:r>
    </w:p>
    <w:p>
      <w:pPr>
        <w:pStyle w:val="Normal"/>
        <w:ind w:left="5811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№2</w:t>
      </w:r>
    </w:p>
    <w:p>
      <w:pPr>
        <w:pStyle w:val="Normal"/>
        <w:ind w:left="5811"/>
        <w:jc w:val="right"/>
        <w:rPr>
          <w:sz w:val="24"/>
          <w:szCs w:val="24"/>
        </w:rPr>
      </w:pPr>
      <w:r>
        <w:rPr>
          <w:sz w:val="24"/>
          <w:szCs w:val="24"/>
        </w:rPr>
        <w:t>к пояснительной записке</w:t>
      </w:r>
    </w:p>
    <w:p>
      <w:pPr>
        <w:pStyle w:val="Normal"/>
        <w:ind w:left="5811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по заполнению формы 3П</w:t>
      </w:r>
    </w:p>
    <w:p>
      <w:pPr>
        <w:pStyle w:val="Normal"/>
        <w:ind w:left="581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Образец расчета командировочных расходов</w:t>
      </w:r>
    </w:p>
    <w:p>
      <w:pPr>
        <w:pStyle w:val="Normal"/>
        <w:ind w:hanging="567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__ к смете № __</w:t>
      </w:r>
    </w:p>
    <w:p>
      <w:pPr>
        <w:pStyle w:val="Normal"/>
        <w:ind w:hanging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Расчет командировочных расходов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84"/>
        <w:gridCol w:w="1095"/>
        <w:gridCol w:w="722"/>
        <w:gridCol w:w="882"/>
        <w:gridCol w:w="512"/>
        <w:gridCol w:w="876"/>
        <w:gridCol w:w="1002"/>
        <w:gridCol w:w="1098"/>
        <w:gridCol w:w="1341"/>
        <w:gridCol w:w="1342"/>
      </w:tblGrid>
      <w:tr>
        <w:trPr/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  <w:lang w:val="en-US"/>
              </w:rPr>
              <w:t>/</w:t>
            </w:r>
            <w:r>
              <w:rPr>
                <w:sz w:val="24"/>
                <w:szCs w:val="24"/>
              </w:rPr>
              <w:t>п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Пункт назначения </w:t>
              <w:br/>
              <w:t>(туда / обратно)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транспорта 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проезда, руб. (без НДС)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дней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Стоимость суточных, руб./сут. </w:t>
              <w:br/>
              <w:t>(без НДС)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Стоимость проживания, руб./сут.. </w:t>
              <w:br/>
              <w:t>(без НДС)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командировок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командированных человек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 стоимость командировочных расходов, руб. </w:t>
              <w:br/>
              <w:t>(без НДС)</w:t>
            </w:r>
          </w:p>
        </w:tc>
      </w:tr>
      <w:tr>
        <w:trPr/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пункта 1 в пункт 5</w:t>
            </w:r>
          </w:p>
        </w:tc>
      </w:tr>
      <w:tr>
        <w:trPr/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пункта 1 в пункт 2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пункта 2 в пункт 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</w:tr>
      <w:tr>
        <w:trPr/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пункта 4 в пункт 5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5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стоимость командировочных расходов из пункта 1 в пункт 5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17" w:hRule="atLeast"/>
        </w:trPr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пункта 5 в пункт 1</w:t>
            </w:r>
          </w:p>
        </w:tc>
      </w:tr>
      <w:tr>
        <w:trPr/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пункта 5 в пункт 4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пункта 4 в пункт 3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</w:tr>
      <w:tr>
        <w:trPr/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пункта 2 в пункт 1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5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стоимость командировочных расходов из пункта 5 в пункт 1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5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стоимость командировочных расходов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ind w:left="637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637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6373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ind w:left="581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Приложение 3 </w:t>
      </w:r>
    </w:p>
    <w:p>
      <w:pPr>
        <w:pStyle w:val="Normal"/>
        <w:ind w:left="581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 Требованиям к оформлению и составлению сметной документации </w:t>
      </w:r>
    </w:p>
    <w:p>
      <w:pPr>
        <w:pStyle w:val="Normal"/>
        <w:ind w:left="5811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на выполнение работ по программе ремонтов, реконструкции и техническому перевооружению</w:t>
      </w:r>
    </w:p>
    <w:p>
      <w:pPr>
        <w:pStyle w:val="Normal"/>
        <w:ind w:left="6373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Метод анализа ТКП</w:t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при формировании цен на материальные ресурсы и оборудование</w:t>
      </w:r>
    </w:p>
    <w:p>
      <w:pPr>
        <w:pStyle w:val="Normal"/>
        <w:ind w:firstLine="720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tabs>
          <w:tab w:val="clear" w:pos="708"/>
          <w:tab w:val="left" w:pos="993" w:leader="none"/>
        </w:tabs>
        <w:ind w:firstLine="720"/>
        <w:rPr>
          <w:sz w:val="24"/>
          <w:szCs w:val="24"/>
        </w:rPr>
      </w:pPr>
      <w:r>
        <w:rPr>
          <w:rFonts w:eastAsia="Calibri"/>
          <w:sz w:val="24"/>
          <w:szCs w:val="24"/>
        </w:rPr>
        <w:t>При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отсутствии </w:t>
      </w:r>
      <w:r>
        <w:rPr>
          <w:sz w:val="24"/>
          <w:szCs w:val="24"/>
        </w:rPr>
        <w:t>информации о сметных ценах в ФГИС ЦС и ФССЦ по материальным ресурсам и оборудованию, их сметная цена формируется Методом анализа ТКП в соответствии с Методикой формирования плановой цены на закупаемую продукцию для организаций Группы РусГидро. Образец заполнения формы приведен ниже:</w:t>
      </w:r>
      <w:bookmarkStart w:id="169" w:name="_MON_1766935975"/>
      <w:bookmarkEnd w:id="169"/>
    </w:p>
    <w:p>
      <w:pPr>
        <w:sectPr>
          <w:headerReference w:type="default" r:id="rId33"/>
          <w:headerReference w:type="first" r:id="rId34"/>
          <w:footerReference w:type="default" r:id="rId35"/>
          <w:footerReference w:type="first" r:id="rId36"/>
          <w:footnotePr>
            <w:numFmt w:val="decimal"/>
            <w:numRestart w:val="eachPage"/>
          </w:footnotePr>
          <w:type w:val="nextPage"/>
          <w:pgSz w:w="11906" w:h="16838"/>
          <w:pgMar w:left="1701" w:right="850" w:gutter="0" w:header="708" w:top="1134" w:footer="708" w:bottom="1134"/>
          <w:pgNumType w:fmt="decimal"/>
          <w:formProt w:val="false"/>
          <w:textDirection w:val="lrTb"/>
          <w:docGrid w:type="default" w:linePitch="360" w:charSpace="0"/>
        </w:sectPr>
        <w:pStyle w:val="Normal"/>
        <w:tabs>
          <w:tab w:val="clear" w:pos="708"/>
          <w:tab w:val="left" w:pos="993" w:leader="none"/>
        </w:tabs>
        <w:ind w:firstLine="720"/>
        <w:jc w:val="center"/>
        <w:rPr>
          <w:sz w:val="24"/>
          <w:szCs w:val="24"/>
        </w:rPr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3" wp14:anchorId="7A394134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2" name="Прямоугольник 2" hidden="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2" path="m0,0l-2147483645,0l-2147483645,-2147483646l0,-2147483646xe" stroked="f" o:allowincell="f" style="position:absolute;margin-left:0pt;margin-top:0.05pt;width:49.95pt;height:49.95pt;mso-wrap-style:none;v-text-anchor:middle" wp14:anchorId="7A394134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4" wp14:anchorId="42D0D11E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3" name="Прямоугольник 2" hidden="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2" path="m0,0l-2147483645,0l-2147483645,-2147483646l0,-2147483646xe" stroked="f" o:allowincell="f" style="position:absolute;margin-left:0pt;margin-top:0.05pt;width:49.95pt;height:49.95pt;mso-wrap-style:none;v-text-anchor:middle" wp14:anchorId="42D0D11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635" distR="0" simplePos="0" locked="0" layoutInCell="0" allowOverlap="1" relativeHeight="5" wp14:anchorId="13C1558C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4" name="_x0000_tole_rId2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_x0000_tole_rId29" path="m0,0l-2147483645,0l-2147483645,-2147483646l0,-2147483646xe" stroked="f" o:allowincell="f" style="position:absolute;margin-left:0.05pt;margin-top:0.05pt;width:49.95pt;height:49.95pt;mso-wrap-style:none;v-text-anchor:middle" wp14:anchorId="13C1558C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635" distR="0" simplePos="0" locked="0" layoutInCell="0" allowOverlap="1" relativeHeight="6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5" name="_x0000_tole_rId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_x0000_tole_rId32" path="m0,0l-2147483645,0l-2147483645,-2147483646l0,-2147483646xe" stroked="f" o:allowincell="f" style="position:absolute;margin-left:0.05pt;margin-top:0.05pt;width:49.95pt;height:49.9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  <w:object>
          <v:shapetype id="_x0000_tole_rId31" coordsize="21600,21600" o:spt="ole_rId31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31" type="_x0000_tole_rId31" style="width:76.6pt;height:51.85pt;mso-wrap-distance-right:0pt" filled="f" o:ole="">
            <v:imagedata r:id="rId32" o:title=""/>
          </v:shape>
          <o:OLEObject Type="Embed" ProgID="Excel.Sheet.12" ShapeID="ole_rId31" DrawAspect="Icon" ObjectID="_42500248" r:id="rId31"/>
        </w:objec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Приложение № 2</w:t>
      </w:r>
    </w:p>
    <w:p>
      <w:pPr>
        <w:pStyle w:val="Normal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к Техническим требованиям</w:t>
      </w:r>
    </w:p>
    <w:p>
      <w:pPr>
        <w:pStyle w:val="ConsPlusNormal1"/>
        <w:widowControl/>
        <w:tabs>
          <w:tab w:val="clear" w:pos="708"/>
          <w:tab w:val="left" w:pos="0" w:leader="none"/>
        </w:tabs>
        <w:ind w:firstLine="709"/>
        <w:jc w:val="center"/>
        <w:rPr>
          <w:rFonts w:ascii="Times New Roman" w:hAnsi="Times New Roman" w:cs="Times New Roman"/>
          <w:bCs/>
          <w:caps/>
          <w:sz w:val="24"/>
          <w:szCs w:val="24"/>
        </w:rPr>
      </w:pPr>
      <w:r>
        <w:rPr>
          <w:rFonts w:cs="Times New Roman" w:ascii="Times New Roman" w:hAnsi="Times New Roman"/>
          <w:bCs/>
          <w:caps/>
          <w:sz w:val="24"/>
          <w:szCs w:val="24"/>
        </w:rPr>
      </w:r>
    </w:p>
    <w:p>
      <w:pPr>
        <w:pStyle w:val="ConsPlusNormal1"/>
        <w:widowControl/>
        <w:tabs>
          <w:tab w:val="clear" w:pos="708"/>
          <w:tab w:val="left" w:pos="0" w:leader="none"/>
        </w:tabs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Регламент процесса «Допуск персонала подрядных организаций на объекты ПАО «РусГидро»</w:t>
      </w:r>
    </w:p>
    <w:p>
      <w:pPr>
        <w:pStyle w:val="ConsPlusNormal1"/>
        <w:widowControl/>
        <w:tabs>
          <w:tab w:val="clear" w:pos="708"/>
          <w:tab w:val="left" w:pos="0" w:leader="none"/>
        </w:tabs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overflowPunct w:val="true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</w:r>
      <w:r>
        <w:br w:type="page"/>
      </w:r>
    </w:p>
    <w:p>
      <w:pPr>
        <w:pStyle w:val="Normal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Приложение № 3</w:t>
      </w:r>
    </w:p>
    <w:p>
      <w:pPr>
        <w:pStyle w:val="Normal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к Техническим требованиям</w:t>
      </w:r>
    </w:p>
    <w:p>
      <w:pPr>
        <w:pStyle w:val="ConsPlusNormal1"/>
        <w:widowControl/>
        <w:tabs>
          <w:tab w:val="clear" w:pos="708"/>
          <w:tab w:val="left" w:pos="0" w:leader="none"/>
        </w:tabs>
        <w:ind w:firstLine="709"/>
        <w:jc w:val="center"/>
        <w:rPr>
          <w:rFonts w:ascii="Times New Roman" w:hAnsi="Times New Roman" w:cs="Times New Roman"/>
          <w:bCs/>
          <w:caps/>
          <w:sz w:val="24"/>
          <w:szCs w:val="24"/>
        </w:rPr>
      </w:pPr>
      <w:r>
        <w:rPr>
          <w:rFonts w:cs="Times New Roman" w:ascii="Times New Roman" w:hAnsi="Times New Roman"/>
          <w:bCs/>
          <w:caps/>
          <w:sz w:val="24"/>
          <w:szCs w:val="24"/>
        </w:rPr>
      </w:r>
    </w:p>
    <w:p>
      <w:pPr>
        <w:pStyle w:val="ConsPlusNormal1"/>
        <w:widowControl/>
        <w:tabs>
          <w:tab w:val="clear" w:pos="708"/>
          <w:tab w:val="left" w:pos="0" w:leader="none"/>
        </w:tabs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Технические требования к внедряемому ПО</w:t>
      </w:r>
    </w:p>
    <w:p>
      <w:pPr>
        <w:pStyle w:val="ConsPlusNormal1"/>
        <w:widowControl/>
        <w:tabs>
          <w:tab w:val="clear" w:pos="708"/>
          <w:tab w:val="left" w:pos="0" w:leader="none"/>
        </w:tabs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</w:t>
      </w:r>
      <w:r>
        <w:rPr>
          <w:sz w:val="24"/>
          <w:szCs w:val="24"/>
          <w:lang w:eastAsia="en-US"/>
        </w:rPr>
        <w:t>1. Система управления секретами должна: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1.1 Управлять жизненным циклом секретов, таких как сертификаты, ключи, токены, пароли и другие конфиденциальными данные.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1.2 Выполнять безопасное хранение данных в зашифрованном хранилище с отказоустойчивой инсталляцией и возможностью геораспределенного исполнения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1.3 Иметь функцию пространств имен с поддержкой вложенности и возможностью назначать различные методы аутентификации для разных пространств имен. Пространства имен должны поддерживать иерархию таким образом, чтобы можно было получать доступ только из родительских пространств имён в дочерние. Пространства имен должны поддерживать API-совместимость с пространствами имен HashiCorp Vault для возможности быстрой миграции.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1.4 Иметь возможность автоматического распечатывания хранилища без необходимости использования внешних систем управления ключами для хранения unseal-ключа, а также без необходимости хранения unseal-ключа вне хранилища секретов в исполняемой среде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1.5 Обеспечивать возможность автоматического создания резервных копий через API по заданному расписанию без необходимости использования скриптов и внешних сервисов-планировщиков. Должна быть реализована возможность сохранять резервные копии как в файловое, так и в S3 совместимое объектное хранилище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1.6 Иметь функцию безопасной доставки секретов в приложения, запущенные как в платформе контейнеризации, так и вне ее в виде переменных окружения или в виде файлов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1.7 Поддерживать репликации и синхронизации секретов между кластерами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1.8 Управлять методами аутентификации, политиками и ролями доступа через веб-интерфейс СУС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1.9 Поддерживать шифрования root-ключа с помощью подключаемых аппаратных модулей безопасности (HSM)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1.10 Иметь возможность дополнительного шифрования секретов, в том числе с применением российских криптографических алгоритмов с помощью HSM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1.11 Иметь возможность работы без хранения данных во внешних систем управления баз данных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1.12 Поддерживать двухфакторную аутентификацию пользователей из каталога LDAP или Active Directory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1.13 Быть сертифицирована во ФСТЭК России как самостоятельное ПО на соответствие требованиям по безопасности информации, устанавливающим уровни доверия к средствам технической защиты информации и средствам обеспечения безопасности информационных технологий (утверждены приказом ФСТЭК России № 76 от 2 июня 2020 г.) по 4-му уровню доверия и техническим условиям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1.14 Производить контроль доступа к секретам и функциям сервиса управления секретами на основе настраиваемых ролей и разрешений пользователей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1.15 Ротировать секреты учетных данных с поддержкой актуального состояния учетных данных на ресурсах, использующих эти данные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1.16 Поддерживать методы аутентификации: JWT/OIDC, Kubernetes, LDAP, Token, UserName/Password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1.17 Поддерживать механизмы управления секретами (Secret Engines): KV (key-value), Kubernetes, Database, PKI, SSH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1.18 Обеспечивать возможность бесшовного обновления всех компонентов за счет последовательного вывода из балансировки исполняемых файлов/модулей/серверов устаревшей версии и их замены на компоненты новой версии с немедленным вводом в эксплуатацию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1.19 Должна быть обеспечена возможность установки на выделенных серверах, отдельно от остальной инфраструктуры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</w:t>
      </w:r>
      <w:r>
        <w:rPr>
          <w:sz w:val="24"/>
          <w:szCs w:val="24"/>
          <w:lang w:eastAsia="en-US"/>
        </w:rPr>
        <w:t>2. Платформа ASOC должна: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2.1 Наличие On-Premise версии продукта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2.2 Возможность интеграции с программным обеспечением, автоматизирующим: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2.2.1 Практику SAST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2.2.2 Практику DAST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2.2.3 Практику SCA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2.3 Возможность интеграции со следующими инженерными и DevOps инструментами: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2.3.1 Хранения исходного кода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2.3.2 Хранения артефактов сборки ПО из исходного кода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2.3.3 Управления задачами и дефектами ПО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2.4 Возможность централизованной настройки порогов качества программного кода.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2.5 Возможность управления профилями приложений/систем, подключенных к контуру DevSecOps, включая: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2.5.1 управление информацией об используемых репозиториях исходного кода и их деталях (URL, наименование ветки, используемая система сборки);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2.5.2 управление информацией об используемы артефактах и их деталях (шаблон URL в репозитории артефактов, формат артефакта);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2.5.3 управление информацией о тестовых и промышленных стендах для развертывания системы или отдельных артефактах;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 xml:space="preserve">2.5.4 управление информацией об используемых командами репозиториев компонент с открытым кодом (прокси). 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2.6 Возможность настройки параметров анализа систем, проводимых с использованием функциональности интегрируемых сканеров, включая: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2.6.1 настройка параметров вручную;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2.6.2 использование параметров из шаблона;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2.7 Возможность загрузки результатов сканирования напрямую из инструментов безопасной разработки: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2.7.1 сразу после завершения сканирования;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2.7.2 по запросу пользователя из интерфейса продукта;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2.7.3 по запросу пользователя через CLI или интеграционное API.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2.8 Возможность просмотра информации об уязвимостях, найденных с использованием функциональности инструментов безопасной разработки, включая: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2.8.1 степень критичности;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2.8.2 оценку критичности на основе CVSS;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2.8.3 описание уязвимости и способа эксплуатации;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2.8.4 рекомендации по исправлению уязвимости;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2.8.5 источнику уязвимости (файл в исходном коде, наименование компоненты с открытым кодом, наименование сервиса и тому подобное);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2.8.6 полный исходный код файла, в котором была найдена уязвимость (только для SAST);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2.8.7 историю обнаружения уязвимости, изменения статуса и состояния;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2.9 Возможность фильтрации информации, о найденных уязвимостях, по следующим атрибутам: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2.9.1 тип уязвимости;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2.9.2 статусу, состоянию (новое/повторное), степени критичности;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2.9.3 источнику уязвимости (наименованию файла в коде или наименованию компоненты с открытым кодом);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2.9.4 категория уязвимости, идентификатору CWE;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2.9.5 объекту сканирования (исходный код, артефакт, стенд);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2.9.6 дате последнего обнаружения.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2.9.7 Возможность управления уязвимостями, включая: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2.9.8 возможность маркировки уязвимостей, как ложно срабатывание (False Positive);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2.9.9 возможность маркировки уязвимостей, потенциальные риски от реализации которых были приняты (Risk Acceptance)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2.9.10 возможность маркировки уязвимостей, как подтвержденные (Confirmed);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2.9.11 возможность маркировать уязвимость;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2.9.12 возможность создавать запросы на маркировку уязвимостей с комментариями от разработчиков;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2.9.13 возможность изменять серьёзность (Severity) уязвимостей;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2.9.14 возможность создания правила автоматической обработки уязвимостей;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2.9.15 возможность группировки (объединения) однотипные или дублирующих уязвимостей (в ручном режиме);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2.9.16 возможность выгрузки обработанных уязвимостей в систему управления задачами;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2.9.17 возможность создания запросов на изменение статуса уязвимостей пользователями без права триажа с последующим согласованием;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2.10 Возможность автоматической обработки уязвимостей, включая: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2.10.1 оценка уязвимости с точки зрения ложное / истинное срабатывание;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2.10.2 обработка уязвимостей с помощью правил для маркировки;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2.10.3 выгрузка дефектов ИБ в систему управления задачами команды разработки.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2.11 Возможность выгрузки отчетов по уязвимостям: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2.11.1 выборки уязвимостей с настраиваемой фильтрацией и сортировкой в форматах xcls, pdf, zip;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2.11.2 сводного отчета о наличии уязвимостей из списка OWASP TOP 10 или о соответствии критериям по ОУД4 AVA.VAN: 3.1(C, D, E), 3.2E, 3.3E, 3.4E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2.12 Предоставлять функциональность для управления практиками SSDL, включая возможность: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2.12.1 планирования практик SSDL, на уровне всей компании и отдельных команд разработки;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2.12.2 контроля выполнения практик;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2.13 Возможность сбора и консолидации данных, по ключевым показателям эффективности и метрикам процесса разработки защищенного программного кода, включая: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 xml:space="preserve">2.13.1 общие показатели в разрезе конкретных систем / сервисов / приложений, подразделений разработки программного кода и организации в целом: 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 xml:space="preserve">2.13.2 показатели качества программного кода с точки зрения защищенности, в том числе в разрезе систем / сервисов / приложений, релизов, производственных команд: 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 xml:space="preserve">2.13.3 показатели зрелости процессов DevSecOps (DORA), в разрезе систем / сервисов / приложений, производственных команд: 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2.14 Возможность использования элементов визуализации (дашборд) для отображения отслеживаемых метрик, в разрезе систем / сервисов / приложений, включая: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2.14.1 срезы по дефектам ИБ на текущую дату;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2.14.2 динамику плотности уязвимостей и дефектов ИБ за неделю / месяц / квартал / полугодие / год;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2.14.3 структуру и динамику изменения объема исходного кода систем, подключенных к платформе безопасной разработки программного кода Заказчика за неделю / месяц / квартал / полугодие / год;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2.14.4 структуру объема технического долга на текущую дату;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2.14.5 топ наиболее критичных уязвимостей в исходном коде, компонентах;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2.14.6 время обработки уязвимостей (MTTD, MTT, MTTR, MVA);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2.14.7 сканирование и покрытие практиками ИБ;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2.14.8 риски ИБ в разрезе приложений и команд.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2.15 Возможность доступа к дашбордам, и отображаемым на них данным, в соответствии с правилами разграничения доступа.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2.16 Предоставлять возможность доступа к информации, обрабатываемой инструментами безопасной разработки, подключенных к АppSec.Hub из внешнего инструмента визуализации и работы с данными Apache Superset.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2.17 Возможность настраивать применение порогов качества программного кода (с возможностью наследования и переопределения установленного значения):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2.17.1 На уровне организации;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2.17.2 На уровне системы приложений/систем;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2.17.3 На уровне пайплайна.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2.18 Возможность выбирать язык интерфейса (русский/английский) в настройках пользователя.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2.19 Возможность определения состояния узявимостей на основе политик сравнения: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2.19.1 с первым сканированием;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2.19.2 с предыдущим сканированием;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2.19.3 с заданным сканированием;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2.19.4 с предыдущем сканированием указанной ветки кода.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2.20 Возможность управления релизами и релизными объектами, включая: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2.20.1 управление версиями релизов;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2.20.2 управление статусами и датами релизов;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2.20.3 управление версиями релизных объектов;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2.20.4 определение статуса прохождения порогов качества версией релизного объекта;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2.21 Возможность автоматизации жизненного цикла дефектов безопасности, включая: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2.21.1 автоматическое закрытие дефекта при переходе всех связанных уязвимостей в финальные статусы;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2.21.2 автоматическое переоткрытие дефекта при появлении новых связанных уязвимостей;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2.21.3 настройка правил автоматического закрытия и переоткрытия на уровне приложения;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2.21.4 поддержка специализированных статусов дефектов (False Positive, Accepted Risk);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2.21.5 каскадное изменение статусов связанных уязвимостей при смене статуса дефекта.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2.22 Возможность интеграции с AI-платформами для анализа уязвимостей: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2.22.1 получение прогнозов (true/false positive) для SAST-уязвимостей;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2.22.2 получение объяснений и рекомендаций по исправлению от AI;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2.22.3 обработка уязвимостей на основе решений AI-провайдеров с точки зрения ложного/подтвержденного срабатывания, с учётом точности прогноза;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2.22.4 фильтрация уязвимостей по точности прогноза AI-провайдера;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2.23 Для всех пользователей должна осуществляться идентификация, аутентификация и авторизация.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2.24 В системе должно быть реализовано полноценное логирование следующих событий: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2.24.1 Вход в систему;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2.24.2 Выход из системы;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2.24.3 Предоставление/изменение/удаление прав пользователей;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2.24.4 Завершение сеанса работы пользователя;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eastAsia="en-US"/>
        </w:rPr>
        <w:t>2.24.5 Попыток несанкционированного доступа.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</w:t>
      </w:r>
      <w:r>
        <w:rPr>
          <w:sz w:val="24"/>
          <w:szCs w:val="24"/>
          <w:lang w:eastAsia="en-US"/>
        </w:rPr>
        <w:t>3. SCA должна обеспечивать: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3.1 выполнение сканирования зависимостей программного обеспечения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3.2 выявление состава программного обеспечения с формированием карты зависимостей (Software Bill Of Materials)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3.3 анализ зависимостей из исходного кода и манифестов пакетных менеджеров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3.4 анализ зависимостей из бинарных артефактов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3.5 выявление прямых и транзитивных зависимостей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3.6 поддержку распространённых пакетных менеджеров (Maven, npm, PyPI, NuGet, Go и др.)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3.7 поиск известных уязвимостей в зависимостях по базам CVE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3.8 обогащение данных об уязвимостях информацией из открытых источников (CVE, CWE, NVD и др.)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3.9 оценку уровня критичности уязвимостей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3.10 определение наличия исправлений для выявленных уязвимостей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3.11 фильтрацию результатов по уровню критичности, компонентам и проектам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3.12 оценку доверия к open-source компонентам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3.13 выявление устаревших и неподдерживаемых компонентов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3.14 анализ активности разработки зависимостей (частота обновлений, поддержка)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3.15 контроль использования сторонних компонентов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3.16 настройку политик безопасности для зависимостей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3.17 контроль соответствия зависимостей заданным политикам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3.18 блокировку использования компонентов, не соответствующих политикам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3.19 ведение списка разрешённых и запрещённых компонентов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3.20 обработку исключений при использовании компонентов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3.21 интеграцию с CI/CD для автоматического запуска анализа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3.22 анализ зависимостей в процессе сборки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3.23 анализ репозиториев исходного кода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3.24 анализ репозиториев артефактов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3.25 предоставление API для интеграции с внешними системами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3.26 предоставление пользовательского интерфейса для работы с результатами анализа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3.27 хранение истории результатов анализа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3.28 отслеживание изменений состава зависимостей во времени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3.29 уведомление о появлении новых уязвимостей в ранее используемых компонентах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3.30 повторный анализ зависимостей при обновлении данных об уязвимостях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</w:t>
      </w:r>
      <w:r>
        <w:rPr>
          <w:sz w:val="24"/>
          <w:szCs w:val="24"/>
          <w:lang w:eastAsia="en-US"/>
        </w:rPr>
        <w:t>4. SAST должен обеспечивать: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4.1 поддержку широкого спектра языков программирования: ASP; C/C++; C#; Go; Groovy; Java; JavaScript; Kotlin; Lua; Objective-C; PHP; PLSQL; Perl; Python; Ruby; Scala; Swift; VB6; VbNet; VbScript;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4.2 обновление типовых правил проверки;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4.3 возможность гибкой настройки и расширения правил для языков программирования;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4.4 выявление уязвимостей с использованием алгоритмов поиска по шаблонам и анализа потоков данных;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4.5 возможность запуска сканирования с серверов сборки, из репозиториев, с локального диска и из архивов, загруженных на сервер сканирования;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4.6 возможность распараллеливания сканирования;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4.7 возможность запуска сканирования по расписанию;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4.8 возможность обработки ложноположительных срабатываний (false positive) с последующим исключением их из результатов;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4.9 возможность работы и запуска в контейнере;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4.10 сбор и хранение результатов сканирования;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4.11 наличие пользовательского интерфейса для совместной работы специалистов ИБ и разработчиков с предоставлением полной информации о результатах проверки и описанием обнаруженных проблем, включая возможность формирования отчетов;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4.12 возможность гибкой фильтрации найденных уязвимостей;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4.13 предоставление плагинов для популярных IDE с возможностью отображения результатов проверки в привязке к исходному коду;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4.14 возможность подключения дополнительных методов анализа (SCA, DAST и др.) с формированием соответствующих результатов.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4.15 Учитывать общепризнанные стандарты и лучшие практики, такие как:</w:t>
      </w:r>
    </w:p>
    <w:p>
      <w:pPr>
        <w:pStyle w:val="Normal"/>
        <w:overflowPunct w:val="true"/>
        <w:rPr>
          <w:sz w:val="24"/>
          <w:szCs w:val="24"/>
          <w:lang w:val="en-US" w:eastAsia="en-US"/>
        </w:rPr>
      </w:pPr>
      <w:r>
        <w:rPr>
          <w:sz w:val="24"/>
          <w:szCs w:val="24"/>
          <w:lang w:eastAsia="en-US"/>
        </w:rPr>
        <w:t xml:space="preserve">            </w:t>
      </w:r>
      <w:r>
        <w:rPr>
          <w:sz w:val="24"/>
          <w:szCs w:val="24"/>
          <w:lang w:val="en-US" w:eastAsia="en-US"/>
        </w:rPr>
        <w:t>4.15.1 Open Web Application Security Project (OWASP);</w:t>
      </w:r>
    </w:p>
    <w:p>
      <w:pPr>
        <w:pStyle w:val="Normal"/>
        <w:overflowPunct w:val="true"/>
        <w:rPr>
          <w:sz w:val="24"/>
          <w:szCs w:val="24"/>
          <w:lang w:val="en-US" w:eastAsia="en-US"/>
        </w:rPr>
      </w:pPr>
      <w:r>
        <w:rPr>
          <w:sz w:val="24"/>
          <w:szCs w:val="24"/>
          <w:lang w:val="en-US" w:eastAsia="en-US"/>
        </w:rPr>
        <w:t xml:space="preserve">            </w:t>
      </w:r>
      <w:r>
        <w:rPr>
          <w:sz w:val="24"/>
          <w:szCs w:val="24"/>
          <w:lang w:val="en-US" w:eastAsia="en-US"/>
        </w:rPr>
        <w:t>4.15.2 Open-Source Security Testing Methodology Manual (OSSTMM);</w:t>
      </w:r>
    </w:p>
    <w:p>
      <w:pPr>
        <w:pStyle w:val="Normal"/>
        <w:overflowPunct w:val="true"/>
        <w:rPr>
          <w:sz w:val="24"/>
          <w:szCs w:val="24"/>
          <w:lang w:val="en-US" w:eastAsia="en-US"/>
        </w:rPr>
      </w:pPr>
      <w:r>
        <w:rPr>
          <w:sz w:val="24"/>
          <w:szCs w:val="24"/>
          <w:lang w:val="en-US" w:eastAsia="en-US"/>
        </w:rPr>
        <w:t xml:space="preserve">            </w:t>
      </w:r>
      <w:r>
        <w:rPr>
          <w:sz w:val="24"/>
          <w:szCs w:val="24"/>
          <w:lang w:val="en-US" w:eastAsia="en-US"/>
        </w:rPr>
        <w:t>4.15.3 Web Application Security Consortium (WASC) Threat Classification;</w:t>
      </w:r>
    </w:p>
    <w:p>
      <w:pPr>
        <w:pStyle w:val="Normal"/>
        <w:overflowPunct w:val="true"/>
        <w:rPr>
          <w:sz w:val="24"/>
          <w:szCs w:val="24"/>
          <w:lang w:val="en-US" w:eastAsia="en-US"/>
        </w:rPr>
      </w:pPr>
      <w:r>
        <w:rPr>
          <w:sz w:val="24"/>
          <w:szCs w:val="24"/>
          <w:lang w:val="en-US" w:eastAsia="en-US"/>
        </w:rPr>
        <w:t xml:space="preserve">            </w:t>
      </w:r>
      <w:r>
        <w:rPr>
          <w:sz w:val="24"/>
          <w:szCs w:val="24"/>
          <w:lang w:val="en-US" w:eastAsia="en-US"/>
        </w:rPr>
        <w:t xml:space="preserve">4.15.4 </w:t>
      </w:r>
      <w:r>
        <w:rPr>
          <w:sz w:val="24"/>
          <w:szCs w:val="24"/>
          <w:lang w:eastAsia="en-US"/>
        </w:rPr>
        <w:t>Стандарты</w:t>
      </w:r>
      <w:r>
        <w:rPr>
          <w:sz w:val="24"/>
          <w:szCs w:val="24"/>
          <w:lang w:val="en-US" w:eastAsia="en-US"/>
        </w:rPr>
        <w:t xml:space="preserve"> </w:t>
      </w:r>
      <w:r>
        <w:rPr>
          <w:sz w:val="24"/>
          <w:szCs w:val="24"/>
          <w:lang w:eastAsia="en-US"/>
        </w:rPr>
        <w:t>серии</w:t>
      </w:r>
      <w:r>
        <w:rPr>
          <w:sz w:val="24"/>
          <w:szCs w:val="24"/>
          <w:lang w:val="en-US" w:eastAsia="en-US"/>
        </w:rPr>
        <w:t xml:space="preserve"> ISO 27000;</w:t>
      </w:r>
    </w:p>
    <w:p>
      <w:pPr>
        <w:pStyle w:val="Normal"/>
        <w:overflowPunct w:val="true"/>
        <w:rPr>
          <w:sz w:val="24"/>
          <w:szCs w:val="24"/>
          <w:lang w:val="en-US" w:eastAsia="en-US"/>
        </w:rPr>
      </w:pPr>
      <w:r>
        <w:rPr>
          <w:sz w:val="24"/>
          <w:szCs w:val="24"/>
          <w:lang w:val="en-US" w:eastAsia="en-US"/>
        </w:rPr>
        <w:t xml:space="preserve">            </w:t>
      </w:r>
      <w:r>
        <w:rPr>
          <w:sz w:val="24"/>
          <w:szCs w:val="24"/>
          <w:lang w:val="en-US" w:eastAsia="en-US"/>
        </w:rPr>
        <w:t xml:space="preserve">4.15.5 </w:t>
      </w:r>
      <w:r>
        <w:rPr>
          <w:sz w:val="24"/>
          <w:szCs w:val="24"/>
          <w:lang w:eastAsia="en-US"/>
        </w:rPr>
        <w:t>Стандарты</w:t>
      </w:r>
      <w:r>
        <w:rPr>
          <w:sz w:val="24"/>
          <w:szCs w:val="24"/>
          <w:lang w:val="en-US" w:eastAsia="en-US"/>
        </w:rPr>
        <w:t xml:space="preserve"> Center for Internet Security (CIS);</w:t>
      </w:r>
    </w:p>
    <w:p>
      <w:pPr>
        <w:pStyle w:val="Normal"/>
        <w:overflowPunct w:val="true"/>
        <w:rPr>
          <w:sz w:val="24"/>
          <w:szCs w:val="24"/>
          <w:lang w:val="en-US" w:eastAsia="en-US"/>
        </w:rPr>
      </w:pPr>
      <w:r>
        <w:rPr>
          <w:sz w:val="24"/>
          <w:szCs w:val="24"/>
          <w:lang w:val="en-US" w:eastAsia="en-US"/>
        </w:rPr>
        <w:t xml:space="preserve">            </w:t>
      </w:r>
      <w:r>
        <w:rPr>
          <w:sz w:val="24"/>
          <w:szCs w:val="24"/>
          <w:lang w:val="en-US" w:eastAsia="en-US"/>
        </w:rPr>
        <w:t>4.15.6 Common Vulnerability Scoring System (CVSS);</w:t>
      </w:r>
    </w:p>
    <w:p>
      <w:pPr>
        <w:pStyle w:val="Normal"/>
        <w:overflowPunct w:val="true"/>
        <w:rPr>
          <w:sz w:val="24"/>
          <w:szCs w:val="24"/>
          <w:lang w:val="en-US" w:eastAsia="en-US"/>
        </w:rPr>
      </w:pPr>
      <w:r>
        <w:rPr>
          <w:sz w:val="24"/>
          <w:szCs w:val="24"/>
          <w:lang w:val="en-US" w:eastAsia="en-US"/>
        </w:rPr>
        <w:t xml:space="preserve">            </w:t>
      </w:r>
      <w:r>
        <w:rPr>
          <w:sz w:val="24"/>
          <w:szCs w:val="24"/>
          <w:lang w:val="en-US" w:eastAsia="en-US"/>
        </w:rPr>
        <w:t>4.15.7 OWASP Code Review Guide;</w:t>
      </w:r>
    </w:p>
    <w:p>
      <w:pPr>
        <w:pStyle w:val="Normal"/>
        <w:overflowPunct w:val="true"/>
        <w:rPr>
          <w:sz w:val="24"/>
          <w:szCs w:val="24"/>
          <w:lang w:val="en-US" w:eastAsia="en-US"/>
        </w:rPr>
      </w:pPr>
      <w:r>
        <w:rPr>
          <w:sz w:val="24"/>
          <w:szCs w:val="24"/>
          <w:lang w:val="en-US" w:eastAsia="en-US"/>
        </w:rPr>
        <w:t xml:space="preserve">            </w:t>
      </w:r>
      <w:r>
        <w:rPr>
          <w:sz w:val="24"/>
          <w:szCs w:val="24"/>
          <w:lang w:val="en-US" w:eastAsia="en-US"/>
        </w:rPr>
        <w:t>4.15.8 CWE/SANS Top 25 Most Dangerous Software Errors.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val="en-US" w:eastAsia="en-US"/>
        </w:rPr>
        <w:t xml:space="preserve">    </w:t>
      </w:r>
      <w:r>
        <w:rPr>
          <w:sz w:val="24"/>
          <w:szCs w:val="24"/>
          <w:lang w:eastAsia="en-US"/>
        </w:rPr>
        <w:t>5. DAST должен обеспечивать: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5.1 проверку приложения в режиме «черного ящика» (без доступа к исходному коду, в процессе выполнения);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5.2 настройку режимов сканирования и поддержку различных профилей глубины проверки для каждого проекта;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5.3 возможность обновления базы уязвимостей;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5.4 возможность распараллеливания сканирования;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5.5 сбор и хранение результатов сканирования;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5.6 возможность просмотра HTTP-запросов и ответов сервера при обнаружении уязвимостей;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5.7 возможность анализа используемых векторов атак;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5.8 формирование отчетов с описанием причин уязвимостей и рекомендациями по их устранению;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5.9 возможность исключения ложноположительных срабатываний из последующих сканирований;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5.10 классификацию выявленных уязвимостей в соответствии с OWASP Top 10, PCI DSS, CVE, CWE.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</w:t>
      </w:r>
      <w:r>
        <w:rPr>
          <w:sz w:val="24"/>
          <w:szCs w:val="24"/>
          <w:lang w:eastAsia="en-US"/>
        </w:rPr>
        <w:t>6. Инструмент для анализа защищенности 1С должен обеспечивать: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6.1 Обеспечивать анализ защищенности ERP-систем на платформе 1С;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6.2 Состоять из взаимозаменяемых модулей для различных задач (анализ кода, аудит конфигураций, динамический анализ);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6.3 Встраиваться в процессы DevSecOps для непрерывного контроля безопасности;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6.4 Иметь сертификат ФСТЭК России (уровень доверия 4);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6.5 Подключаться к серверу 1С в режиме конфигуратора для выгрузки модулей для анализа;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6.6 Выполнять синтаксический и семантический разбор кода 1С для поиска уязвимостей;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6.7 Позволять настраивать уровень критичности для каждого типа уязвимостей;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6.8 Поддерживать создание пользовательских сценариев проверки кода (собственные правила и сигнатуры);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6.9 Проводить автоматизированное тестирование на проникновение приложений 1С и связанных сервисов методом «черного ящика»;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6.10 Содержать встроенные эксплойты для автоматизированной эксплуатации найденных уязвимостей;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6.11 Снижать количество ложных срабатываний за счет проверки реализуемости уязвимостей;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6.12 Выполнять анализ соответствия конфигураций системы 1С установленным требованиям безопасности;</w:t>
      </w:r>
    </w:p>
    <w:p>
      <w:pPr>
        <w:pStyle w:val="Normal"/>
        <w:overflowPunct w:val="tru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6.13 Обеспечивать контроль конфигураций и целостности объектов платформы 1С (через соответствующие агенты или модули);</w:t>
      </w:r>
    </w:p>
    <w:p>
      <w:pPr>
        <w:pStyle w:val="Normal"/>
        <w:overflowPunct w:val="true"/>
        <w:rPr/>
      </w:pPr>
      <w:r>
        <w:rPr>
          <w:sz w:val="24"/>
          <w:szCs w:val="24"/>
          <w:lang w:eastAsia="en-US"/>
        </w:rPr>
        <w:t xml:space="preserve">        </w:t>
      </w:r>
      <w:r>
        <w:rPr>
          <w:sz w:val="24"/>
          <w:szCs w:val="24"/>
          <w:lang w:eastAsia="en-US"/>
        </w:rPr>
        <w:t>6.14 Поддерживать регулярное обновление базы уязвимостей и эксплойтов для платформы 1С и распространенного ПО.</w:t>
      </w:r>
    </w:p>
    <w:sectPr>
      <w:headerReference w:type="default" r:id="rId37"/>
      <w:headerReference w:type="first" r:id="rId38"/>
      <w:footerReference w:type="default" r:id="rId39"/>
      <w:footerReference w:type="first" r:id="rId40"/>
      <w:footnotePr>
        <w:numFmt w:val="decimal"/>
        <w:numRestart w:val="eachPage"/>
      </w:footnotePr>
      <w:type w:val="nextPage"/>
      <w:pgSz w:w="11906" w:h="16838"/>
      <w:pgMar w:left="1134" w:right="1134" w:gutter="0" w:header="708" w:top="1701" w:footer="708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swiss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swiss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Calibri Light">
    <w:charset w:val="01"/>
    <w:family w:val="swiss"/>
    <w:pitch w:val="variable"/>
  </w:font>
  <w:font w:name="Segoe UI">
    <w:charset w:val="01"/>
    <w:family w:val="swiss"/>
    <w:pitch w:val="variable"/>
  </w:font>
  <w:font w:name="Arial Unicode MS">
    <w:charset w:val="01"/>
    <w:family w:val="swiss"/>
    <w:pitch w:val="variable"/>
  </w:font>
  <w:font w:name="Verdana">
    <w:charset w:val="01"/>
    <w:family w:val="swiss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widowControl w:val="false"/>
        <w:rPr>
          <w:rFonts w:ascii="Times New Roman" w:hAnsi="Times New Roman"/>
          <w:sz w:val="20"/>
          <w:szCs w:val="20"/>
        </w:rPr>
      </w:pPr>
      <w:r>
        <w:rPr>
          <w:rStyle w:val="Style"/>
        </w:rPr>
        <w:footnoteRef/>
      </w:r>
      <w:r>
        <w:rPr>
          <w:rFonts w:ascii="Times New Roman" w:hAnsi="Times New Roman"/>
          <w:sz w:val="20"/>
          <w:szCs w:val="20"/>
        </w:rPr>
        <w:t> </w:t>
      </w:r>
      <w:r>
        <w:rPr>
          <w:rFonts w:ascii="Times New Roman" w:hAnsi="Times New Roman"/>
          <w:spacing w:val="-4"/>
          <w:sz w:val="20"/>
          <w:szCs w:val="20"/>
        </w:rPr>
        <w:t>Здесь и далее: дата</w:t>
      </w:r>
      <w:r>
        <w:rPr>
          <w:rFonts w:ascii="Times New Roman" w:hAnsi="Times New Roman"/>
          <w:sz w:val="20"/>
          <w:szCs w:val="20"/>
        </w:rPr>
        <w:t>, следующая за датой</w:t>
      </w:r>
      <w:r>
        <w:rPr>
          <w:rFonts w:ascii="Times New Roman" w:hAnsi="Times New Roman"/>
          <w:spacing w:val="-4"/>
          <w:sz w:val="20"/>
          <w:szCs w:val="20"/>
        </w:rPr>
        <w:t xml:space="preserve"> заключения Договора</w:t>
      </w:r>
      <w:r>
        <w:rPr>
          <w:rFonts w:ascii="Times New Roman" w:hAnsi="Times New Roman"/>
          <w:sz w:val="20"/>
          <w:szCs w:val="20"/>
        </w:rPr>
        <w:t>.</w:t>
      </w:r>
    </w:p>
  </w:footnote>
  <w:footnote w:id="3">
    <w:p>
      <w:pPr>
        <w:pStyle w:val="FootnoteText"/>
        <w:widowControl w:val="false"/>
        <w:rPr>
          <w:rFonts w:ascii="Times New Roman" w:hAnsi="Times New Roman"/>
          <w:sz w:val="20"/>
          <w:szCs w:val="20"/>
        </w:rPr>
      </w:pPr>
      <w:r>
        <w:rPr>
          <w:rStyle w:val="Style"/>
        </w:rPr>
        <w:footnoteRef/>
      </w:r>
      <w:r>
        <w:rPr>
          <w:rFonts w:ascii="Times New Roman" w:hAnsi="Times New Roman"/>
          <w:sz w:val="20"/>
          <w:szCs w:val="20"/>
        </w:rPr>
        <w:t> </w:t>
      </w:r>
      <w:r>
        <w:rPr>
          <w:rFonts w:ascii="Times New Roman" w:hAnsi="Times New Roman"/>
          <w:spacing w:val="-4"/>
          <w:sz w:val="20"/>
          <w:szCs w:val="20"/>
        </w:rPr>
        <w:t>Здесь и далее: дата</w:t>
      </w:r>
      <w:r>
        <w:rPr>
          <w:rFonts w:ascii="Times New Roman" w:hAnsi="Times New Roman"/>
          <w:sz w:val="20"/>
          <w:szCs w:val="20"/>
        </w:rPr>
        <w:t>, следующая за датой</w:t>
      </w:r>
      <w:r>
        <w:rPr>
          <w:rFonts w:ascii="Times New Roman" w:hAnsi="Times New Roman"/>
          <w:spacing w:val="-4"/>
          <w:sz w:val="20"/>
          <w:szCs w:val="20"/>
        </w:rPr>
        <w:t xml:space="preserve"> заключения Договора</w:t>
      </w:r>
      <w:r>
        <w:rPr>
          <w:rFonts w:ascii="Times New Roman" w:hAnsi="Times New Roman"/>
          <w:sz w:val="20"/>
          <w:szCs w:val="20"/>
        </w:rPr>
        <w:t>.</w:t>
      </w:r>
    </w:p>
  </w:footnote>
  <w:footnote w:id="4">
    <w:p>
      <w:pPr>
        <w:pStyle w:val="FootnoteText"/>
        <w:widowControl w:val="false"/>
        <w:rPr/>
      </w:pPr>
      <w:r>
        <w:rPr>
          <w:rStyle w:val="Style"/>
        </w:rPr>
        <w:footnoteRef/>
      </w:r>
      <w:r>
        <w:rPr/>
      </w:r>
    </w:p>
  </w:footnote>
  <w:footnote w:id="5">
    <w:p>
      <w:pPr>
        <w:pStyle w:val="FootnoteText"/>
        <w:widowControl w:val="false"/>
        <w:rPr/>
      </w:pPr>
      <w:r>
        <w:rPr>
          <w:rStyle w:val="Style"/>
        </w:rPr>
        <w:footnoteRef/>
      </w:r>
      <w:r>
        <w:rPr/>
      </w:r>
    </w:p>
  </w:footnote>
  <w:footnote w:id="6">
    <w:p>
      <w:pPr>
        <w:pStyle w:val="FootnoteText"/>
        <w:widowControl w:val="false"/>
        <w:rPr/>
      </w:pPr>
      <w:r>
        <w:rPr>
          <w:rStyle w:val="Style"/>
        </w:rPr>
        <w:footnoteRef/>
      </w:r>
      <w:r>
        <w:rPr/>
      </w:r>
    </w:p>
  </w:footnote>
  <w:footnote w:id="7">
    <w:p>
      <w:pPr>
        <w:pStyle w:val="FootnoteText"/>
        <w:widowControl w:val="false"/>
        <w:rPr/>
      </w:pPr>
      <w:r>
        <w:rPr>
          <w:rStyle w:val="Style"/>
        </w:rPr>
        <w:footnoteRef/>
      </w:r>
      <w:r>
        <w:rPr/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28"/>
        <w:szCs w:val="28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28"/>
        <w:szCs w:val="28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19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28"/>
        <w:szCs w:val="28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29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1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1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1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1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szCs w:val="28"/>
        <w:iCs w:val="false"/>
        <w:bCs w:val="false"/>
        <w:vanish w:val="false"/>
        <w:rFonts w:ascii="Times New Roman" w:hAnsi="Times New Roman" w:cs="Times New Roman"/>
        <w:color w:val="000000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pStyle w:val="Heading3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pStyle w:val="10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4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 w:val="false"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03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23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743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463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183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03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23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343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063" w:hanging="180"/>
      </w:pPr>
      <w:rPr/>
    </w:lvl>
  </w:abstractNum>
  <w:abstractNum w:abstractNumId="9"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0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  <w:rPr>
        <w:b w:val="false"/>
        <w:bCs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1000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"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cs="Symbol" w:hint="default"/>
      </w:rPr>
    </w:lvl>
    <w:lvl w:ilvl="1">
      <w:start w:val="1"/>
      <w:numFmt w:val="bullet"/>
      <w:suff w:val="space"/>
      <w:lvlText w:val="o"/>
      <w:lvlJc w:val="left"/>
      <w:pPr>
        <w:tabs>
          <w:tab w:val="num" w:pos="0"/>
        </w:tabs>
        <w:ind w:left="454" w:hanging="17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8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0"/>
        </w:tabs>
        <w:ind w:left="786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3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8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0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24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96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07" w:hanging="360"/>
      </w:pPr>
      <w:rPr>
        <w:rFonts w:ascii="Wingdings" w:hAnsi="Wingdings" w:cs="Wingdings" w:hint="default"/>
      </w:rPr>
    </w:lvl>
  </w:abstractNum>
  <w:abstractNum w:abstractNumId="17"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ascii="Times New Roman" w:hAnsi="Times New Roman" w:eastAsia="Calibri" w:cs="Times New Roman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  <w:rPr/>
    </w:lvl>
  </w:abstractNum>
  <w:abstractNum w:abstractNumId="18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sz w:val="22"/>
        <w:i w:val="false"/>
        <w:b w:val="false"/>
        <w:szCs w:val="22"/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52" w:hanging="450"/>
      </w:pPr>
      <w:rPr>
        <w:sz w:val="22"/>
        <w:b w:val="false"/>
        <w:szCs w:val="22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82" w:hanging="72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42" w:hanging="720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662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022" w:hanging="1080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382" w:hanging="108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1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462" w:hanging="1440"/>
      </w:pPr>
      <w:rPr>
        <w:sz w:val="28"/>
      </w:rPr>
    </w:lvl>
  </w:abstractNum>
  <w:abstractNum w:abstractNumId="19">
    <w:lvl w:ilvl="0">
      <w:start w:val="1"/>
      <w:numFmt w:val="bullet"/>
      <w:lvlText w:val=""/>
      <w:lvlJc w:val="left"/>
      <w:pPr>
        <w:tabs>
          <w:tab w:val="num" w:pos="0"/>
        </w:tabs>
        <w:ind w:left="347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lvl w:ilvl="0">
      <w:start w:val="1"/>
      <w:numFmt w:val="bullet"/>
      <w:lvlText w:val="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9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01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45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7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614" w:hanging="360"/>
      </w:pPr>
      <w:rPr>
        <w:rFonts w:ascii="Wingdings" w:hAnsi="Wingdings" w:cs="Wingdings" w:hint="default"/>
      </w:rPr>
    </w:lvl>
  </w:abstractNum>
  <w:abstractNum w:abstractNumId="21"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2">
    <w:lvl w:ilvl="0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2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 w:val="false"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3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4"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imSun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pPr>
      <w:numPr>
        <w:ilvl w:val="0"/>
        <w:numId w:val="1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spacing w:before="57" w:after="57"/>
      <w:ind w:firstLine="709" w:left="0"/>
      <w:outlineLvl w:val="1"/>
    </w:pPr>
    <w:rPr/>
  </w:style>
  <w:style w:type="paragraph" w:styleId="Heading3">
    <w:name w:val="Heading 3"/>
    <w:basedOn w:val="Normal"/>
    <w:next w:val="Normal"/>
    <w:link w:val="3"/>
    <w:qFormat/>
    <w:pPr>
      <w:keepNext w:val="true"/>
      <w:numPr>
        <w:ilvl w:val="2"/>
        <w:numId w:val="1"/>
      </w:numPr>
      <w:spacing w:before="120" w:after="60"/>
      <w:outlineLvl w:val="2"/>
    </w:pPr>
    <w:rPr>
      <w:rFonts w:eastAsia="Calibri"/>
      <w:b/>
      <w:sz w:val="24"/>
      <w:szCs w:val="24"/>
      <w:lang w:val="zh-CN" w:eastAsia="zh-CN"/>
    </w:rPr>
  </w:style>
  <w:style w:type="paragraph" w:styleId="Heading4">
    <w:name w:val="Heading 4"/>
    <w:basedOn w:val="Heading3"/>
    <w:next w:val="Normal"/>
    <w:link w:val="4"/>
    <w:qFormat/>
    <w:pPr>
      <w:numPr>
        <w:ilvl w:val="0"/>
        <w:numId w:val="0"/>
      </w:numPr>
      <w:ind w:hanging="432" w:left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pPr>
      <w:spacing w:before="240" w:after="60"/>
      <w:outlineLvl w:val="4"/>
    </w:pPr>
    <w:rPr>
      <w:b/>
      <w:bCs/>
      <w:i/>
      <w:iCs/>
      <w:sz w:val="26"/>
      <w:szCs w:val="26"/>
      <w:lang w:val="zh-CN" w:eastAsia="zh-CN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zh-CN" w:eastAsia="zh-CN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zh-CN" w:eastAsia="zh-CN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zh-CN" w:eastAsia="zh-CN"/>
    </w:rPr>
  </w:style>
  <w:style w:type="paragraph" w:styleId="Heading9">
    <w:name w:val="Heading 9"/>
    <w:basedOn w:val="Normal"/>
    <w:next w:val="Normal"/>
    <w:link w:val="9"/>
    <w:qFormat/>
    <w:pPr>
      <w:spacing w:before="240" w:after="60"/>
      <w:outlineLvl w:val="8"/>
    </w:pPr>
    <w:rPr>
      <w:rFonts w:ascii="Arial" w:hAnsi="Arial"/>
      <w:sz w:val="22"/>
      <w:szCs w:val="22"/>
      <w:lang w:val="zh-CN"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Pr>
      <w:rFonts w:ascii="Times New Roman" w:hAnsi="Times New Roman" w:eastAsia="Calibri" w:cs="Times New Roman"/>
      <w:b/>
      <w:sz w:val="28"/>
      <w:szCs w:val="28"/>
      <w:lang w:val="zh-CN" w:eastAsia="zh-CN"/>
    </w:rPr>
  </w:style>
  <w:style w:type="character" w:styleId="2" w:customStyle="1">
    <w:name w:val="Заголовок 2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zh-CN" w:eastAsia="zh-CN"/>
    </w:rPr>
  </w:style>
  <w:style w:type="character" w:styleId="3" w:customStyle="1">
    <w:name w:val="Заголовок 3 Знак"/>
    <w:basedOn w:val="DefaultParagraphFont"/>
    <w:qFormat/>
    <w:rPr>
      <w:rFonts w:ascii="Times New Roman" w:hAnsi="Times New Roman" w:eastAsia="Calibri" w:cs="Times New Roman"/>
      <w:b/>
      <w:sz w:val="24"/>
      <w:szCs w:val="24"/>
      <w:lang w:val="zh-CN" w:eastAsia="zh-CN"/>
    </w:rPr>
  </w:style>
  <w:style w:type="character" w:styleId="4" w:customStyle="1">
    <w:name w:val="Заголовок 4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zh-CN" w:eastAsia="zh-CN"/>
    </w:rPr>
  </w:style>
  <w:style w:type="character" w:styleId="5" w:customStyle="1">
    <w:name w:val="Заголовок 5 Знак"/>
    <w:basedOn w:val="DefaultParagraphFont"/>
    <w:qFormat/>
    <w:rPr>
      <w:rFonts w:ascii="Times New Roman" w:hAnsi="Times New Roman" w:eastAsia="SimSun" w:cs="Times New Roman"/>
      <w:b/>
      <w:bCs/>
      <w:i/>
      <w:iCs/>
      <w:sz w:val="26"/>
      <w:szCs w:val="26"/>
      <w:lang w:val="zh-CN" w:eastAsia="zh-CN"/>
    </w:rPr>
  </w:style>
  <w:style w:type="character" w:styleId="6" w:customStyle="1">
    <w:name w:val="Заголовок 6 Знак"/>
    <w:basedOn w:val="DefaultParagraphFont"/>
    <w:qFormat/>
    <w:rPr>
      <w:rFonts w:ascii="Cambria" w:hAnsi="Cambria" w:eastAsia="SimSun" w:cs="Times New Roman"/>
      <w:i/>
      <w:iCs/>
      <w:color w:val="243F60"/>
      <w:sz w:val="20"/>
      <w:szCs w:val="20"/>
      <w:lang w:val="zh-CN" w:eastAsia="zh-CN"/>
    </w:rPr>
  </w:style>
  <w:style w:type="character" w:styleId="7" w:customStyle="1">
    <w:name w:val="Заголовок 7 Знак"/>
    <w:basedOn w:val="DefaultParagraphFont"/>
    <w:qFormat/>
    <w:rPr>
      <w:rFonts w:ascii="Cambria" w:hAnsi="Cambria" w:eastAsia="SimSun" w:cs="Times New Roman"/>
      <w:i/>
      <w:iCs/>
      <w:color w:val="404040"/>
      <w:sz w:val="20"/>
      <w:szCs w:val="20"/>
      <w:lang w:val="zh-CN" w:eastAsia="zh-CN"/>
    </w:rPr>
  </w:style>
  <w:style w:type="character" w:styleId="8" w:customStyle="1">
    <w:name w:val="Заголовок 8 Знак"/>
    <w:basedOn w:val="DefaultParagraphFont"/>
    <w:qFormat/>
    <w:rPr>
      <w:rFonts w:ascii="Cambria" w:hAnsi="Cambria" w:eastAsia="SimSun" w:cs="Times New Roman"/>
      <w:color w:val="4F81BD"/>
      <w:sz w:val="20"/>
      <w:szCs w:val="20"/>
      <w:lang w:val="zh-CN" w:eastAsia="zh-CN"/>
    </w:rPr>
  </w:style>
  <w:style w:type="character" w:styleId="9" w:customStyle="1">
    <w:name w:val="Заголовок 9 Знак"/>
    <w:basedOn w:val="DefaultParagraphFont"/>
    <w:qFormat/>
    <w:rPr>
      <w:rFonts w:ascii="Arial" w:hAnsi="Arial" w:eastAsia="SimSun" w:cs="Times New Roman"/>
      <w:lang w:val="zh-CN" w:eastAsia="zh-CN"/>
    </w:rPr>
  </w:style>
  <w:style w:type="character" w:styleId="FollowedHyperlink">
    <w:name w:val="FollowedHyperlink"/>
    <w:rPr>
      <w:color w:val="954F72"/>
      <w:u w:val="single"/>
    </w:rPr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yle1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mphasis">
    <w:name w:val="Emphasis"/>
    <w:qFormat/>
    <w:rPr>
      <w:i/>
      <w:iCs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Pagenumber">
    <w:name w:val="page number"/>
    <w:basedOn w:val="DefaultParagraphFont"/>
    <w:qFormat/>
    <w:rPr/>
  </w:style>
  <w:style w:type="character" w:styleId="Linenumber1" w:customStyle="1">
    <w:name w:val="line number1"/>
    <w:qFormat/>
    <w:rPr/>
  </w:style>
  <w:style w:type="character" w:styleId="Strong">
    <w:name w:val="Strong"/>
    <w:qFormat/>
    <w:rPr>
      <w:b/>
      <w:bCs/>
    </w:rPr>
  </w:style>
  <w:style w:type="character" w:styleId="Style2" w:customStyle="1">
    <w:name w:val="Название Знак"/>
    <w:link w:val="124"/>
    <w:qFormat/>
    <w:rPr>
      <w:sz w:val="28"/>
    </w:rPr>
  </w:style>
  <w:style w:type="character" w:styleId="Style3" w:customStyle="1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zh-CN" w:eastAsia="zh-CN"/>
    </w:rPr>
  </w:style>
  <w:style w:type="character" w:styleId="21" w:customStyle="1">
    <w:name w:val="Цитата 2 Знак"/>
    <w:link w:val="Quote"/>
    <w:qFormat/>
    <w:rPr>
      <w:rFonts w:ascii="Calibri" w:hAnsi="Calibri" w:eastAsia="Calibri"/>
      <w:i/>
      <w:iCs/>
      <w:color w:val="000000"/>
      <w:lang w:val="zh-CN" w:eastAsia="zh-CN"/>
    </w:rPr>
  </w:style>
  <w:style w:type="character" w:styleId="Style4" w:customStyle="1">
    <w:name w:val="Выделенная цитата Знак"/>
    <w:link w:val="IntenseQuote"/>
    <w:qFormat/>
    <w:rPr>
      <w:rFonts w:ascii="Calibri" w:hAnsi="Calibri" w:eastAsia="Calibri"/>
      <w:b/>
      <w:bCs/>
      <w:i/>
      <w:iCs/>
      <w:color w:val="4F81BD"/>
      <w:lang w:val="zh-CN" w:eastAsia="zh-CN"/>
    </w:rPr>
  </w:style>
  <w:style w:type="character" w:styleId="11" w:customStyle="1">
    <w:name w:val="Слабое выделение1"/>
    <w:qFormat/>
    <w:rPr>
      <w:i/>
      <w:iCs/>
      <w:color w:val="808080"/>
    </w:rPr>
  </w:style>
  <w:style w:type="character" w:styleId="12" w:customStyle="1">
    <w:name w:val="Сильное выделение1"/>
    <w:qFormat/>
    <w:rPr>
      <w:b/>
      <w:bCs/>
      <w:i/>
      <w:iCs/>
      <w:color w:val="4F81BD"/>
    </w:rPr>
  </w:style>
  <w:style w:type="character" w:styleId="13" w:customStyle="1">
    <w:name w:val="Слабая ссылка1"/>
    <w:qFormat/>
    <w:rPr>
      <w:smallCaps/>
      <w:color w:val="C0504D"/>
      <w:u w:val="single"/>
    </w:rPr>
  </w:style>
  <w:style w:type="character" w:styleId="14" w:customStyle="1">
    <w:name w:val="Сильная ссылка1"/>
    <w:qFormat/>
    <w:rPr>
      <w:b/>
      <w:bCs/>
      <w:smallCaps/>
      <w:color w:val="C0504D"/>
      <w:spacing w:val="5"/>
      <w:u w:val="single"/>
    </w:rPr>
  </w:style>
  <w:style w:type="character" w:styleId="15" w:customStyle="1">
    <w:name w:val="Название книги1"/>
    <w:qFormat/>
    <w:rPr>
      <w:b/>
      <w:bCs/>
      <w:smallCaps/>
      <w:spacing w:val="5"/>
    </w:rPr>
  </w:style>
  <w:style w:type="character" w:styleId="Style5" w:customStyle="1">
    <w:name w:val="Электронная подпись Знак"/>
    <w:link w:val="E-mailSignature"/>
    <w:qFormat/>
    <w:rPr>
      <w:rFonts w:eastAsia="Calibri"/>
      <w:sz w:val="24"/>
      <w:szCs w:val="24"/>
    </w:rPr>
  </w:style>
  <w:style w:type="character" w:styleId="16" w:customStyle="1">
    <w:name w:val="Подпункт Знак1"/>
    <w:link w:val="Style27"/>
    <w:qFormat/>
    <w:rPr>
      <w:sz w:val="28"/>
    </w:rPr>
  </w:style>
  <w:style w:type="character" w:styleId="Style6" w:customStyle="1">
    <w:name w:val="Текст сноски Знак"/>
    <w:qFormat/>
    <w:rPr/>
  </w:style>
  <w:style w:type="character" w:styleId="Style7" w:customStyle="1">
    <w:name w:val="Основной текст Знак"/>
    <w:qFormat/>
    <w:rPr>
      <w:sz w:val="28"/>
      <w:szCs w:val="28"/>
    </w:rPr>
  </w:style>
  <w:style w:type="character" w:styleId="Blk" w:customStyle="1">
    <w:name w:val="blk"/>
    <w:qFormat/>
    <w:rPr/>
  </w:style>
  <w:style w:type="character" w:styleId="Style8" w:customStyle="1">
    <w:name w:val="Абзац списка Знак"/>
    <w:link w:val="ListParagraph"/>
    <w:qFormat/>
    <w:rPr>
      <w:rFonts w:eastAsia="Calibri"/>
      <w:sz w:val="24"/>
      <w:szCs w:val="24"/>
    </w:rPr>
  </w:style>
  <w:style w:type="character" w:styleId="Style9" w:customStyle="1">
    <w:name w:val="комментарий"/>
    <w:qFormat/>
    <w:rPr>
      <w:b/>
      <w:i/>
      <w:shd w:fill="FFFF99" w:val="clear"/>
    </w:rPr>
  </w:style>
  <w:style w:type="character" w:styleId="Style10" w:customStyle="1">
    <w:name w:val="Подподпункт Знак"/>
    <w:link w:val="Style28"/>
    <w:qFormat/>
    <w:rPr>
      <w:sz w:val="26"/>
      <w:szCs w:val="26"/>
    </w:rPr>
  </w:style>
  <w:style w:type="character" w:styleId="31" w:customStyle="1">
    <w:name w:val="УРОВЕНЬ_Абзац_тип3 Знак"/>
    <w:link w:val="34"/>
    <w:qFormat/>
    <w:rPr>
      <w:rFonts w:eastAsia="Calibri"/>
      <w:sz w:val="26"/>
      <w:szCs w:val="28"/>
    </w:rPr>
  </w:style>
  <w:style w:type="character" w:styleId="Style11" w:customStyle="1">
    <w:name w:val="Верхний колонтитул Знак"/>
    <w:qFormat/>
    <w:rPr>
      <w:sz w:val="24"/>
      <w:szCs w:val="24"/>
    </w:rPr>
  </w:style>
  <w:style w:type="character" w:styleId="Style12" w:customStyle="1">
    <w:name w:val="Текст примечания Знак"/>
    <w:link w:val="Annotationtext"/>
    <w:qFormat/>
    <w:rPr/>
  </w:style>
  <w:style w:type="character" w:styleId="Style13" w:customStyle="1">
    <w:name w:val="Текст концевой сноски Знак"/>
    <w:basedOn w:val="DefaultParagraphFont"/>
    <w:qFormat/>
    <w:rPr/>
  </w:style>
  <w:style w:type="character" w:styleId="22" w:customStyle="1">
    <w:name w:val="Пункт2 Знак"/>
    <w:link w:val="26"/>
    <w:qFormat/>
    <w:rPr>
      <w:b/>
      <w:sz w:val="28"/>
    </w:rPr>
  </w:style>
  <w:style w:type="character" w:styleId="17" w:customStyle="1">
    <w:name w:val="УРОВЕНЬ_1. Знак"/>
    <w:link w:val="125"/>
    <w:qFormat/>
    <w:rPr>
      <w:rFonts w:eastAsia="Calibri"/>
      <w:caps/>
      <w:sz w:val="28"/>
      <w:szCs w:val="28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Текст выноски Знак"/>
    <w:link w:val="BalloonText"/>
    <w:qFormat/>
    <w:rPr>
      <w:rFonts w:ascii="Tahoma" w:hAnsi="Tahoma" w:cs="Tahoma"/>
      <w:sz w:val="16"/>
      <w:szCs w:val="16"/>
    </w:rPr>
  </w:style>
  <w:style w:type="character" w:styleId="Apple-style-span" w:customStyle="1">
    <w:name w:val="apple-style-span"/>
    <w:basedOn w:val="DefaultParagraphFont"/>
    <w:qFormat/>
    <w:rPr/>
  </w:style>
  <w:style w:type="character" w:styleId="Apple-converted-space" w:customStyle="1">
    <w:name w:val="apple-converted-space"/>
    <w:basedOn w:val="DefaultParagraphFont"/>
    <w:qFormat/>
    <w:rPr/>
  </w:style>
  <w:style w:type="character" w:styleId="Style16" w:customStyle="1">
    <w:name w:val="Нижний колонтитул Знак"/>
    <w:basedOn w:val="DefaultParagraphFont"/>
    <w:qFormat/>
    <w:rPr>
      <w:sz w:val="28"/>
      <w:szCs w:val="28"/>
    </w:rPr>
  </w:style>
  <w:style w:type="character" w:styleId="Linenumber11" w:customStyle="1">
    <w:name w:val="line number11"/>
    <w:basedOn w:val="DefaultParagraphFont"/>
    <w:qFormat/>
    <w:rPr/>
  </w:style>
  <w:style w:type="character" w:styleId="Style17" w:customStyle="1">
    <w:name w:val="Схема документа Знак"/>
    <w:basedOn w:val="DefaultParagraphFont"/>
    <w:link w:val="DocumentMap"/>
    <w:qFormat/>
    <w:rPr>
      <w:rFonts w:ascii="Tahoma" w:hAnsi="Tahoma" w:cs="Tahoma"/>
      <w:sz w:val="16"/>
      <w:szCs w:val="16"/>
    </w:rPr>
  </w:style>
  <w:style w:type="character" w:styleId="Style18" w:customStyle="1">
    <w:name w:val="Тема примечания Знак"/>
    <w:link w:val="Annotationsubject"/>
    <w:qFormat/>
    <w:rPr>
      <w:b/>
      <w:bCs/>
    </w:rPr>
  </w:style>
  <w:style w:type="character" w:styleId="Style19" w:customStyle="1">
    <w:name w:val="Основной текст с отступом Знак"/>
    <w:qFormat/>
    <w:rPr>
      <w:sz w:val="24"/>
      <w:szCs w:val="24"/>
    </w:rPr>
  </w:style>
  <w:style w:type="character" w:styleId="61" w:customStyle="1">
    <w:name w:val="Основной текст (6)_"/>
    <w:basedOn w:val="DefaultParagraphFont"/>
    <w:link w:val="62"/>
    <w:qFormat/>
    <w:rPr>
      <w:shd w:fill="FFFFFF" w:val="clear"/>
    </w:rPr>
  </w:style>
  <w:style w:type="character" w:styleId="Style20" w:customStyle="1">
    <w:name w:val="Колонтитул_"/>
    <w:basedOn w:val="DefaultParagraphFont"/>
    <w:link w:val="Style26"/>
    <w:qFormat/>
    <w:rPr>
      <w:sz w:val="28"/>
      <w:szCs w:val="28"/>
    </w:rPr>
  </w:style>
  <w:style w:type="character" w:styleId="ConsPlusNormal" w:customStyle="1">
    <w:name w:val="ConsPlusNormal Знак"/>
    <w:link w:val="ConsPlusNormal1"/>
    <w:qFormat/>
    <w:rPr>
      <w:rFonts w:ascii="Arial" w:hAnsi="Arial" w:cs="Arial"/>
    </w:rPr>
  </w:style>
  <w:style w:type="character" w:styleId="18" w:customStyle="1">
    <w:name w:val="Абзац списка Знак1"/>
    <w:basedOn w:val="DefaultParagraphFont"/>
    <w:qFormat/>
    <w:rPr>
      <w:rFonts w:ascii="Calibri" w:hAnsi="Calibri"/>
      <w:sz w:val="22"/>
    </w:rPr>
  </w:style>
  <w:style w:type="character" w:styleId="Style21" w:customStyle="1">
    <w:name w:val="Заголовок Знак"/>
    <w:basedOn w:val="DefaultParagraphFont"/>
    <w:qFormat/>
    <w:rPr>
      <w:rFonts w:ascii="Liberation Sans" w:hAnsi="Liberation Sans" w:eastAsia="Arial Unicode MS" w:cs="Arial Unicode MS"/>
      <w:sz w:val="28"/>
      <w:szCs w:val="28"/>
    </w:rPr>
  </w:style>
  <w:style w:type="character" w:styleId="Style22" w:customStyle="1">
    <w:name w:val="Маркеры"/>
    <w:qFormat/>
    <w:rPr>
      <w:rFonts w:ascii="OpenSymbol" w:hAnsi="OpenSymbol" w:eastAsia="OpenSymbol" w:cs="OpenSymbol"/>
    </w:rPr>
  </w:style>
  <w:style w:type="character" w:styleId="Style23" w:customStyle="1">
    <w:name w:val="Символ нумерации"/>
    <w:qFormat/>
    <w:rPr/>
  </w:style>
  <w:style w:type="character" w:styleId="Txt" w:customStyle="1">
    <w:name w:val="txt Знак"/>
    <w:basedOn w:val="DefaultParagraphFont"/>
    <w:link w:val="Txt1"/>
    <w:qFormat/>
    <w:rPr/>
  </w:style>
  <w:style w:type="character" w:styleId="Tl" w:customStyle="1">
    <w:name w:val="t_l Знак"/>
    <w:basedOn w:val="DefaultParagraphFont"/>
    <w:link w:val="Tl1"/>
    <w:qFormat/>
    <w:rPr>
      <w:kern w:val="2"/>
      <w:szCs w:val="24"/>
    </w:rPr>
  </w:style>
  <w:style w:type="character" w:styleId="Th" w:customStyle="1">
    <w:name w:val="t_h Знак"/>
    <w:basedOn w:val="Tl"/>
    <w:link w:val="Th1"/>
    <w:qFormat/>
    <w:rPr>
      <w:b/>
      <w:bCs/>
      <w:kern w:val="2"/>
      <w:szCs w:val="24"/>
    </w:rPr>
  </w:style>
  <w:style w:type="character" w:styleId="-1" w:customStyle="1">
    <w:name w:val="Таблица - список 1 Знак"/>
    <w:basedOn w:val="DefaultParagraphFont"/>
    <w:link w:val="-11"/>
    <w:qFormat/>
    <w:rPr>
      <w:rFonts w:eastAsia="Calibri"/>
    </w:rPr>
  </w:style>
  <w:style w:type="character" w:styleId="-2" w:customStyle="1">
    <w:name w:val="Таблица - список 2 Знак"/>
    <w:basedOn w:val="-1"/>
    <w:link w:val="-21"/>
    <w:qFormat/>
    <w:rPr>
      <w:rFonts w:eastAsia="Calibri"/>
    </w:rPr>
  </w:style>
  <w:style w:type="character" w:styleId="23" w:customStyle="1">
    <w:name w:val="Таблица (список маркированный 2 Знак"/>
    <w:basedOn w:val="DefaultParagraphFont"/>
    <w:link w:val="214"/>
    <w:qFormat/>
    <w:rPr>
      <w:kern w:val="2"/>
      <w:szCs w:val="24"/>
    </w:rPr>
  </w:style>
  <w:style w:type="character" w:styleId="-" w:customStyle="1">
    <w:name w:val="Таблица - текст Знак"/>
    <w:basedOn w:val="DefaultParagraphFont"/>
    <w:link w:val="-5"/>
    <w:qFormat/>
    <w:rPr>
      <w:kern w:val="2"/>
      <w:szCs w:val="24"/>
    </w:rPr>
  </w:style>
  <w:style w:type="character" w:styleId="-3" w:customStyle="1">
    <w:name w:val="Таблица - заголовки Знак"/>
    <w:basedOn w:val="-"/>
    <w:link w:val="-6"/>
    <w:qFormat/>
    <w:rPr>
      <w:b/>
      <w:bCs/>
      <w:kern w:val="2"/>
      <w:szCs w:val="24"/>
    </w:rPr>
  </w:style>
  <w:style w:type="character" w:styleId="19" w:customStyle="1">
    <w:name w:val="Знак сноски1"/>
    <w:qFormat/>
    <w:rPr>
      <w:vertAlign w:val="superscript"/>
    </w:rPr>
  </w:style>
  <w:style w:type="character" w:styleId="Linenumber2" w:customStyle="1">
    <w:name w:val="line number2"/>
    <w:qFormat/>
    <w:rPr/>
  </w:style>
  <w:style w:type="character" w:styleId="110" w:customStyle="1">
    <w:name w:val="Заголовок Знак1"/>
    <w:basedOn w:val="DefaultParagraphFont"/>
    <w:qFormat/>
    <w:rPr>
      <w:rFonts w:ascii="Calibri Light" w:hAnsi="Calibri Light" w:eastAsia="SimSun" w:cs="Tahoma"/>
      <w:spacing w:val="-10"/>
      <w:kern w:val="2"/>
      <w:sz w:val="56"/>
      <w:szCs w:val="56"/>
      <w:lang w:eastAsia="ru-RU"/>
    </w:rPr>
  </w:style>
  <w:style w:type="character" w:styleId="111" w:customStyle="1">
    <w:name w:val="Основной текст Знак1"/>
    <w:basedOn w:val="DefaultParagraphFont"/>
    <w:qFormat/>
    <w:rPr>
      <w:rFonts w:ascii="Times New Roman" w:hAnsi="Times New Roman" w:eastAsia="SimSun" w:cs="Times New Roman"/>
      <w:sz w:val="28"/>
      <w:szCs w:val="28"/>
      <w:lang w:eastAsia="ru-RU"/>
    </w:rPr>
  </w:style>
  <w:style w:type="character" w:styleId="112" w:customStyle="1">
    <w:name w:val="Текст выноски Знак1"/>
    <w:basedOn w:val="DefaultParagraphFont"/>
    <w:qFormat/>
    <w:rPr>
      <w:rFonts w:ascii="Segoe UI" w:hAnsi="Segoe UI" w:eastAsia="SimSun" w:cs="Segoe UI"/>
      <w:sz w:val="18"/>
      <w:szCs w:val="18"/>
      <w:lang w:eastAsia="ru-RU"/>
    </w:rPr>
  </w:style>
  <w:style w:type="character" w:styleId="24" w:customStyle="1">
    <w:name w:val="Основной текст 2 Знак"/>
    <w:basedOn w:val="DefaultParagraphFont"/>
    <w:link w:val="BodyText2"/>
    <w:qFormat/>
    <w:rPr>
      <w:rFonts w:ascii="Times New Roman" w:hAnsi="Times New Roman" w:eastAsia="SimSun" w:cs="Times New Roman"/>
      <w:sz w:val="28"/>
      <w:szCs w:val="28"/>
      <w:lang w:eastAsia="ru-RU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Pr>
      <w:rFonts w:ascii="Times New Roman" w:hAnsi="Times New Roman" w:eastAsia="SimSun" w:cs="Times New Roman"/>
      <w:sz w:val="16"/>
      <w:szCs w:val="16"/>
      <w:lang w:eastAsia="ru-RU"/>
    </w:rPr>
  </w:style>
  <w:style w:type="character" w:styleId="113" w:customStyle="1">
    <w:name w:val="Текст концевой сноски Знак1"/>
    <w:basedOn w:val="DefaultParagraphFont"/>
    <w:qFormat/>
    <w:rPr>
      <w:rFonts w:ascii="Times New Roman" w:hAnsi="Times New Roman" w:eastAsia="SimSun" w:cs="Times New Roman"/>
      <w:sz w:val="20"/>
      <w:szCs w:val="20"/>
      <w:lang w:eastAsia="ru-RU"/>
    </w:rPr>
  </w:style>
  <w:style w:type="character" w:styleId="114" w:customStyle="1">
    <w:name w:val="Текст примечания Знак1"/>
    <w:basedOn w:val="DefaultParagraphFont"/>
    <w:qFormat/>
    <w:rPr>
      <w:rFonts w:ascii="Times New Roman" w:hAnsi="Times New Roman" w:eastAsia="SimSun" w:cs="Times New Roman"/>
      <w:sz w:val="20"/>
      <w:szCs w:val="20"/>
      <w:lang w:eastAsia="ru-RU"/>
    </w:rPr>
  </w:style>
  <w:style w:type="character" w:styleId="115" w:customStyle="1">
    <w:name w:val="Тема примечания Знак1"/>
    <w:basedOn w:val="114"/>
    <w:qFormat/>
    <w:rPr>
      <w:rFonts w:ascii="Times New Roman" w:hAnsi="Times New Roman" w:eastAsia="SimSun" w:cs="Times New Roman"/>
      <w:b/>
      <w:bCs/>
      <w:sz w:val="20"/>
      <w:szCs w:val="20"/>
      <w:lang w:eastAsia="ru-RU"/>
    </w:rPr>
  </w:style>
  <w:style w:type="character" w:styleId="116" w:customStyle="1">
    <w:name w:val="Схема документа Знак1"/>
    <w:basedOn w:val="DefaultParagraphFont"/>
    <w:qFormat/>
    <w:rPr>
      <w:rFonts w:ascii="Segoe UI" w:hAnsi="Segoe UI" w:eastAsia="SimSun" w:cs="Segoe UI"/>
      <w:sz w:val="16"/>
      <w:szCs w:val="16"/>
      <w:lang w:eastAsia="ru-RU"/>
    </w:rPr>
  </w:style>
  <w:style w:type="character" w:styleId="117" w:customStyle="1">
    <w:name w:val="Текст сноски Знак1"/>
    <w:basedOn w:val="DefaultParagraphFont"/>
    <w:qFormat/>
    <w:rPr>
      <w:rFonts w:ascii="Times New Roman" w:hAnsi="Times New Roman" w:eastAsia="SimSun" w:cs="Times New Roman"/>
      <w:sz w:val="20"/>
      <w:szCs w:val="20"/>
      <w:lang w:eastAsia="ru-RU"/>
    </w:rPr>
  </w:style>
  <w:style w:type="character" w:styleId="118" w:customStyle="1">
    <w:name w:val="Верхний колонтитул Знак1"/>
    <w:basedOn w:val="DefaultParagraphFont"/>
    <w:qFormat/>
    <w:rPr>
      <w:rFonts w:ascii="Times New Roman" w:hAnsi="Times New Roman" w:eastAsia="SimSun" w:cs="Times New Roman"/>
      <w:sz w:val="28"/>
      <w:szCs w:val="28"/>
      <w:lang w:eastAsia="ru-RU"/>
    </w:rPr>
  </w:style>
  <w:style w:type="character" w:styleId="119" w:customStyle="1">
    <w:name w:val="Основной текст с отступом Знак1"/>
    <w:basedOn w:val="DefaultParagraphFont"/>
    <w:qFormat/>
    <w:rPr>
      <w:rFonts w:ascii="Times New Roman" w:hAnsi="Times New Roman" w:eastAsia="SimSun" w:cs="Times New Roman"/>
      <w:sz w:val="28"/>
      <w:szCs w:val="28"/>
      <w:lang w:eastAsia="ru-RU"/>
    </w:rPr>
  </w:style>
  <w:style w:type="character" w:styleId="120" w:customStyle="1">
    <w:name w:val="Нижний колонтитул Знак1"/>
    <w:basedOn w:val="DefaultParagraphFont"/>
    <w:qFormat/>
    <w:rPr>
      <w:rFonts w:ascii="Times New Roman" w:hAnsi="Times New Roman" w:eastAsia="SimSun" w:cs="Times New Roman"/>
      <w:sz w:val="28"/>
      <w:szCs w:val="28"/>
      <w:lang w:eastAsia="ru-RU"/>
    </w:rPr>
  </w:style>
  <w:style w:type="character" w:styleId="33" w:customStyle="1">
    <w:name w:val="Основной текст 3 Знак"/>
    <w:basedOn w:val="DefaultParagraphFont"/>
    <w:link w:val="BodyText3"/>
    <w:qFormat/>
    <w:rPr>
      <w:rFonts w:ascii="Times New Roman" w:hAnsi="Times New Roman" w:eastAsia="SimSun" w:cs="Times New Roman"/>
      <w:sz w:val="16"/>
      <w:szCs w:val="16"/>
      <w:lang w:eastAsia="ru-RU"/>
    </w:rPr>
  </w:style>
  <w:style w:type="character" w:styleId="25" w:customStyle="1">
    <w:name w:val="Основной текст с отступом 2 Знак"/>
    <w:basedOn w:val="DefaultParagraphFont"/>
    <w:link w:val="BodyTextIndent2"/>
    <w:qFormat/>
    <w:rPr>
      <w:rFonts w:ascii="Times New Roman" w:hAnsi="Times New Roman" w:eastAsia="SimSun" w:cs="Times New Roman"/>
      <w:sz w:val="28"/>
      <w:szCs w:val="28"/>
      <w:lang w:eastAsia="ru-RU"/>
    </w:rPr>
  </w:style>
  <w:style w:type="character" w:styleId="121" w:customStyle="1">
    <w:name w:val="Подзаголовок Знак1"/>
    <w:basedOn w:val="DefaultParagraphFont"/>
    <w:qFormat/>
    <w:rPr>
      <w:rFonts w:eastAsia="SimSun"/>
      <w:color w:val="5A5A5A"/>
      <w:spacing w:val="15"/>
      <w:lang w:eastAsia="ru-RU"/>
    </w:rPr>
  </w:style>
  <w:style w:type="character" w:styleId="122" w:customStyle="1">
    <w:name w:val="Электронная подпись Знак1"/>
    <w:basedOn w:val="DefaultParagraphFont"/>
    <w:qFormat/>
    <w:rPr>
      <w:rFonts w:ascii="Times New Roman" w:hAnsi="Times New Roman" w:eastAsia="SimSun" w:cs="Times New Roman"/>
      <w:sz w:val="28"/>
      <w:szCs w:val="28"/>
      <w:lang w:eastAsia="ru-RU"/>
    </w:rPr>
  </w:style>
  <w:style w:type="character" w:styleId="211" w:customStyle="1">
    <w:name w:val="Цитата 2 Знак1"/>
    <w:basedOn w:val="DefaultParagraphFont"/>
    <w:qFormat/>
    <w:rPr>
      <w:rFonts w:ascii="Times New Roman" w:hAnsi="Times New Roman" w:eastAsia="SimSun" w:cs="Times New Roman"/>
      <w:i/>
      <w:iCs/>
      <w:color w:val="404040"/>
      <w:sz w:val="28"/>
      <w:szCs w:val="28"/>
      <w:lang w:eastAsia="ru-RU"/>
    </w:rPr>
  </w:style>
  <w:style w:type="character" w:styleId="123" w:customStyle="1">
    <w:name w:val="Выделенная цитата Знак1"/>
    <w:basedOn w:val="DefaultParagraphFont"/>
    <w:qFormat/>
    <w:rPr>
      <w:rFonts w:ascii="Times New Roman" w:hAnsi="Times New Roman" w:eastAsia="SimSun" w:cs="Times New Roman"/>
      <w:i/>
      <w:iCs/>
      <w:color w:val="5B9BD5"/>
      <w:sz w:val="28"/>
      <w:szCs w:val="28"/>
      <w:lang w:eastAsia="ru-RU"/>
    </w:rPr>
  </w:style>
  <w:style w:type="character" w:styleId="Linenumber3">
    <w:name w:val="line number3"/>
    <w:qFormat/>
    <w:rPr/>
  </w:style>
  <w:style w:type="character" w:styleId="LineNumber">
    <w:name w:val="Line Number"/>
    <w:rPr/>
  </w:style>
  <w:style w:type="paragraph" w:styleId="Style24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7"/>
    <w:pPr/>
    <w:rPr>
      <w:rFonts w:ascii="Calibri" w:hAnsi="Calibri" w:eastAsia="Calibri" w:cs="Tahoma"/>
      <w:lang w:eastAsia="en-US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link w:val="Style21"/>
    <w:qFormat/>
    <w:pPr>
      <w:keepNext w:val="true"/>
      <w:spacing w:before="240" w:after="120"/>
    </w:pPr>
    <w:rPr>
      <w:rFonts w:ascii="Liberation Sans" w:hAnsi="Liberation Sans" w:eastAsia="Arial Unicode MS" w:cs="Arial Unicode MS"/>
      <w:lang w:eastAsia="en-U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1">
    <w:name w:val="index 1"/>
    <w:basedOn w:val="Normal"/>
    <w:next w:val="Normal"/>
    <w:autoRedefine/>
    <w:qFormat/>
    <w:pPr>
      <w:ind w:hanging="280" w:left="280"/>
    </w:pPr>
    <w:rPr/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11111" w:customStyle="1">
    <w:name w:val="index heading1111111"/>
    <w:basedOn w:val="Title"/>
    <w:qFormat/>
    <w:pPr>
      <w:suppressLineNumbers/>
    </w:pPr>
    <w:rPr>
      <w:b/>
      <w:bCs/>
      <w:sz w:val="32"/>
      <w:szCs w:val="32"/>
    </w:rPr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1" w:customStyle="1">
    <w:name w:val="index heading11111111"/>
    <w:basedOn w:val="Title"/>
    <w:qFormat/>
    <w:pPr/>
    <w:rPr/>
  </w:style>
  <w:style w:type="paragraph" w:styleId="BalloonText">
    <w:name w:val="Balloon Text"/>
    <w:basedOn w:val="Normal"/>
    <w:link w:val="Style15"/>
    <w:qFormat/>
    <w:pPr/>
    <w:rPr>
      <w:rFonts w:ascii="Tahoma" w:hAnsi="Tahoma" w:eastAsia="Calibri" w:cs="Tahoma"/>
      <w:sz w:val="16"/>
      <w:szCs w:val="16"/>
      <w:lang w:eastAsia="en-US"/>
    </w:rPr>
  </w:style>
  <w:style w:type="paragraph" w:styleId="BodyText2">
    <w:name w:val="Body Text 2"/>
    <w:basedOn w:val="Normal"/>
    <w:link w:val="24"/>
    <w:qFormat/>
    <w:pPr>
      <w:spacing w:lineRule="auto" w:line="480" w:before="0" w:after="120"/>
    </w:pPr>
    <w:rPr/>
  </w:style>
  <w:style w:type="paragraph" w:styleId="BodyTextIndent3">
    <w:name w:val="Body Text Indent 3"/>
    <w:basedOn w:val="Normal"/>
    <w:link w:val="32"/>
    <w:qFormat/>
    <w:pPr>
      <w:spacing w:before="0" w:after="120"/>
      <w:ind w:left="283"/>
    </w:pPr>
    <w:rPr>
      <w:sz w:val="16"/>
      <w:szCs w:val="16"/>
    </w:rPr>
  </w:style>
  <w:style w:type="paragraph" w:styleId="EndnoteText">
    <w:name w:val="Endnote Text"/>
    <w:basedOn w:val="Normal"/>
    <w:link w:val="Style13"/>
    <w:pPr/>
    <w:rPr>
      <w:rFonts w:ascii="Calibri" w:hAnsi="Calibri" w:eastAsia="Calibri" w:cs="Tahoma"/>
      <w:sz w:val="22"/>
      <w:szCs w:val="22"/>
      <w:lang w:eastAsia="en-US"/>
    </w:rPr>
  </w:style>
  <w:style w:type="paragraph" w:styleId="Caption111111111" w:customStyle="1">
    <w:name w:val="caption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nnotationtext">
    <w:name w:val="annotation text"/>
    <w:basedOn w:val="Normal"/>
    <w:link w:val="Style12"/>
    <w:qFormat/>
    <w:pPr/>
    <w:rPr>
      <w:rFonts w:ascii="Calibri" w:hAnsi="Calibri" w:eastAsia="Calibri" w:cs="Tahoma"/>
      <w:sz w:val="22"/>
      <w:szCs w:val="22"/>
      <w:lang w:eastAsia="en-US"/>
    </w:rPr>
  </w:style>
  <w:style w:type="paragraph" w:styleId="Annotationsubject">
    <w:name w:val="annotation subject"/>
    <w:basedOn w:val="Annotationtext"/>
    <w:next w:val="Annotationtext"/>
    <w:link w:val="Style18"/>
    <w:qFormat/>
    <w:pPr/>
    <w:rPr>
      <w:b/>
      <w:bCs/>
    </w:rPr>
  </w:style>
  <w:style w:type="paragraph" w:styleId="DocumentMap">
    <w:name w:val="Document Map"/>
    <w:basedOn w:val="Normal"/>
    <w:link w:val="Style17"/>
    <w:qFormat/>
    <w:pPr>
      <w:suppressAutoHyphens w:val="false"/>
    </w:pPr>
    <w:rPr>
      <w:rFonts w:ascii="Tahoma" w:hAnsi="Tahoma" w:eastAsia="Calibri" w:cs="Tahoma"/>
      <w:sz w:val="16"/>
      <w:szCs w:val="16"/>
      <w:lang w:eastAsia="en-US"/>
    </w:rPr>
  </w:style>
  <w:style w:type="paragraph" w:styleId="FootnoteText">
    <w:name w:val="Footnote Text"/>
    <w:basedOn w:val="Normal"/>
    <w:link w:val="Style6"/>
    <w:pPr/>
    <w:rPr>
      <w:rFonts w:ascii="Calibri" w:hAnsi="Calibri" w:eastAsia="Calibri" w:cs="Tahoma"/>
      <w:sz w:val="22"/>
      <w:szCs w:val="22"/>
      <w:lang w:eastAsia="en-US"/>
    </w:rPr>
  </w:style>
  <w:style w:type="paragraph" w:styleId="TOC8">
    <w:name w:val="TOC 8"/>
    <w:basedOn w:val="Normal"/>
    <w:next w:val="Normal"/>
    <w:autoRedefine/>
    <w:pPr>
      <w:ind w:left="1680"/>
    </w:pPr>
    <w:rPr>
      <w:rFonts w:ascii="Calibri" w:hAnsi="Calibri" w:cs="Calibri"/>
      <w:sz w:val="20"/>
      <w:szCs w:val="20"/>
    </w:rPr>
  </w:style>
  <w:style w:type="paragraph" w:styleId="Style26" w:customStyle="1">
    <w:name w:val="Колонтитул"/>
    <w:basedOn w:val="Normal"/>
    <w:link w:val="Style20"/>
    <w:qFormat/>
    <w:pPr/>
    <w:rPr>
      <w:rFonts w:ascii="Calibri" w:hAnsi="Calibri" w:eastAsia="Calibri" w:cs="Tahoma"/>
      <w:lang w:eastAsia="en-US"/>
    </w:rPr>
  </w:style>
  <w:style w:type="paragraph" w:styleId="Header">
    <w:name w:val="Header"/>
    <w:basedOn w:val="Normal"/>
    <w:link w:val="Style11"/>
    <w:pPr>
      <w:tabs>
        <w:tab w:val="clear" w:pos="708"/>
        <w:tab w:val="center" w:pos="4677" w:leader="none"/>
        <w:tab w:val="right" w:pos="9355" w:leader="none"/>
      </w:tabs>
    </w:pPr>
    <w:rPr>
      <w:rFonts w:ascii="Calibri" w:hAnsi="Calibri" w:eastAsia="Calibri" w:cs="Tahoma"/>
      <w:sz w:val="24"/>
      <w:szCs w:val="24"/>
      <w:lang w:eastAsia="en-US"/>
    </w:rPr>
  </w:style>
  <w:style w:type="paragraph" w:styleId="TOC9">
    <w:name w:val="TOC 9"/>
    <w:basedOn w:val="Normal"/>
    <w:next w:val="Normal"/>
    <w:autoRedefine/>
    <w:pPr>
      <w:ind w:left="196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pPr>
      <w:ind w:left="1400"/>
    </w:pPr>
    <w:rPr>
      <w:rFonts w:ascii="Calibri" w:hAnsi="Calibri" w:cs="Calibri"/>
      <w:sz w:val="20"/>
      <w:szCs w:val="20"/>
    </w:rPr>
  </w:style>
  <w:style w:type="paragraph" w:styleId="TOC1">
    <w:name w:val="TOC 1"/>
    <w:basedOn w:val="Normal"/>
    <w:next w:val="Normal"/>
    <w:autoRedefine/>
    <w:uiPriority w:val="39"/>
    <w:pPr>
      <w:tabs>
        <w:tab w:val="clear" w:pos="708"/>
        <w:tab w:val="left" w:pos="0" w:leader="none"/>
        <w:tab w:val="left" w:pos="567" w:leader="none"/>
        <w:tab w:val="right" w:pos="9911" w:leader="dot"/>
      </w:tabs>
      <w:jc w:val="both"/>
    </w:pPr>
    <w:rPr>
      <w:rFonts w:cs="Calibri Light (Заголовки)"/>
      <w:b/>
      <w:bCs/>
      <w:sz w:val="24"/>
      <w:szCs w:val="24"/>
    </w:rPr>
  </w:style>
  <w:style w:type="paragraph" w:styleId="TOC6">
    <w:name w:val="TOC 6"/>
    <w:basedOn w:val="Normal"/>
    <w:next w:val="Normal"/>
    <w:autoRedefine/>
    <w:pPr>
      <w:ind w:left="1120"/>
    </w:pPr>
    <w:rPr>
      <w:rFonts w:ascii="Calibri" w:hAnsi="Calibri" w:cs="Calibri"/>
      <w:sz w:val="20"/>
      <w:szCs w:val="20"/>
    </w:rPr>
  </w:style>
  <w:style w:type="paragraph" w:styleId="TOC3">
    <w:name w:val="TOC 3"/>
    <w:basedOn w:val="Normal"/>
    <w:next w:val="Normal"/>
    <w:autoRedefine/>
    <w:uiPriority w:val="39"/>
    <w:pPr>
      <w:tabs>
        <w:tab w:val="clear" w:pos="708"/>
        <w:tab w:val="left" w:pos="567" w:leader="none"/>
        <w:tab w:val="right" w:pos="9911" w:leader="dot"/>
      </w:tabs>
    </w:pPr>
    <w:rPr>
      <w:rFonts w:cs="Calibri"/>
      <w:sz w:val="20"/>
      <w:szCs w:val="20"/>
    </w:rPr>
  </w:style>
  <w:style w:type="paragraph" w:styleId="TOC2">
    <w:name w:val="TOC 2"/>
    <w:basedOn w:val="Normal"/>
    <w:next w:val="Normal"/>
    <w:autoRedefine/>
    <w:uiPriority w:val="39"/>
    <w:pPr>
      <w:tabs>
        <w:tab w:val="clear" w:pos="708"/>
        <w:tab w:val="left" w:pos="567" w:leader="none"/>
        <w:tab w:val="right" w:pos="9911" w:leader="dot"/>
      </w:tabs>
    </w:pPr>
    <w:rPr>
      <w:rFonts w:cs="Calibri"/>
      <w:bCs/>
      <w:sz w:val="20"/>
      <w:szCs w:val="20"/>
    </w:rPr>
  </w:style>
  <w:style w:type="paragraph" w:styleId="TOC4">
    <w:name w:val="TOC 4"/>
    <w:basedOn w:val="Normal"/>
    <w:next w:val="Normal"/>
    <w:autoRedefine/>
    <w:pPr>
      <w:tabs>
        <w:tab w:val="clear" w:pos="708"/>
        <w:tab w:val="left" w:pos="1120" w:leader="none"/>
        <w:tab w:val="right" w:pos="9911" w:leader="none"/>
      </w:tabs>
      <w:ind w:left="560"/>
    </w:pPr>
    <w:rPr>
      <w:rFonts w:cs="Calibri"/>
      <w:sz w:val="20"/>
      <w:szCs w:val="20"/>
    </w:rPr>
  </w:style>
  <w:style w:type="paragraph" w:styleId="TOC5">
    <w:name w:val="TOC 5"/>
    <w:basedOn w:val="Normal"/>
    <w:next w:val="Normal"/>
    <w:autoRedefine/>
    <w:pPr>
      <w:ind w:left="840"/>
    </w:pPr>
    <w:rPr>
      <w:rFonts w:ascii="Calibri" w:hAnsi="Calibri" w:cs="Calibri"/>
      <w:sz w:val="20"/>
      <w:szCs w:val="20"/>
    </w:rPr>
  </w:style>
  <w:style w:type="paragraph" w:styleId="BodyTextIndent">
    <w:name w:val="Body Text Indent"/>
    <w:basedOn w:val="Normal"/>
    <w:link w:val="Style19"/>
    <w:pPr>
      <w:ind w:left="360"/>
    </w:pPr>
    <w:rPr>
      <w:rFonts w:ascii="Calibri" w:hAnsi="Calibri" w:eastAsia="Calibri" w:cs="Tahoma"/>
      <w:sz w:val="24"/>
      <w:szCs w:val="24"/>
      <w:lang w:eastAsia="en-US"/>
    </w:rPr>
  </w:style>
  <w:style w:type="paragraph" w:styleId="Footer">
    <w:name w:val="Footer"/>
    <w:basedOn w:val="Normal"/>
    <w:link w:val="Style16"/>
    <w:pPr>
      <w:tabs>
        <w:tab w:val="clear" w:pos="708"/>
        <w:tab w:val="center" w:pos="4677" w:leader="none"/>
        <w:tab w:val="right" w:pos="9355" w:leader="none"/>
      </w:tabs>
    </w:pPr>
    <w:rPr>
      <w:rFonts w:ascii="Calibri" w:hAnsi="Calibri" w:eastAsia="Calibri" w:cs="Tahoma"/>
      <w:lang w:eastAsia="en-US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BodyText3">
    <w:name w:val="Body Text 3"/>
    <w:basedOn w:val="Normal"/>
    <w:link w:val="33"/>
    <w:qFormat/>
    <w:pPr>
      <w:spacing w:before="0" w:after="120"/>
    </w:pPr>
    <w:rPr>
      <w:sz w:val="16"/>
      <w:szCs w:val="16"/>
    </w:rPr>
  </w:style>
  <w:style w:type="paragraph" w:styleId="BodyTextIndent2">
    <w:name w:val="Body Text Indent 2"/>
    <w:basedOn w:val="Normal"/>
    <w:link w:val="25"/>
    <w:qFormat/>
    <w:pPr>
      <w:spacing w:lineRule="auto" w:line="480" w:before="0" w:after="120"/>
      <w:ind w:left="283"/>
    </w:pPr>
    <w:rPr/>
  </w:style>
  <w:style w:type="paragraph" w:styleId="Subtitle">
    <w:name w:val="Subtitle"/>
    <w:basedOn w:val="Normal"/>
    <w:next w:val="Normal"/>
    <w:link w:val="Style3"/>
    <w:qFormat/>
    <w:pPr>
      <w:ind w:firstLine="709" w:left="1066"/>
    </w:pPr>
    <w:rPr>
      <w:rFonts w:ascii="Cambria" w:hAnsi="Cambria" w:eastAsia="Calibri" w:cs="Tahoma"/>
      <w:i/>
      <w:iCs/>
      <w:color w:val="4F81BD"/>
      <w:spacing w:val="15"/>
      <w:sz w:val="24"/>
      <w:szCs w:val="24"/>
      <w:lang w:val="zh-CN" w:eastAsia="zh-CN"/>
    </w:rPr>
  </w:style>
  <w:style w:type="paragraph" w:styleId="BlockText">
    <w:name w:val="Block Text"/>
    <w:basedOn w:val="Normal"/>
    <w:qFormat/>
    <w:pPr>
      <w:ind w:left="-567" w:right="-766"/>
      <w:jc w:val="center"/>
    </w:pPr>
    <w:rPr>
      <w:b/>
      <w:bCs/>
      <w:sz w:val="24"/>
      <w:szCs w:val="20"/>
    </w:rPr>
  </w:style>
  <w:style w:type="paragraph" w:styleId="E-mailSignature">
    <w:name w:val="E-mail Signature"/>
    <w:basedOn w:val="Normal"/>
    <w:link w:val="Style5"/>
    <w:qFormat/>
    <w:pPr/>
    <w:rPr>
      <w:rFonts w:ascii="Calibri" w:hAnsi="Calibri" w:eastAsia="Calibri" w:cs="Tahoma"/>
      <w:sz w:val="24"/>
      <w:szCs w:val="24"/>
      <w:lang w:eastAsia="en-US"/>
    </w:rPr>
  </w:style>
  <w:style w:type="paragraph" w:styleId="124" w:customStyle="1">
    <w:name w:val="Название1"/>
    <w:basedOn w:val="Normal"/>
    <w:link w:val="Style2"/>
    <w:qFormat/>
    <w:pPr>
      <w:jc w:val="center"/>
    </w:pPr>
    <w:rPr>
      <w:rFonts w:ascii="Calibri" w:hAnsi="Calibri" w:eastAsia="Calibri" w:cs="Tahoma"/>
      <w:szCs w:val="22"/>
      <w:lang w:eastAsia="en-US"/>
    </w:rPr>
  </w:style>
  <w:style w:type="paragraph" w:styleId="Quote">
    <w:name w:val="Quote"/>
    <w:basedOn w:val="Normal"/>
    <w:next w:val="Normal"/>
    <w:link w:val="21"/>
    <w:qFormat/>
    <w:pPr/>
    <w:rPr>
      <w:rFonts w:ascii="Calibri" w:hAnsi="Calibri" w:eastAsia="Calibri" w:cs="Tahoma"/>
      <w:i/>
      <w:iCs/>
      <w:color w:val="000000"/>
      <w:sz w:val="22"/>
      <w:szCs w:val="22"/>
      <w:lang w:val="zh-CN" w:eastAsia="zh-CN"/>
    </w:rPr>
  </w:style>
  <w:style w:type="paragraph" w:styleId="IntenseQuote">
    <w:name w:val="Intense Quote"/>
    <w:basedOn w:val="Normal"/>
    <w:next w:val="Normal"/>
    <w:link w:val="Style4"/>
    <w:qFormat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 w:cs="Tahoma"/>
      <w:b/>
      <w:bCs/>
      <w:i/>
      <w:iCs/>
      <w:color w:val="4F81BD"/>
      <w:sz w:val="22"/>
      <w:szCs w:val="22"/>
      <w:lang w:val="zh-CN" w:eastAsia="zh-CN"/>
    </w:rPr>
  </w:style>
  <w:style w:type="paragraph" w:styleId="Style27" w:customStyle="1">
    <w:name w:val="Подпункт"/>
    <w:basedOn w:val="Normal"/>
    <w:link w:val="16"/>
    <w:qFormat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rFonts w:ascii="Calibri" w:hAnsi="Calibri" w:eastAsia="Calibri" w:cs="Tahoma"/>
      <w:szCs w:val="22"/>
      <w:lang w:eastAsia="en-US"/>
    </w:rPr>
  </w:style>
  <w:style w:type="paragraph" w:styleId="ListParagraph">
    <w:name w:val="List Paragraph"/>
    <w:basedOn w:val="Normal"/>
    <w:link w:val="Style8"/>
    <w:qFormat/>
    <w:pPr>
      <w:spacing w:before="0" w:after="0"/>
      <w:ind w:left="720"/>
      <w:contextualSpacing/>
    </w:pPr>
    <w:rPr>
      <w:rFonts w:ascii="Calibri" w:hAnsi="Calibri" w:eastAsia="Calibri" w:cs="Tahoma"/>
      <w:sz w:val="24"/>
      <w:szCs w:val="24"/>
      <w:lang w:eastAsia="en-US"/>
    </w:rPr>
  </w:style>
  <w:style w:type="paragraph" w:styleId="Style28" w:customStyle="1">
    <w:name w:val="Подподпункт"/>
    <w:basedOn w:val="Style27"/>
    <w:link w:val="Style10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</w:rPr>
  </w:style>
  <w:style w:type="paragraph" w:styleId="34" w:customStyle="1">
    <w:name w:val="УРОВЕНЬ_Абзац_тип3"/>
    <w:basedOn w:val="ListParagraph"/>
    <w:link w:val="31"/>
    <w:qFormat/>
    <w:pPr>
      <w:numPr>
        <w:ilvl w:val="7"/>
        <w:numId w:val="2"/>
      </w:numPr>
      <w:spacing w:lineRule="exact" w:line="360" w:before="120" w:after="0"/>
      <w:contextualSpacing w:val="false"/>
      <w:jc w:val="both"/>
    </w:pPr>
    <w:rPr>
      <w:sz w:val="26"/>
      <w:szCs w:val="28"/>
    </w:rPr>
  </w:style>
  <w:style w:type="paragraph" w:styleId="26" w:customStyle="1">
    <w:name w:val="Пункт2"/>
    <w:basedOn w:val="Normal"/>
    <w:link w:val="22"/>
    <w:qFormat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rFonts w:ascii="Calibri" w:hAnsi="Calibri" w:eastAsia="Calibri" w:cs="Tahoma"/>
      <w:b/>
      <w:szCs w:val="22"/>
      <w:lang w:eastAsia="en-US"/>
    </w:rPr>
  </w:style>
  <w:style w:type="paragraph" w:styleId="125" w:customStyle="1">
    <w:name w:val="УРОВЕНЬ_1."/>
    <w:basedOn w:val="ListParagraph"/>
    <w:link w:val="17"/>
    <w:qFormat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</w:rPr>
  </w:style>
  <w:style w:type="paragraph" w:styleId="62" w:customStyle="1">
    <w:name w:val="Основной текст (6)"/>
    <w:basedOn w:val="Normal"/>
    <w:link w:val="61"/>
    <w:qFormat/>
    <w:pPr>
      <w:widowControl w:val="false"/>
      <w:shd w:val="clear" w:color="auto" w:fill="FFFFFF"/>
      <w:suppressAutoHyphens w:val="false"/>
      <w:ind w:firstLine="720"/>
      <w:jc w:val="both"/>
    </w:pPr>
    <w:rPr>
      <w:rFonts w:ascii="Calibri" w:hAnsi="Calibri" w:eastAsia="Calibri" w:cs="Tahoma"/>
      <w:sz w:val="22"/>
      <w:szCs w:val="22"/>
      <w:lang w:eastAsia="en-US"/>
    </w:rPr>
  </w:style>
  <w:style w:type="paragraph" w:styleId="ConsPlusNormal1" w:customStyle="1">
    <w:name w:val="ConsPlusNormal"/>
    <w:link w:val="ConsPlusNormal"/>
    <w:qFormat/>
    <w:pPr>
      <w:widowControl w:val="false"/>
      <w:suppressAutoHyphens w:val="true"/>
      <w:overflowPunct w:val="false"/>
      <w:bidi w:val="0"/>
      <w:spacing w:before="0" w:after="0"/>
      <w:ind w:firstLine="720"/>
      <w:jc w:val="left"/>
    </w:pPr>
    <w:rPr>
      <w:rFonts w:ascii="Arial" w:hAnsi="Arial" w:eastAsia="SimSun" w:cs="Arial"/>
      <w:color w:val="auto"/>
      <w:kern w:val="0"/>
      <w:sz w:val="22"/>
      <w:szCs w:val="22"/>
      <w:lang w:val="ru-RU" w:eastAsia="en-US" w:bidi="ar-SA"/>
    </w:rPr>
  </w:style>
  <w:style w:type="paragraph" w:styleId="126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127" w:customStyle="1">
    <w:name w:val="Указатель1"/>
    <w:basedOn w:val="Normal"/>
    <w:qFormat/>
    <w:pPr>
      <w:suppressLineNumbers/>
    </w:pPr>
    <w:rPr/>
  </w:style>
  <w:style w:type="paragraph" w:styleId="Caption1111111111" w:customStyle="1">
    <w:name w:val="caption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1" w:customStyle="1">
    <w:name w:val="caption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11" w:customStyle="1">
    <w:name w:val="index heading111111111"/>
    <w:basedOn w:val="Title"/>
    <w:qFormat/>
    <w:pPr/>
    <w:rPr/>
  </w:style>
  <w:style w:type="paragraph" w:styleId="Style29" w:customStyle="1">
    <w:name w:val="Название раздела инструкции"/>
    <w:basedOn w:val="Normal"/>
    <w:autoRedefine/>
    <w:qFormat/>
    <w:pPr>
      <w:jc w:val="center"/>
    </w:pPr>
    <w:rPr>
      <w:b/>
    </w:rPr>
  </w:style>
  <w:style w:type="paragraph" w:styleId="Style30" w:customStyle="1">
    <w:name w:val="Раздел положения"/>
    <w:basedOn w:val="Normal"/>
    <w:autoRedefine/>
    <w:qFormat/>
    <w:pPr>
      <w:numPr>
        <w:ilvl w:val="0"/>
        <w:numId w:val="3"/>
      </w:numPr>
      <w:spacing w:before="80" w:after="80"/>
      <w:jc w:val="center"/>
    </w:pPr>
    <w:rPr>
      <w:b/>
      <w:sz w:val="32"/>
      <w:szCs w:val="32"/>
    </w:rPr>
  </w:style>
  <w:style w:type="paragraph" w:styleId="Style31" w:customStyle="1">
    <w:name w:val="Подраздел раздела положения"/>
    <w:basedOn w:val="Normal"/>
    <w:autoRedefine/>
    <w:qFormat/>
    <w:pPr>
      <w:numPr>
        <w:ilvl w:val="1"/>
        <w:numId w:val="3"/>
      </w:numPr>
      <w:spacing w:before="80" w:after="80"/>
      <w:jc w:val="both"/>
    </w:pPr>
    <w:rPr/>
  </w:style>
  <w:style w:type="paragraph" w:styleId="128" w:customStyle="1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7" w:customStyle="1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5" w:customStyle="1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Style32" w:customStyle="1">
    <w:name w:val="Раздел регламента"/>
    <w:basedOn w:val="Normal"/>
    <w:qFormat/>
    <w:pPr/>
    <w:rPr/>
  </w:style>
  <w:style w:type="paragraph" w:styleId="Style33" w:customStyle="1">
    <w:name w:val="Приложение к регламенту"/>
    <w:basedOn w:val="Normal"/>
    <w:qFormat/>
    <w:pPr>
      <w:jc w:val="right"/>
    </w:pPr>
    <w:rPr/>
  </w:style>
  <w:style w:type="paragraph" w:styleId="129" w:customStyle="1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28" w:customStyle="1">
    <w:name w:val="Раздел положения 2"/>
    <w:basedOn w:val="Normal"/>
    <w:qFormat/>
    <w:pPr>
      <w:pageBreakBefore/>
      <w:jc w:val="both"/>
      <w:outlineLvl w:val="0"/>
    </w:pPr>
    <w:rPr>
      <w:b/>
    </w:rPr>
  </w:style>
  <w:style w:type="paragraph" w:styleId="Style34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Caption111111111111" w:customStyle="1">
    <w:name w:val="caption111111111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130" w:customStyle="1">
    <w:name w:val="Заголовок оглавления1"/>
    <w:basedOn w:val="Heading1"/>
    <w:next w:val="Normal"/>
    <w:qFormat/>
    <w:pPr>
      <w:keepLines/>
      <w:numPr>
        <w:ilvl w:val="0"/>
        <w:numId w:val="0"/>
      </w:numPr>
      <w:spacing w:before="480" w:after="60"/>
      <w:ind w:firstLine="709"/>
      <w:outlineLvl w:val="9"/>
    </w:pPr>
    <w:rPr>
      <w:rFonts w:ascii="Cambria" w:hAnsi="Cambria"/>
      <w:bCs/>
      <w:color w:val="365F91"/>
    </w:rPr>
  </w:style>
  <w:style w:type="paragraph" w:styleId="Style35" w:customStyle="1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6" w:customStyle="1">
    <w:name w:val="Нумерованный список ур3"/>
    <w:basedOn w:val="Normal"/>
    <w:qFormat/>
    <w:pPr>
      <w:numPr>
        <w:ilvl w:val="2"/>
        <w:numId w:val="4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pPr>
      <w:numPr>
        <w:ilvl w:val="0"/>
        <w:numId w:val="4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9" w:customStyle="1">
    <w:name w:val="Нумерованный список ур2"/>
    <w:basedOn w:val="Normal"/>
    <w:qFormat/>
    <w:pPr>
      <w:numPr>
        <w:ilvl w:val="1"/>
        <w:numId w:val="4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131" w:customStyle="1">
    <w:name w:val="Рецензия1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37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6" w:customStyle="1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32" w:customStyle="1">
    <w:name w:val="Абзац списка1"/>
    <w:basedOn w:val="Normal"/>
    <w:qFormat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37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zh-CN" w:eastAsia="zh-CN"/>
    </w:rPr>
  </w:style>
  <w:style w:type="paragraph" w:styleId="Style38" w:customStyle="1">
    <w:name w:val="Таблица шапка"/>
    <w:basedOn w:val="Normal"/>
    <w:qFormat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39" w:customStyle="1">
    <w:name w:val="УРОВЕНЬ_(а)"/>
    <w:basedOn w:val="ListParagraph"/>
    <w:qFormat/>
    <w:pPr>
      <w:numPr>
        <w:ilvl w:val="3"/>
        <w:numId w:val="2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</w:rPr>
  </w:style>
  <w:style w:type="paragraph" w:styleId="-4" w:customStyle="1">
    <w:name w:val="УРОВЕНЬ_-"/>
    <w:basedOn w:val="ListParagraph"/>
    <w:qFormat/>
    <w:pPr>
      <w:numPr>
        <w:ilvl w:val="4"/>
        <w:numId w:val="2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</w:rPr>
  </w:style>
  <w:style w:type="paragraph" w:styleId="210" w:customStyle="1">
    <w:name w:val="УРОВЕНЬ_Абзац_тип2"/>
    <w:basedOn w:val="ListParagraph"/>
    <w:qFormat/>
    <w:pPr>
      <w:numPr>
        <w:ilvl w:val="6"/>
        <w:numId w:val="2"/>
      </w:numPr>
      <w:spacing w:lineRule="exact" w:line="360" w:before="120" w:after="0"/>
      <w:contextualSpacing w:val="false"/>
      <w:jc w:val="both"/>
    </w:pPr>
    <w:rPr>
      <w:sz w:val="26"/>
      <w:szCs w:val="28"/>
    </w:rPr>
  </w:style>
  <w:style w:type="paragraph" w:styleId="Style40" w:customStyle="1">
    <w:name w:val="УРОВЕНЬ_Подпись"/>
    <w:basedOn w:val="ListParagraph"/>
    <w:qFormat/>
    <w:pPr>
      <w:keepNext w:val="true"/>
      <w:numPr>
        <w:ilvl w:val="5"/>
        <w:numId w:val="2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</w:rPr>
  </w:style>
  <w:style w:type="paragraph" w:styleId="133" w:customStyle="1">
    <w:name w:val="Стиль Заголовок 1 + по ширине"/>
    <w:basedOn w:val="Heading1"/>
    <w:qFormat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212" w:customStyle="1">
    <w:name w:val="Заголовок 2 КВВ"/>
    <w:basedOn w:val="Normal"/>
    <w:qFormat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zh-CN"/>
    </w:rPr>
  </w:style>
  <w:style w:type="paragraph" w:styleId="Style41" w:customStyle="1">
    <w:name w:val="Таблица текст"/>
    <w:basedOn w:val="Normal"/>
    <w:qFormat/>
    <w:pPr>
      <w:spacing w:before="40" w:after="40"/>
      <w:ind w:left="57" w:right="57"/>
    </w:pPr>
    <w:rPr>
      <w:sz w:val="24"/>
      <w:szCs w:val="26"/>
    </w:rPr>
  </w:style>
  <w:style w:type="paragraph" w:styleId="Style42" w:customStyle="1">
    <w:name w:val="Содержимое врезки"/>
    <w:basedOn w:val="Normal"/>
    <w:qFormat/>
    <w:pPr/>
    <w:rPr/>
  </w:style>
  <w:style w:type="paragraph" w:styleId="Style43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44" w:customStyle="1">
    <w:name w:val="Заголовок таблицы"/>
    <w:basedOn w:val="Style43"/>
    <w:qFormat/>
    <w:pPr>
      <w:jc w:val="center"/>
    </w:pPr>
    <w:rPr>
      <w:b/>
      <w:bCs/>
    </w:rPr>
  </w:style>
  <w:style w:type="paragraph" w:styleId="-5" w:customStyle="1">
    <w:name w:val="Таблица - текст"/>
    <w:basedOn w:val="Normal"/>
    <w:link w:val="-"/>
    <w:qFormat/>
    <w:pPr>
      <w:spacing w:before="0" w:after="0"/>
      <w:contextualSpacing/>
    </w:pPr>
    <w:rPr>
      <w:rFonts w:ascii="Calibri" w:hAnsi="Calibri" w:eastAsia="Calibri" w:cs="Tahoma"/>
      <w:kern w:val="2"/>
      <w:sz w:val="22"/>
      <w:szCs w:val="24"/>
      <w:lang w:eastAsia="en-US"/>
    </w:rPr>
  </w:style>
  <w:style w:type="paragraph" w:styleId="Style45" w:customStyle="1">
    <w:name w:val="Обычный+ без отступа"/>
    <w:basedOn w:val="Normal"/>
    <w:qFormat/>
    <w:pPr>
      <w:suppressAutoHyphens w:val="false"/>
      <w:spacing w:lineRule="auto" w:line="360" w:before="120" w:after="0"/>
      <w:jc w:val="both"/>
    </w:pPr>
    <w:rPr>
      <w:rFonts w:eastAsia="MS Mincho"/>
    </w:rPr>
  </w:style>
  <w:style w:type="paragraph" w:styleId="Style46" w:customStyle="1">
    <w:name w:val="Текст таблицы"/>
    <w:basedOn w:val="Normal"/>
    <w:qFormat/>
    <w:pPr>
      <w:suppressAutoHyphens w:val="false"/>
      <w:spacing w:before="40" w:after="40"/>
      <w:ind w:left="57" w:right="57"/>
    </w:pPr>
    <w:rPr>
      <w:sz w:val="24"/>
      <w:szCs w:val="24"/>
    </w:rPr>
  </w:style>
  <w:style w:type="paragraph" w:styleId="Style47" w:customStyle="1">
    <w:name w:val="Пункт Знак"/>
    <w:basedOn w:val="Normal"/>
    <w:qFormat/>
    <w:pPr>
      <w:tabs>
        <w:tab w:val="clear" w:pos="708"/>
        <w:tab w:val="left" w:pos="851" w:leader="none"/>
        <w:tab w:val="left" w:pos="1134" w:leader="none"/>
        <w:tab w:val="left" w:pos="1844" w:leader="none"/>
      </w:tabs>
      <w:suppressAutoHyphens w:val="false"/>
      <w:spacing w:lineRule="auto" w:line="360"/>
      <w:ind w:hanging="567" w:left="1844"/>
      <w:jc w:val="both"/>
    </w:pPr>
    <w:rPr>
      <w:b/>
      <w:szCs w:val="20"/>
    </w:rPr>
  </w:style>
  <w:style w:type="paragraph" w:styleId="Style48" w:customStyle="1">
    <w:name w:val="Подподподпункт"/>
    <w:basedOn w:val="Normal"/>
    <w:qFormat/>
    <w:pPr>
      <w:tabs>
        <w:tab w:val="clear" w:pos="708"/>
        <w:tab w:val="left" w:pos="1134" w:leader="none"/>
        <w:tab w:val="left" w:pos="1701" w:leader="none"/>
      </w:tabs>
      <w:suppressAutoHyphens w:val="false"/>
      <w:spacing w:lineRule="auto" w:line="360"/>
      <w:ind w:hanging="1008" w:left="1718"/>
      <w:jc w:val="both"/>
    </w:pPr>
    <w:rPr>
      <w:szCs w:val="20"/>
    </w:rPr>
  </w:style>
  <w:style w:type="paragraph" w:styleId="134" w:customStyle="1">
    <w:name w:val="Пункт1"/>
    <w:basedOn w:val="Normal"/>
    <w:qFormat/>
    <w:pPr>
      <w:tabs>
        <w:tab w:val="clear" w:pos="708"/>
        <w:tab w:val="left" w:pos="567" w:leader="none"/>
      </w:tabs>
      <w:suppressAutoHyphens w:val="false"/>
      <w:spacing w:lineRule="auto" w:line="360" w:before="240" w:after="0"/>
      <w:ind w:hanging="279" w:left="567"/>
      <w:jc w:val="center"/>
    </w:pPr>
    <w:rPr>
      <w:rFonts w:ascii="Arial" w:hAnsi="Arial"/>
      <w:b/>
    </w:rPr>
  </w:style>
  <w:style w:type="paragraph" w:styleId="38" w:customStyle="1">
    <w:name w:val="Пункт_3"/>
    <w:basedOn w:val="Normal"/>
    <w:qFormat/>
    <w:pPr>
      <w:tabs>
        <w:tab w:val="clear" w:pos="708"/>
        <w:tab w:val="left" w:pos="1134" w:leader="none"/>
      </w:tabs>
      <w:suppressAutoHyphens w:val="false"/>
      <w:spacing w:lineRule="auto" w:line="360"/>
      <w:ind w:hanging="1133" w:left="1134"/>
      <w:jc w:val="both"/>
    </w:pPr>
    <w:rPr>
      <w:szCs w:val="20"/>
    </w:rPr>
  </w:style>
  <w:style w:type="paragraph" w:styleId="41" w:customStyle="1">
    <w:name w:val="Маркированный список 41"/>
    <w:basedOn w:val="Normal"/>
    <w:qFormat/>
    <w:pPr>
      <w:tabs>
        <w:tab w:val="clear" w:pos="708"/>
        <w:tab w:val="left" w:pos="360" w:leader="none"/>
      </w:tabs>
      <w:suppressAutoHyphens w:val="false"/>
      <w:spacing w:before="120" w:after="0"/>
      <w:ind w:hanging="360" w:left="360"/>
      <w:jc w:val="both"/>
    </w:pPr>
    <w:rPr>
      <w:rFonts w:ascii="Garamond" w:hAnsi="Garamond"/>
      <w:sz w:val="24"/>
      <w:szCs w:val="20"/>
    </w:rPr>
  </w:style>
  <w:style w:type="paragraph" w:styleId="213" w:customStyle="1">
    <w:name w:val="Абзац списка2"/>
    <w:basedOn w:val="Normal"/>
    <w:qFormat/>
    <w:pPr>
      <w:suppressAutoHyphens w:val="false"/>
      <w:spacing w:lineRule="auto" w:line="276" w:before="0" w:after="200"/>
      <w:ind w:left="720"/>
      <w:contextualSpacing/>
    </w:pPr>
    <w:rPr>
      <w:rFonts w:ascii="Calibri" w:hAnsi="Calibri"/>
      <w:sz w:val="22"/>
      <w:szCs w:val="22"/>
    </w:rPr>
  </w:style>
  <w:style w:type="paragraph" w:styleId="Style49" w:customStyle="1">
    <w:name w:val="Знак Знак"/>
    <w:basedOn w:val="Normal"/>
    <w:qFormat/>
    <w:pPr>
      <w:suppressAutoHyphens w:val="false"/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TableListParagraph" w:customStyle="1">
    <w:name w:val="Table List Paragraph"/>
    <w:basedOn w:val="Normal"/>
    <w:qFormat/>
    <w:pPr>
      <w:numPr>
        <w:ilvl w:val="0"/>
        <w:numId w:val="6"/>
      </w:numPr>
      <w:tabs>
        <w:tab w:val="clear" w:pos="708"/>
        <w:tab w:val="left" w:pos="360" w:leader="none"/>
      </w:tabs>
      <w:suppressAutoHyphens w:val="false"/>
      <w:jc w:val="both"/>
    </w:pPr>
    <w:rPr>
      <w:sz w:val="24"/>
      <w:szCs w:val="24"/>
    </w:rPr>
  </w:style>
  <w:style w:type="paragraph" w:styleId="411" w:customStyle="1">
    <w:name w:val="Маркированный список 411"/>
    <w:basedOn w:val="Normal"/>
    <w:qFormat/>
    <w:pPr>
      <w:tabs>
        <w:tab w:val="clear" w:pos="708"/>
        <w:tab w:val="left" w:pos="0" w:leader="none"/>
      </w:tabs>
      <w:spacing w:before="120" w:after="0"/>
      <w:ind w:hanging="360" w:left="-207"/>
      <w:jc w:val="both"/>
    </w:pPr>
    <w:rPr>
      <w:rFonts w:ascii="Garamond" w:hAnsi="Garamond"/>
      <w:sz w:val="24"/>
      <w:szCs w:val="20"/>
    </w:rPr>
  </w:style>
  <w:style w:type="paragraph" w:styleId="ConsPlusTitle" w:customStyle="1">
    <w:name w:val="ConsPlusTitle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Calibri" w:hAnsi="Calibri" w:eastAsia="SimSun" w:cs="Calibri"/>
      <w:b/>
      <w:color w:val="auto"/>
      <w:kern w:val="0"/>
      <w:sz w:val="20"/>
      <w:szCs w:val="20"/>
      <w:lang w:val="ru-RU" w:eastAsia="ru-RU" w:bidi="ar-SA"/>
    </w:rPr>
  </w:style>
  <w:style w:type="paragraph" w:styleId="IndexHeading">
    <w:name w:val="Index Heading"/>
    <w:basedOn w:val="Style24"/>
    <w:pPr/>
    <w:rPr/>
  </w:style>
  <w:style w:type="paragraph" w:styleId="TOCHeading">
    <w:name w:val="TOC Heading"/>
    <w:basedOn w:val="Indexheading1111111"/>
    <w:qFormat/>
    <w:pPr>
      <w:spacing w:before="0" w:after="0"/>
    </w:pPr>
    <w:rPr/>
  </w:style>
  <w:style w:type="paragraph" w:styleId="10" w:customStyle="1">
    <w:name w:val="Заголовок 10"/>
    <w:basedOn w:val="Title"/>
    <w:next w:val="BodyText"/>
    <w:qFormat/>
    <w:pPr>
      <w:numPr>
        <w:ilvl w:val="8"/>
        <w:numId w:val="1"/>
      </w:numPr>
      <w:spacing w:before="60" w:after="60"/>
      <w:outlineLvl w:val="8"/>
    </w:pPr>
    <w:rPr>
      <w:b/>
      <w:bCs/>
      <w:sz w:val="18"/>
      <w:szCs w:val="18"/>
    </w:rPr>
  </w:style>
  <w:style w:type="paragraph" w:styleId="Revision">
    <w:name w:val="Revision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8"/>
      <w:szCs w:val="28"/>
      <w:lang w:val="ru-RU" w:eastAsia="ru-RU" w:bidi="ar-SA"/>
    </w:rPr>
  </w:style>
  <w:style w:type="paragraph" w:styleId="Txt1" w:customStyle="1">
    <w:name w:val="txt"/>
    <w:basedOn w:val="Normal"/>
    <w:link w:val="Txt"/>
    <w:qFormat/>
    <w:pPr>
      <w:suppressAutoHyphens w:val="false"/>
      <w:spacing w:before="0" w:after="0"/>
      <w:ind w:firstLine="709"/>
      <w:contextualSpacing/>
      <w:jc w:val="both"/>
    </w:pPr>
    <w:rPr>
      <w:rFonts w:ascii="Calibri" w:hAnsi="Calibri" w:eastAsia="Calibri" w:cs="Tahoma"/>
      <w:sz w:val="22"/>
      <w:szCs w:val="22"/>
      <w:lang w:eastAsia="en-US"/>
    </w:rPr>
  </w:style>
  <w:style w:type="paragraph" w:styleId="Tl1" w:customStyle="1">
    <w:name w:val="t_l"/>
    <w:basedOn w:val="Normal"/>
    <w:link w:val="Tl"/>
    <w:qFormat/>
    <w:pPr>
      <w:suppressAutoHyphens w:val="false"/>
      <w:spacing w:before="0" w:after="0"/>
      <w:contextualSpacing/>
    </w:pPr>
    <w:rPr>
      <w:rFonts w:ascii="Calibri" w:hAnsi="Calibri" w:eastAsia="Calibri" w:cs="Tahoma"/>
      <w:kern w:val="2"/>
      <w:sz w:val="22"/>
      <w:szCs w:val="24"/>
      <w:lang w:eastAsia="en-US"/>
    </w:rPr>
  </w:style>
  <w:style w:type="paragraph" w:styleId="Th1" w:customStyle="1">
    <w:name w:val="t_h"/>
    <w:basedOn w:val="Tl1"/>
    <w:link w:val="Th"/>
    <w:qFormat/>
    <w:pPr>
      <w:jc w:val="center"/>
    </w:pPr>
    <w:rPr>
      <w:b/>
      <w:bCs/>
    </w:rPr>
  </w:style>
  <w:style w:type="paragraph" w:styleId="-11" w:customStyle="1">
    <w:name w:val="Таблица - список 1"/>
    <w:basedOn w:val="ListParagraph"/>
    <w:link w:val="-1"/>
    <w:qFormat/>
    <w:pPr>
      <w:numPr>
        <w:ilvl w:val="0"/>
        <w:numId w:val="10"/>
      </w:numPr>
      <w:suppressAutoHyphens w:val="false"/>
      <w:jc w:val="both"/>
    </w:pPr>
    <w:rPr>
      <w:sz w:val="22"/>
      <w:szCs w:val="22"/>
    </w:rPr>
  </w:style>
  <w:style w:type="paragraph" w:styleId="-21" w:customStyle="1">
    <w:name w:val="Таблица - список 2"/>
    <w:basedOn w:val="-11"/>
    <w:link w:val="-2"/>
    <w:qFormat/>
    <w:pPr>
      <w:numPr>
        <w:ilvl w:val="1"/>
      </w:numPr>
    </w:pPr>
    <w:rPr/>
  </w:style>
  <w:style w:type="paragraph" w:styleId="-31" w:customStyle="1">
    <w:name w:val="Таблица - список 3"/>
    <w:basedOn w:val="-21"/>
    <w:qFormat/>
    <w:pPr>
      <w:numPr>
        <w:ilvl w:val="2"/>
      </w:numPr>
      <w:tabs>
        <w:tab w:val="clear" w:pos="708"/>
        <w:tab w:val="left" w:pos="0" w:leader="none"/>
      </w:tabs>
      <w:ind w:hanging="1134" w:left="1224"/>
    </w:pPr>
    <w:rPr/>
  </w:style>
  <w:style w:type="paragraph" w:styleId="135" w:customStyle="1">
    <w:name w:val="Таблица (список маркерованный 1)"/>
    <w:basedOn w:val="Tl1"/>
    <w:qFormat/>
    <w:pPr>
      <w:numPr>
        <w:ilvl w:val="0"/>
        <w:numId w:val="12"/>
      </w:numPr>
    </w:pPr>
    <w:rPr/>
  </w:style>
  <w:style w:type="paragraph" w:styleId="214" w:customStyle="1">
    <w:name w:val="Таблица (список маркированный 2"/>
    <w:basedOn w:val="135"/>
    <w:link w:val="23"/>
    <w:qFormat/>
    <w:pPr>
      <w:numPr>
        <w:ilvl w:val="1"/>
      </w:numPr>
    </w:pPr>
    <w:rPr/>
  </w:style>
  <w:style w:type="paragraph" w:styleId="-6" w:customStyle="1">
    <w:name w:val="Таблица - заголовки"/>
    <w:basedOn w:val="-5"/>
    <w:link w:val="-3"/>
    <w:qFormat/>
    <w:pPr>
      <w:suppressAutoHyphens w:val="false"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231" w:customStyle="1">
    <w:name w:val="Нумерованный 123"/>
    <w:qFormat/>
  </w:style>
  <w:style w:type="numbering" w:styleId="32879093961" w:customStyle="1">
    <w:name w:val="32879093961"/>
    <w:qFormat/>
  </w:style>
  <w:style w:type="numbering" w:styleId="18365817291" w:customStyle="1">
    <w:name w:val="18365817291"/>
    <w:qFormat/>
  </w:style>
  <w:style w:type="numbering" w:styleId="7599939821" w:customStyle="1">
    <w:name w:val="7599939821"/>
    <w:qFormat/>
  </w:style>
  <w:style w:type="numbering" w:styleId="1871623531" w:customStyle="1">
    <w:name w:val="1871623531"/>
    <w:qFormat/>
  </w:style>
  <w:style w:type="numbering" w:styleId="12606573561" w:customStyle="1">
    <w:name w:val="12606573561"/>
    <w:qFormat/>
  </w:style>
  <w:style w:type="numbering" w:styleId="35082216881" w:customStyle="1">
    <w:name w:val="35082216881"/>
    <w:qFormat/>
  </w:style>
  <w:style w:type="numbering" w:styleId="10329023761" w:customStyle="1">
    <w:name w:val="10329023761"/>
    <w:qFormat/>
  </w:style>
  <w:style w:type="numbering" w:styleId="34984777041" w:customStyle="1">
    <w:name w:val="3498477704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yperlink" Target="https://rushydro.ru/investors/disclosure/regulations_and_docs/documents/other_doc/" TargetMode="External"/><Relationship Id="rId5" Type="http://schemas.openxmlformats.org/officeDocument/2006/relationships/hyperlink" Target="https://rushydro.ru/investors/disclosure/regulations_and_docs/documents/other_doc/" TargetMode="External"/><Relationship Id="rId6" Type="http://schemas.openxmlformats.org/officeDocument/2006/relationships/header" Target="header3.xml"/><Relationship Id="rId7" Type="http://schemas.openxmlformats.org/officeDocument/2006/relationships/header" Target="header4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image" Target="media/image1.jpeg"/><Relationship Id="rId11" Type="http://schemas.openxmlformats.org/officeDocument/2006/relationships/header" Target="header5.xml"/><Relationship Id="rId12" Type="http://schemas.openxmlformats.org/officeDocument/2006/relationships/header" Target="header6.xml"/><Relationship Id="rId13" Type="http://schemas.openxmlformats.org/officeDocument/2006/relationships/footer" Target="footer3.xml"/><Relationship Id="rId14" Type="http://schemas.openxmlformats.org/officeDocument/2006/relationships/footer" Target="footer4.xml"/><Relationship Id="rId15" Type="http://schemas.openxmlformats.org/officeDocument/2006/relationships/header" Target="header7.xml"/><Relationship Id="rId16" Type="http://schemas.openxmlformats.org/officeDocument/2006/relationships/header" Target="header8.xml"/><Relationship Id="rId17" Type="http://schemas.openxmlformats.org/officeDocument/2006/relationships/footer" Target="footer5.xml"/><Relationship Id="rId18" Type="http://schemas.openxmlformats.org/officeDocument/2006/relationships/footer" Target="footer6.xml"/><Relationship Id="rId19" Type="http://schemas.openxmlformats.org/officeDocument/2006/relationships/header" Target="header9.xml"/><Relationship Id="rId20" Type="http://schemas.openxmlformats.org/officeDocument/2006/relationships/header" Target="header10.xml"/><Relationship Id="rId21" Type="http://schemas.openxmlformats.org/officeDocument/2006/relationships/footer" Target="footer7.xml"/><Relationship Id="rId22" Type="http://schemas.openxmlformats.org/officeDocument/2006/relationships/footer" Target="footer8.xml"/><Relationship Id="rId23" Type="http://schemas.openxmlformats.org/officeDocument/2006/relationships/header" Target="header11.xml"/><Relationship Id="rId24" Type="http://schemas.openxmlformats.org/officeDocument/2006/relationships/header" Target="header12.xml"/><Relationship Id="rId25" Type="http://schemas.openxmlformats.org/officeDocument/2006/relationships/footer" Target="footer9.xml"/><Relationship Id="rId26" Type="http://schemas.openxmlformats.org/officeDocument/2006/relationships/footer" Target="footer10.xml"/><Relationship Id="rId27" Type="http://schemas.openxmlformats.org/officeDocument/2006/relationships/header" Target="header13.xml"/><Relationship Id="rId28" Type="http://schemas.openxmlformats.org/officeDocument/2006/relationships/header" Target="header14.xml"/><Relationship Id="rId29" Type="http://schemas.openxmlformats.org/officeDocument/2006/relationships/footer" Target="footer11.xml"/><Relationship Id="rId30" Type="http://schemas.openxmlformats.org/officeDocument/2006/relationships/footer" Target="footer12.xml"/><Relationship Id="rId31" Type="http://schemas.openxmlformats.org/officeDocument/2006/relationships/package" Target="embeddings/oleObject1.xlsx"/><Relationship Id="rId32" Type="http://schemas.openxmlformats.org/officeDocument/2006/relationships/image" Target="media/image2.wmf"/><Relationship Id="rId33" Type="http://schemas.openxmlformats.org/officeDocument/2006/relationships/header" Target="header15.xml"/><Relationship Id="rId34" Type="http://schemas.openxmlformats.org/officeDocument/2006/relationships/header" Target="header16.xml"/><Relationship Id="rId35" Type="http://schemas.openxmlformats.org/officeDocument/2006/relationships/footer" Target="footer13.xml"/><Relationship Id="rId36" Type="http://schemas.openxmlformats.org/officeDocument/2006/relationships/footer" Target="footer14.xml"/><Relationship Id="rId37" Type="http://schemas.openxmlformats.org/officeDocument/2006/relationships/header" Target="header17.xml"/><Relationship Id="rId38" Type="http://schemas.openxmlformats.org/officeDocument/2006/relationships/header" Target="header18.xml"/><Relationship Id="rId39" Type="http://schemas.openxmlformats.org/officeDocument/2006/relationships/footer" Target="footer15.xml"/><Relationship Id="rId40" Type="http://schemas.openxmlformats.org/officeDocument/2006/relationships/footer" Target="footer16.xml"/><Relationship Id="rId41" Type="http://schemas.openxmlformats.org/officeDocument/2006/relationships/footnotes" Target="footnotes.xml"/><Relationship Id="rId42" Type="http://schemas.openxmlformats.org/officeDocument/2006/relationships/numbering" Target="numbering.xml"/><Relationship Id="rId43" Type="http://schemas.openxmlformats.org/officeDocument/2006/relationships/fontTable" Target="fontTable.xml"/><Relationship Id="rId44" Type="http://schemas.openxmlformats.org/officeDocument/2006/relationships/settings" Target="settings.xml"/><Relationship Id="rId4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1037</TotalTime>
  <Application>AlterOffice/2026.2.1.1$Linux_X86_64 LibreOffice_project/6d96de8aff889cb0e33766577a7a2a9f4fe0f9d5</Application>
  <AppVersion>15.0000</AppVersion>
  <Pages>51</Pages>
  <Words>10100</Words>
  <Characters>71323</Characters>
  <CharactersWithSpaces>82754</CharactersWithSpaces>
  <Paragraphs>1185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2026-09-23T13:11:00Z</dcterms:created>
  <dc:creator>Савушкина Ирина Владимировна</dc:creator>
  <dc:description/>
  <dc:language>ru-RU</dc:language>
  <cp:lastModifiedBy>golovkinae@corp.gidroogk.com</cp:lastModifiedBy>
  <dcterms:modified xsi:type="dcterms:W3CDTF">2026-09-25T12:51:53Z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