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/>
      </w:pPr>
      <w:r>
        <w:rPr/>
      </w:r>
    </w:p>
    <w:p>
      <w:pPr>
        <w:pStyle w:val="Normal"/>
        <w:jc w:val="right"/>
        <w:rPr>
          <w:sz w:val="21"/>
          <w:szCs w:val="21"/>
        </w:rPr>
      </w:pPr>
      <w:r>
        <w:rPr>
          <w:sz w:val="21"/>
          <w:szCs w:val="21"/>
        </w:rPr>
        <w:t>Приложение к Условиям процедуры Мониторинга Рынка</w:t>
      </w:r>
    </w:p>
    <w:p>
      <w:pPr>
        <w:pStyle w:val="Normal"/>
        <w:jc w:val="right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keepNext w:val="true"/>
        <w:keepLines/>
        <w:spacing w:before="0" w:after="0"/>
        <w:contextualSpacing/>
        <w:jc w:val="center"/>
        <w:rPr/>
      </w:pPr>
      <w:r>
        <w:rPr>
          <w:rFonts w:eastAsia="Calibri"/>
          <w:b/>
        </w:rPr>
        <w:t>ТЕХНИЧЕСКИЕ ТРЕБОВАНИЯ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Cs/>
          <w:szCs w:val="24"/>
        </w:rPr>
      </w:pPr>
      <w:r>
        <w:rPr>
          <w:bCs/>
          <w:szCs w:val="24"/>
        </w:rPr>
      </w:r>
    </w:p>
    <w:p>
      <w:pPr>
        <w:pStyle w:val="Normal"/>
        <w:jc w:val="center"/>
        <w:rPr>
          <w:rFonts w:ascii="Times New Roman" w:hAnsi="Times New Roman"/>
          <w:bCs/>
          <w:szCs w:val="24"/>
        </w:rPr>
      </w:pPr>
      <w:r>
        <w:rPr>
          <w:bCs/>
          <w:szCs w:val="24"/>
        </w:rPr>
        <w:t xml:space="preserve">ОКПД2 26.20.40.190 Поставка материалов на содержание и эксплуатацию </w:t>
      </w:r>
    </w:p>
    <w:p>
      <w:pPr>
        <w:pStyle w:val="Normal"/>
        <w:keepNext w:val="true"/>
        <w:keepLines/>
        <w:jc w:val="center"/>
        <w:rPr>
          <w:rFonts w:ascii="Times New Roman" w:hAnsi="Times New Roman"/>
          <w:bCs/>
          <w:szCs w:val="24"/>
        </w:rPr>
      </w:pPr>
      <w:r>
        <w:rPr>
          <w:bCs/>
          <w:szCs w:val="24"/>
        </w:rPr>
        <w:t>ПК и оргтехники для нужд филиала ПАО «РусГидро»-«Камская ГЭС»</w:t>
      </w:r>
    </w:p>
    <w:p>
      <w:pPr>
        <w:pStyle w:val="Normal"/>
        <w:keepNext w:val="true"/>
        <w:keepLines/>
        <w:jc w:val="center"/>
        <w:rPr>
          <w:rFonts w:ascii="Times New Roman" w:hAnsi="Times New Roman" w:eastAsia="Calibri"/>
          <w:sz w:val="26"/>
          <w:szCs w:val="26"/>
        </w:rPr>
      </w:pPr>
      <w:r>
        <w:rPr>
          <w:rFonts w:eastAsia="Calibri"/>
          <w:sz w:val="26"/>
          <w:szCs w:val="26"/>
        </w:rPr>
      </w:r>
    </w:p>
    <w:p>
      <w:pPr>
        <w:pStyle w:val="Normal"/>
        <w:keepNext w:val="true"/>
        <w:keepLines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right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/>
      </w:r>
    </w:p>
    <w:p>
      <w:pPr>
        <w:pStyle w:val="Normal"/>
        <w:jc w:val="center"/>
        <w:rPr>
          <w:b/>
        </w:rPr>
      </w:pPr>
      <w:r>
        <w:rPr>
          <w:b/>
        </w:rPr>
      </w:r>
    </w:p>
    <w:p>
      <w:pPr>
        <w:pStyle w:val="Normal"/>
        <w:jc w:val="center"/>
        <w:rPr/>
      </w:pPr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right" w:pos="10385" w:leader="dot"/>
            </w:tabs>
            <w:rPr/>
          </w:pPr>
          <w:r>
            <w:fldChar w:fldCharType="begin"/>
          </w:r>
          <w:r>
            <w:rPr>
              <w:rStyle w:val="Style14"/>
            </w:rPr>
            <w:instrText xml:space="preserve"> TOC \o "1-4" \h</w:instrText>
          </w:r>
          <w:r>
            <w:rPr>
              <w:rStyle w:val="Style14"/>
            </w:rPr>
            <w:fldChar w:fldCharType="separate"/>
          </w:r>
          <w:hyperlink w:anchor="__RefHeading___Toc76041_4020964711">
            <w:r>
              <w:rPr>
                <w:rStyle w:val="Style14"/>
              </w:rPr>
              <w:t>1. Общие сведения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385" w:leader="dot"/>
            </w:tabs>
            <w:rPr/>
          </w:pPr>
          <w:hyperlink w:anchor="__RefHeading___Toc76043_4020964711">
            <w:r>
              <w:rPr>
                <w:rStyle w:val="Style14"/>
              </w:rPr>
              <w:t>1.1. Обозначения и сокращения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385" w:leader="dot"/>
            </w:tabs>
            <w:rPr/>
          </w:pPr>
          <w:hyperlink w:anchor="__RefHeading___Toc1241_4008878773">
            <w:r>
              <w:rPr>
                <w:rStyle w:val="Style14"/>
              </w:rPr>
              <w:t>1.2. Наименование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385" w:leader="dot"/>
            </w:tabs>
            <w:rPr/>
          </w:pPr>
          <w:hyperlink w:anchor="__RefHeading___Toc76047_4020964711">
            <w:r>
              <w:rPr>
                <w:rStyle w:val="Style14"/>
              </w:rPr>
              <w:t>1.3. Цель использования закупаемой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385" w:leader="dot"/>
            </w:tabs>
            <w:rPr/>
          </w:pPr>
          <w:hyperlink w:anchor="__RefHeading___Toc76049_4020964711">
            <w:r>
              <w:rPr>
                <w:rStyle w:val="Style14"/>
              </w:rPr>
              <w:t>1.4. Существующее положение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385" w:leader="dot"/>
            </w:tabs>
            <w:rPr/>
          </w:pPr>
          <w:hyperlink w:anchor="__RefHeading___Toc76051_4020964711">
            <w:r>
              <w:rPr>
                <w:rStyle w:val="Style14"/>
              </w:rPr>
              <w:t>1.5. 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  <w:tab/>
              <w:t>3</w:t>
            </w:r>
          </w:hyperlink>
        </w:p>
        <w:p>
          <w:pPr>
            <w:pStyle w:val="TOC1"/>
            <w:tabs>
              <w:tab w:val="clear" w:pos="708"/>
              <w:tab w:val="right" w:pos="10385" w:leader="dot"/>
            </w:tabs>
            <w:rPr/>
          </w:pPr>
          <w:hyperlink w:anchor="__RefHeading___Toc76053_4020964711">
            <w:r>
              <w:rPr>
                <w:rStyle w:val="Style14"/>
              </w:rPr>
              <w:t>2. Требования к продукции</w:t>
              <w:tab/>
              <w:t>3</w:t>
            </w:r>
          </w:hyperlink>
        </w:p>
        <w:p>
          <w:pPr>
            <w:pStyle w:val="TOC4"/>
            <w:tabs>
              <w:tab w:val="clear" w:pos="708"/>
              <w:tab w:val="right" w:pos="10385" w:leader="dot"/>
            </w:tabs>
            <w:rPr/>
          </w:pPr>
          <w:hyperlink w:anchor="__RefHeading___Toc76055_4020964711">
            <w:r>
              <w:rPr>
                <w:rStyle w:val="Style14"/>
              </w:rPr>
              <w:t>2.1. Требования к объемам и срокам поставки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10385" w:leader="dot"/>
            </w:tabs>
            <w:rPr/>
          </w:pPr>
          <w:hyperlink w:anchor="__RefHeading___Toc76057_4020964711">
            <w:r>
              <w:rPr>
                <w:rStyle w:val="Style14"/>
              </w:rPr>
              <w:t>2.1.1. Перечень и объем закупаемой продукции</w:t>
              <w:tab/>
              <w:t>3</w:t>
            </w:r>
          </w:hyperlink>
        </w:p>
        <w:p>
          <w:pPr>
            <w:pStyle w:val="TOC3"/>
            <w:tabs>
              <w:tab w:val="clear" w:pos="1120"/>
              <w:tab w:val="clear" w:pos="9911"/>
              <w:tab w:val="right" w:pos="10385" w:leader="dot"/>
            </w:tabs>
            <w:rPr/>
          </w:pPr>
          <w:hyperlink w:anchor="__RefHeading___Toc76059_4020964711">
            <w:r>
              <w:rPr>
                <w:rStyle w:val="Style14"/>
              </w:rPr>
              <w:t>2.1.2. Требования к срокам поставки продукции.</w:t>
              <w:tab/>
              <w:t>5</w:t>
            </w:r>
          </w:hyperlink>
        </w:p>
        <w:p>
          <w:pPr>
            <w:pStyle w:val="TOC4"/>
            <w:tabs>
              <w:tab w:val="clear" w:pos="708"/>
              <w:tab w:val="right" w:pos="10385" w:leader="dot"/>
            </w:tabs>
            <w:rPr/>
          </w:pPr>
          <w:hyperlink w:anchor="__RefHeading___Toc76061_4020964711">
            <w:r>
              <w:rPr>
                <w:rStyle w:val="Style14"/>
              </w:rPr>
              <w:t>2.2. Требования к качеству продукции</w:t>
              <w:tab/>
              <w:t>6</w:t>
            </w:r>
          </w:hyperlink>
        </w:p>
        <w:p>
          <w:pPr>
            <w:pStyle w:val="TOC1"/>
            <w:tabs>
              <w:tab w:val="clear" w:pos="708"/>
              <w:tab w:val="right" w:pos="10385" w:leader="dot"/>
            </w:tabs>
            <w:rPr/>
          </w:pPr>
          <w:hyperlink w:anchor="__RefHeading___Toc1245_4008878773">
            <w:r>
              <w:rPr>
                <w:rStyle w:val="Style14"/>
              </w:rPr>
              <w:t>3. Требования к документации по ценообразованию на этапе закупки</w:t>
              <w:tab/>
              <w:t>11</w:t>
            </w:r>
          </w:hyperlink>
          <w:r>
            <w:rPr>
              <w:rStyle w:val="Style14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left" w:pos="567" w:leader="none"/>
          <w:tab w:val="right" w:pos="9911" w:leader="dot"/>
        </w:tabs>
        <w:rPr>
          <w:rFonts w:ascii="Calibri" w:hAnsi="Calibri"/>
          <w:b w:val="false"/>
          <w:bCs w:val="false"/>
          <w:sz w:val="22"/>
          <w:szCs w:val="22"/>
        </w:rPr>
      </w:pPr>
      <w:r>
        <w:rPr>
          <w:rFonts w:ascii="Calibri" w:hAnsi="Calibri"/>
          <w:b w:val="false"/>
          <w:bCs w:val="false"/>
          <w:sz w:val="22"/>
          <w:szCs w:val="22"/>
        </w:rPr>
      </w:r>
    </w:p>
    <w:p>
      <w:pPr>
        <w:pStyle w:val="TOC4"/>
        <w:tabs>
          <w:tab w:val="clear" w:pos="708"/>
          <w:tab w:val="left" w:pos="1120" w:leader="none"/>
          <w:tab w:val="right" w:pos="9911" w:leader="dot"/>
        </w:tabs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p>
      <w:pPr>
        <w:pStyle w:val="TOC1"/>
        <w:tabs>
          <w:tab w:val="clear" w:pos="708"/>
          <w:tab w:val="left" w:pos="560" w:leader="none"/>
          <w:tab w:val="right" w:pos="9911" w:leader="dot"/>
        </w:tabs>
        <w:rPr>
          <w:rFonts w:ascii="Calibri" w:hAnsi="Calibri"/>
          <w:b w:val="false"/>
          <w:bCs w:val="false"/>
          <w:sz w:val="22"/>
          <w:szCs w:val="22"/>
        </w:rPr>
      </w:pPr>
      <w:r>
        <w:rPr>
          <w:rFonts w:ascii="Calibri" w:hAnsi="Calibri"/>
          <w:b w:val="false"/>
          <w:bCs w:val="false"/>
          <w:sz w:val="22"/>
          <w:szCs w:val="22"/>
        </w:rPr>
      </w:r>
    </w:p>
    <w:p>
      <w:pPr>
        <w:pStyle w:val="Heading2"/>
        <w:rPr/>
      </w:pPr>
      <w:r>
        <w:rPr/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numPr>
          <w:ilvl w:val="0"/>
          <w:numId w:val="0"/>
        </w:numPr>
        <w:ind w:hanging="0" w:left="5038"/>
        <w:rPr/>
      </w:pPr>
      <w:r>
        <w:rPr/>
      </w:r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hanging="340" w:left="397" w:right="0"/>
        <w:jc w:val="center"/>
        <w:rPr/>
      </w:pPr>
      <w:bookmarkStart w:id="0" w:name="__RefHeading___Toc76041_4020964711"/>
      <w:bookmarkStart w:id="1" w:name="_Toc51339692"/>
      <w:bookmarkStart w:id="2" w:name="_Toc161908468"/>
      <w:bookmarkEnd w:id="0"/>
      <w:r>
        <w:rPr/>
        <w:t>Общие сведения</w:t>
      </w:r>
      <w:bookmarkEnd w:id="1"/>
      <w:bookmarkEnd w:id="2"/>
    </w:p>
    <w:p>
      <w:pPr>
        <w:pStyle w:val="Normal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3" w:name="__RefHeading___Toc76043_4020964711"/>
      <w:bookmarkStart w:id="4" w:name="_Toc161908469"/>
      <w:bookmarkStart w:id="5" w:name="_Toc46743505"/>
      <w:bookmarkEnd w:id="3"/>
      <w:r>
        <w:rPr/>
        <w:t>Обозначения и сокращения</w:t>
      </w:r>
      <w:bookmarkEnd w:id="4"/>
      <w:bookmarkEnd w:id="5"/>
    </w:p>
    <w:p>
      <w:pPr>
        <w:pStyle w:val="Normal"/>
        <w:rPr/>
      </w:pPr>
      <w:r>
        <w:rPr/>
      </w:r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>ТТ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color w:val="000000"/>
                <w:sz w:val="24"/>
                <w:szCs w:val="24"/>
                <w:shd w:fill="auto" w:val="clear"/>
              </w:rPr>
              <w:t>ССИТС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/>
            </w:pPr>
            <w:r>
              <w:rPr>
                <w:rStyle w:val="Style8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</w:rPr>
              <w:t>Технические требования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rStyle w:val="Style8"/>
                <w:rFonts w:eastAsia="Calibri"/>
                <w:b w:val="false"/>
                <w:bCs/>
                <w:i w:val="false"/>
                <w:iCs/>
                <w:color w:val="000000"/>
                <w:sz w:val="24"/>
                <w:szCs w:val="24"/>
                <w:shd w:fill="auto" w:val="clear"/>
                <w:lang w:eastAsia="x-none"/>
              </w:rPr>
              <w:t>Служба связи, информационных и технологических систем</w:t>
            </w:r>
          </w:p>
        </w:tc>
      </w:tr>
    </w:tbl>
    <w:p>
      <w:pPr>
        <w:pStyle w:val="Heading4"/>
        <w:numPr>
          <w:ilvl w:val="0"/>
          <w:numId w:val="0"/>
        </w:numPr>
        <w:ind w:hanging="0" w:left="432"/>
        <w:rPr/>
      </w:pPr>
      <w:r>
        <w:rPr/>
      </w:r>
    </w:p>
    <w:p>
      <w:pPr>
        <w:pStyle w:val="Heading4"/>
        <w:numPr>
          <w:ilvl w:val="1"/>
          <w:numId w:val="3"/>
        </w:numPr>
        <w:rPr/>
      </w:pPr>
      <w:bookmarkStart w:id="6" w:name="__RefHeading___Toc1241_4008878773"/>
      <w:bookmarkStart w:id="7" w:name="_Toc46743506"/>
      <w:bookmarkEnd w:id="6"/>
      <w:r>
        <w:rPr/>
        <w:t>Наименование закупаемой продукции</w:t>
      </w:r>
      <w:bookmarkEnd w:id="7"/>
      <w:r>
        <w:rPr/>
        <w:t xml:space="preserve"> </w:t>
      </w:r>
    </w:p>
    <w:p>
      <w:pPr>
        <w:pStyle w:val="Normal"/>
        <w:rPr/>
      </w:pPr>
      <w:bookmarkStart w:id="8" w:name="__RefHeading___Toc1243_4008878773"/>
      <w:bookmarkEnd w:id="8"/>
      <w:r>
        <w:rPr>
          <w:rStyle w:val="Style8"/>
          <w:rFonts w:eastAsia="Calibri" w:cs="Times New Roman"/>
          <w:b w:val="false"/>
          <w:bCs/>
          <w:i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ab/>
        <w:t>«ОКПД2 26.20.40.190 Поставка материалов на содержание и эксплуатацию ПК и оргтехники».</w:t>
      </w:r>
    </w:p>
    <w:p>
      <w:pPr>
        <w:pStyle w:val="Heading4"/>
        <w:numPr>
          <w:ilvl w:val="1"/>
          <w:numId w:val="3"/>
        </w:numPr>
        <w:rPr/>
      </w:pPr>
      <w:bookmarkStart w:id="9" w:name="__RefHeading___Toc76047_4020964711"/>
      <w:bookmarkStart w:id="10" w:name="_Toc161908471"/>
      <w:bookmarkStart w:id="11" w:name="_Toc46743507"/>
      <w:bookmarkEnd w:id="9"/>
      <w:r>
        <w:rPr/>
        <w:t xml:space="preserve">Цель </w:t>
      </w:r>
      <w:bookmarkEnd w:id="11"/>
      <w:r>
        <w:rPr/>
        <w:t>использования закупаемой продукции</w:t>
      </w:r>
      <w:bookmarkEnd w:id="10"/>
      <w:r>
        <w:rPr/>
        <w:t xml:space="preserve"> </w:t>
      </w:r>
    </w:p>
    <w:p>
      <w:pPr>
        <w:pStyle w:val="Normal"/>
        <w:tabs>
          <w:tab w:val="clear" w:pos="708"/>
          <w:tab w:val="left" w:pos="0" w:leader="none"/>
        </w:tabs>
        <w:spacing w:lineRule="auto" w:line="276" w:before="0" w:after="0"/>
        <w:ind w:hanging="0"/>
        <w:contextualSpacing/>
        <w:jc w:val="both"/>
        <w:rPr/>
      </w:pP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x-none" w:bidi="ar-SA"/>
        </w:rPr>
        <w:tab/>
        <w:t>Поставка продукции осуществляется в целях обеспечения работоспособности используемого оборудования в ф</w:t>
      </w:r>
      <w:r>
        <w:rPr>
          <w:rStyle w:val="Style8"/>
          <w:rFonts w:eastAsia="Calibri" w:cs="Times New Roman"/>
          <w:b w:val="false"/>
          <w:bCs/>
          <w:i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>илиале ПАО «РусГидро» - «Камская ГЭС» (далее - Филиал)</w:t>
      </w:r>
      <w:r>
        <w:rPr>
          <w:rFonts w:eastAsia="Calibri" w:cs="Times New Roman"/>
          <w:b w:val="false"/>
          <w:bCs w:val="false"/>
          <w:color w:val="auto"/>
          <w:kern w:val="0"/>
          <w:sz w:val="24"/>
          <w:szCs w:val="24"/>
          <w:lang w:val="ru-RU" w:eastAsia="x-none" w:bidi="ar-SA"/>
        </w:rPr>
        <w:t xml:space="preserve"> в течение 1 (Одного) года последующей эксплуатации.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ind w:hanging="0" w:right="-2"/>
        <w:jc w:val="both"/>
        <w:rPr/>
      </w:pPr>
      <w:r>
        <w:rPr>
          <w:rStyle w:val="Style8"/>
          <w:rFonts w:eastAsia="Calibri" w:cs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shd w:fill="auto" w:val="clear"/>
          <w:lang w:val="ru-RU" w:eastAsia="x-none" w:bidi="ar-SA"/>
        </w:rPr>
        <w:tab/>
        <w:tab/>
        <w:t>Продукция предназначена для поддержания надежной и безаварийной работы персональных компьютеров (далее – ПК) и оргтехники Филиала.</w:t>
      </w:r>
    </w:p>
    <w:p>
      <w:pPr>
        <w:pStyle w:val="Heading4"/>
        <w:numPr>
          <w:ilvl w:val="1"/>
          <w:numId w:val="3"/>
        </w:numPr>
        <w:rPr/>
      </w:pPr>
      <w:bookmarkStart w:id="12" w:name="__RefHeading___Toc76049_4020964711"/>
      <w:bookmarkStart w:id="13" w:name="_Toc46743508"/>
      <w:bookmarkStart w:id="14" w:name="_Toc161908472"/>
      <w:bookmarkEnd w:id="12"/>
      <w:r>
        <w:rPr/>
        <w:t>Существующее положение</w:t>
      </w:r>
      <w:bookmarkEnd w:id="13"/>
      <w:bookmarkEnd w:id="14"/>
      <w:r>
        <w:rPr/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ind w:firstLine="567" w:right="-2"/>
        <w:jc w:val="both"/>
        <w:rPr/>
      </w:pP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>В настоящее время в Филиале имеется оргтехника фирм Hewlett-Packard, Xerox, Canon, Lenovo, Aquarius,</w:t>
      </w:r>
      <w:r>
        <w:rPr>
          <w:rStyle w:val="Style8"/>
          <w:rFonts w:eastAsia="Calibri" w:cs="Times New Roman"/>
          <w:b w:val="false"/>
          <w:bCs w:val="false"/>
          <w:i w:val="false"/>
          <w:iCs w:val="false"/>
          <w:color w:val="000000"/>
          <w:kern w:val="0"/>
          <w:position w:val="0"/>
          <w:sz w:val="24"/>
          <w:sz w:val="24"/>
          <w:szCs w:val="24"/>
          <w:shd w:fill="auto" w:val="clear"/>
          <w:vertAlign w:val="baseline"/>
          <w:lang w:val="ru-RU" w:eastAsia="en-US" w:bidi="ar-SA"/>
        </w:rPr>
        <w:t xml:space="preserve"> которая, п</w:t>
      </w:r>
      <w:r>
        <w:rPr>
          <w:rStyle w:val="Style8"/>
          <w:rFonts w:eastAsia="Calibri" w:cs="Times New Roman"/>
          <w:b w:val="false"/>
          <w:bCs/>
          <w:i w:val="false"/>
          <w:iCs w:val="false"/>
          <w:color w:val="000000"/>
          <w:kern w:val="0"/>
          <w:position w:val="0"/>
          <w:sz w:val="24"/>
          <w:sz w:val="24"/>
          <w:szCs w:val="24"/>
          <w:shd w:fill="auto" w:val="clear"/>
          <w:vertAlign w:val="baseline"/>
          <w:lang w:val="ru-RU" w:eastAsia="en-US" w:bidi="ar-SA"/>
        </w:rPr>
        <w:t>о</w:t>
      </w:r>
      <w:r>
        <w:rPr>
          <w:rStyle w:val="Style8"/>
          <w:rFonts w:eastAsia="Calibri" w:cs="Times New Roman"/>
          <w:b w:val="false"/>
          <w:bCs w:val="false"/>
          <w:i w:val="false"/>
          <w:iCs w:val="false"/>
          <w:color w:val="000000"/>
          <w:kern w:val="0"/>
          <w:position w:val="0"/>
          <w:sz w:val="24"/>
          <w:sz w:val="24"/>
          <w:szCs w:val="24"/>
          <w:shd w:fill="auto" w:val="clear"/>
          <w:vertAlign w:val="baseline"/>
          <w:lang w:val="ru-RU" w:eastAsia="en-US" w:bidi="ar-SA"/>
        </w:rPr>
        <w:t xml:space="preserve"> ряду позиций, не подразумевает эквивалент из-за несовместимости товаров, на которых размещаются другие товарные знаки, и закупается оригинал для обеспечения взаимодействия таких товаров с товарами, используемыми заказчиком. </w:t>
      </w:r>
    </w:p>
    <w:p>
      <w:pPr>
        <w:pStyle w:val="Heading4"/>
        <w:numPr>
          <w:ilvl w:val="1"/>
          <w:numId w:val="3"/>
        </w:numPr>
        <w:rPr/>
      </w:pPr>
      <w:bookmarkStart w:id="15" w:name="__RefHeading___Toc76051_4020964711"/>
      <w:bookmarkStart w:id="16" w:name="_Toc161908473"/>
      <w:bookmarkStart w:id="17" w:name="_Toc467435091"/>
      <w:bookmarkStart w:id="18" w:name="_Hlk498576041"/>
      <w:bookmarkStart w:id="19" w:name="_Hlk49857604"/>
      <w:bookmarkStart w:id="20" w:name="_Toc46743509"/>
      <w:bookmarkEnd w:id="15"/>
      <w:r>
        <w:rPr/>
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</w:r>
      <w:bookmarkEnd w:id="16"/>
      <w:bookmarkEnd w:id="17"/>
      <w:bookmarkEnd w:id="18"/>
      <w:bookmarkEnd w:id="19"/>
      <w:bookmarkEnd w:id="20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0" w:after="120"/>
        <w:ind w:hanging="0" w:right="-2"/>
        <w:jc w:val="both"/>
        <w:rPr/>
      </w:pPr>
      <w:r>
        <w:rPr>
          <w:rStyle w:val="Style8"/>
          <w:rFonts w:eastAsia="Calibri"/>
          <w:bCs/>
          <w:i w:val="false"/>
          <w:color w:val="000000"/>
          <w:sz w:val="24"/>
          <w:szCs w:val="24"/>
          <w:shd w:fill="auto" w:val="clear"/>
        </w:rPr>
        <w:t xml:space="preserve">1.5.1. </w:t>
      </w:r>
      <w:r>
        <w:rPr>
          <w:rStyle w:val="Style8"/>
          <w:rFonts w:eastAsia="Calibri"/>
          <w:b w:val="false"/>
          <w:bCs/>
          <w:i w:val="false"/>
          <w:color w:val="000000"/>
          <w:sz w:val="24"/>
          <w:szCs w:val="24"/>
          <w:shd w:fill="auto" w:val="clear"/>
        </w:rPr>
        <w:t>Продукция поставляется одной партией.</w:t>
      </w:r>
    </w:p>
    <w:p>
      <w:pPr>
        <w:pStyle w:val="Normal"/>
        <w:spacing w:before="240" w:after="60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1.5.2. </w:t>
      </w:r>
      <w:r>
        <w:rPr>
          <w:sz w:val="24"/>
          <w:szCs w:val="24"/>
        </w:rPr>
        <w:t>Переход права собственности и риска случайной гибели продукции происходит в момент передачи продукции Покупателю (подписание товарной накладной ТОРГ-12).</w:t>
      </w:r>
    </w:p>
    <w:p>
      <w:pPr>
        <w:pStyle w:val="Normal"/>
        <w:spacing w:before="240" w:after="6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keepNext w:val="true"/>
        <w:widowControl/>
        <w:numPr>
          <w:ilvl w:val="0"/>
          <w:numId w:val="3"/>
        </w:numPr>
        <w:suppressAutoHyphens w:val="true"/>
        <w:bidi w:val="0"/>
        <w:spacing w:before="120" w:after="60"/>
        <w:ind w:hanging="0" w:left="0" w:right="0"/>
        <w:jc w:val="center"/>
        <w:rPr/>
      </w:pPr>
      <w:bookmarkStart w:id="21" w:name="__RefHeading___Toc76053_4020964711"/>
      <w:bookmarkStart w:id="22" w:name="_Toc51339693"/>
      <w:bookmarkStart w:id="23" w:name="_Toc161908474"/>
      <w:bookmarkEnd w:id="21"/>
      <w:r>
        <w:rPr/>
        <w:t>Требования к продукции</w:t>
      </w:r>
      <w:bookmarkEnd w:id="22"/>
      <w:bookmarkEnd w:id="23"/>
    </w:p>
    <w:p>
      <w:pPr>
        <w:pStyle w:val="Heading4"/>
        <w:numPr>
          <w:ilvl w:val="1"/>
          <w:numId w:val="3"/>
        </w:numPr>
        <w:rPr/>
      </w:pPr>
      <w:bookmarkStart w:id="24" w:name="__RefHeading___Toc76055_4020964711"/>
      <w:bookmarkStart w:id="25" w:name="_Toc161908475"/>
      <w:bookmarkEnd w:id="24"/>
      <w:r>
        <w:rPr/>
        <w:t>Требования к объемам и срокам поставки</w:t>
      </w:r>
      <w:bookmarkEnd w:id="25"/>
    </w:p>
    <w:p>
      <w:pPr>
        <w:pStyle w:val="Heading3"/>
        <w:numPr>
          <w:ilvl w:val="2"/>
          <w:numId w:val="3"/>
        </w:numPr>
        <w:rPr/>
      </w:pPr>
      <w:bookmarkStart w:id="26" w:name="__RefHeading___Toc76057_4020964711"/>
      <w:bookmarkStart w:id="27" w:name="_Toc161908476"/>
      <w:bookmarkEnd w:id="26"/>
      <w:r>
        <w:rPr/>
        <w:t>Перечень и объем закупаемой продукции</w:t>
      </w:r>
      <w:bookmarkEnd w:id="27"/>
    </w:p>
    <w:p>
      <w:pPr>
        <w:pStyle w:val="Normal"/>
        <w:ind w:firstLine="720"/>
        <w:rPr/>
      </w:pPr>
      <w:bookmarkStart w:id="28" w:name="_Toc51339695"/>
      <w:r>
        <w:rPr>
          <w:b/>
          <w:sz w:val="24"/>
          <w:szCs w:val="24"/>
        </w:rPr>
        <w:t xml:space="preserve">Таблица 1.1 Перечень </w:t>
      </w:r>
      <w:bookmarkEnd w:id="28"/>
      <w:r>
        <w:rPr>
          <w:b/>
          <w:sz w:val="24"/>
          <w:szCs w:val="24"/>
        </w:rPr>
        <w:t>и объем закупаемой продукции</w:t>
      </w:r>
    </w:p>
    <w:tbl>
      <w:tblPr>
        <w:tblW w:w="10439" w:type="dxa"/>
        <w:jc w:val="left"/>
        <w:tblInd w:w="1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87"/>
        <w:gridCol w:w="6420"/>
        <w:gridCol w:w="1356"/>
        <w:gridCol w:w="975"/>
        <w:gridCol w:w="1201"/>
      </w:tblGrid>
      <w:tr>
        <w:trPr/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Наименование продукции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Артикул, тип, марка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Ед. измерения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Кол-во</w:t>
            </w:r>
          </w:p>
        </w:tc>
      </w:tr>
      <w:tr>
        <w:trPr/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</w:tr>
      <w:tr>
        <w:trPr>
          <w:trHeight w:val="399" w:hRule="atLeast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черный CF214XC для HP LaserJet MFP M725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CF214XC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>
        <w:trPr/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черный CF226XC для HP LaserJet MFP M426fdw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CF226XC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8</w:t>
            </w:r>
          </w:p>
        </w:tc>
      </w:tr>
      <w:tr>
        <w:trPr/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черный CF280A для HP LaserJet 400 M401dn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CF280A</w:t>
            </w:r>
          </w:p>
        </w:tc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14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черный Q7516А для HP LaserJet 5200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Q7516А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CE341AC-синий для HP LaserJet 700 color MFP M775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CE341AC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CE342AC-желтый для HP LaserJet 700 color MFP M775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CE342AC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CE343AC-пурпурный для HP LaserJet 700 color MFP M775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CE343AC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черный CF259Х для HP LaserJet Pro MFP M428fdw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CF259Х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Картридж Q7551 для HP LaserJet M3035 MFP </w:t>
            </w:r>
            <w:r>
              <w:rPr>
                <w:color w:val="000000"/>
                <w:sz w:val="24"/>
                <w:szCs w:val="24"/>
              </w:rPr>
              <w:t>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Q7551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/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 xml:space="preserve">Картридж CF210X-черный для HP LaserJet 200 color M251nw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или эквивалент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  <w:em w:val="none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CF210X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 xml:space="preserve">Картридж CF211A-синий для HP LaserJet 200 color M251nw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или эквивалент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  <w:em w:val="none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CF211A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 xml:space="preserve">Картридж CF212A-желтый для HP LaserJet 200 color M251nw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или эквивалент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  <w:em w:val="none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CF212A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 xml:space="preserve">Картридж CF213A-пурпурный для HP LaserJet 200 color M251nw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или эквивалент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  <w:em w:val="none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CF213A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Картридж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C9730AC</w:t>
            </w:r>
            <w:r>
              <w:rPr>
                <w:color w:val="000000"/>
                <w:sz w:val="24"/>
                <w:szCs w:val="24"/>
              </w:rPr>
              <w:t>-черный для Color LaserJet 5550dn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C9730AC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Картридж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C9731AC</w:t>
            </w:r>
            <w:r>
              <w:rPr>
                <w:color w:val="000000"/>
                <w:sz w:val="24"/>
                <w:szCs w:val="24"/>
              </w:rPr>
              <w:t>-голубой для Color LaserJet 5550dn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C9731AC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Картридж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C9732AC</w:t>
            </w:r>
            <w:r>
              <w:rPr>
                <w:color w:val="000000"/>
                <w:sz w:val="24"/>
                <w:szCs w:val="24"/>
              </w:rPr>
              <w:t>-желтый для Color LaserJet 5550dn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C9732AC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Картридж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C9733AC</w:t>
            </w:r>
            <w:r>
              <w:rPr>
                <w:color w:val="000000"/>
                <w:sz w:val="24"/>
                <w:szCs w:val="24"/>
              </w:rPr>
              <w:t>-пурпурный для Color LaserJet 5550dn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C9733AC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bidi w:val="0"/>
              <w:jc w:val="left"/>
              <w:rPr>
                <w:rFonts w:ascii="Times New Roman" w:hAnsi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</w:pP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u w:val="none"/>
                <w:em w:val="none"/>
              </w:rPr>
              <w:t xml:space="preserve">Картридж Q2612AC для МФУ LaserJet 3052 \ МФУ LaserJet 3015 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em w:val="none"/>
              </w:rPr>
              <w:t>или эквивалент</w:t>
            </w:r>
            <w:r>
              <w:rPr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vertAlign w:val="superscript"/>
                <w:em w:val="none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t>Q2612AC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CS-W2031A-голубой для HP Color LaserJet Pro MFP M479fdw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CS-W2031A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CS-W2032A-желтый для HP Color LaserJet Pro MFP M479fdw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CS-W2032A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3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CS-W2033A-пурпурный для HP Color LaserJet Pro MFP M479fdw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CS-W2033A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CS-W2030A-черный для HP Color LaserJet Pro MFP M479fdw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CS-W2030A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CF410XC-черный для HP Color LaserJet MFP M477fdw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CF410XC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CF412XC-желтый для HP Color LaserJet MFP M477fdw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CF412XC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W2010A-черный для HP Color LaserJet Enterprise MFP M776dn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W2010A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4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W2011A-синий для HP Color LaserJet Enterprise MFP M776dn или эквивалент</w:t>
            </w:r>
            <w:r>
              <w:rPr>
                <w:color w:val="000000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W2011A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Влажные чистящие салфетки для экранов мониторов и оптических поверхностей (100 шт.в упаковке)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Фильтр SV-MPF2 ( Type 2 ) для пылесоса 3M 497AB​​​​​​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SV-MPF2</w:t>
            </w:r>
          </w:p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( Type 2 )</w:t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Виниловая лента 24 мм x 5.5 м. Цвет ленты - белый. Цвет шрифта - черный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с термоусадочной трубкой 24 мм. х 1.5 м., белая. Цвет ленты - белый. Цвет шрифта — черный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Картридж с термоусадочной трубкой 19 мм. х 1.5 м., для провода диаметром 4.64–9 мм. Цвет ленты — белый. Цвет шрифта - черный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Комплект «Клавиатура и мышь проводная Logitech Desktop MK120 черный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Мышь проводная Logitech B100 [910-006605] черный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SATA накопитель 70 EVO [MZ-77E500BW] Samsung 500 ГБ 2.5" 8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M.2 NVMe накопитель Samsung 990 EVO Plus [MZ-V9S1T0BW] 1000 ГБ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5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M.2 NVMe накопитель Samsung 980 [MZ-V8V500BW] 500 ГБ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13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4"/>
                <w:szCs w:val="24"/>
                <w:lang w:val="ru-RU" w:eastAsia="ru-RU" w:bidi="ar-SA"/>
              </w:rPr>
              <w:t>Салазки Kingston SNA-BR2/35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16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Кабель UTP 4 пары кат.5e медь, 24AW (бухта 305м)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бухта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6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 w:eastAsia="Times New Roman" w:cs="Times New Roman"/>
                <w:color w:val="auto"/>
                <w:kern w:val="0"/>
                <w:sz w:val="24"/>
                <w:szCs w:val="24"/>
                <w:highlight w:val="none"/>
                <w:shd w:fill="auto" w:val="clear"/>
                <w:lang w:val="ru-RU" w:eastAsia="ru-RU" w:bidi="ar-SA"/>
              </w:rPr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shd w:fill="auto" w:val="clear"/>
                <w:lang w:val="ru-RU" w:eastAsia="ru-RU" w:bidi="ar-SA"/>
              </w:rPr>
              <w:t>Пневмоочиститель для техники (сжатый воздух в баллоне 520 мл.);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20</w:t>
            </w:r>
          </w:p>
        </w:tc>
      </w:tr>
      <w:tr>
        <w:trPr/>
        <w:tc>
          <w:tcPr>
            <w:tcW w:w="48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6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left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Пластиковые стяжки 200 мм х 3.6 мм черные (100 шт. в упаковке)</w:t>
            </w:r>
          </w:p>
        </w:tc>
        <w:tc>
          <w:tcPr>
            <w:tcW w:w="13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rPr>
                <w:sz w:val="20"/>
                <w:szCs w:val="20"/>
                <w:highlight w:val="none"/>
                <w:shd w:fill="auto" w:val="clear"/>
              </w:rPr>
            </w:pPr>
            <w:r>
              <w:rPr>
                <w:sz w:val="20"/>
                <w:szCs w:val="20"/>
                <w:shd w:fill="auto" w:val="clear"/>
              </w:rPr>
            </w:r>
          </w:p>
        </w:tc>
        <w:tc>
          <w:tcPr>
            <w:tcW w:w="9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упаковка</w:t>
            </w:r>
          </w:p>
        </w:tc>
        <w:tc>
          <w:tcPr>
            <w:tcW w:w="12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41"/>
              <w:widowControl w:val="false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10</w:t>
            </w:r>
          </w:p>
        </w:tc>
      </w:tr>
    </w:tbl>
    <w:p>
      <w:pPr>
        <w:pStyle w:val="Heading3"/>
        <w:rPr/>
      </w:pPr>
      <w:r>
        <w:rPr/>
      </w:r>
    </w:p>
    <w:p>
      <w:pPr>
        <w:pStyle w:val="Heading3"/>
        <w:numPr>
          <w:ilvl w:val="2"/>
          <w:numId w:val="3"/>
        </w:numPr>
        <w:rPr/>
      </w:pPr>
      <w:bookmarkStart w:id="29" w:name="__RefHeading___Toc76059_4020964711"/>
      <w:bookmarkStart w:id="30" w:name="_Toc161908477"/>
      <w:bookmarkStart w:id="31" w:name="_Toc51339696"/>
      <w:bookmarkEnd w:id="29"/>
      <w:r>
        <w:rPr/>
        <w:t xml:space="preserve">Требования </w:t>
      </w:r>
      <w:bookmarkEnd w:id="31"/>
      <w:r>
        <w:rPr/>
        <w:t>к срокам поставки продукции</w:t>
      </w:r>
      <w:bookmarkEnd w:id="30"/>
      <w:r>
        <w:rPr/>
        <w:t>.</w:t>
      </w:r>
    </w:p>
    <w:p>
      <w:pPr>
        <w:pStyle w:val="Normal"/>
        <w:ind w:firstLine="720"/>
        <w:rPr>
          <w:b/>
          <w:bCs/>
        </w:rPr>
      </w:pPr>
      <w:r>
        <w:rPr>
          <w:b/>
          <w:bCs/>
          <w:sz w:val="24"/>
          <w:szCs w:val="24"/>
        </w:rPr>
        <w:t>Таблица 2.1 Требования по срокам поставки продукции</w:t>
      </w:r>
    </w:p>
    <w:p>
      <w:pPr>
        <w:pStyle w:val="Normal"/>
        <w:ind w:firstLine="720"/>
        <w:rPr>
          <w:sz w:val="24"/>
          <w:szCs w:val="24"/>
        </w:rPr>
      </w:pPr>
      <w:r>
        <w:rPr>
          <w:sz w:val="24"/>
          <w:szCs w:val="24"/>
        </w:rPr>
      </w:r>
      <w:bookmarkStart w:id="32" w:name="_Toc467435101"/>
      <w:bookmarkStart w:id="33" w:name="_Toc501251261"/>
      <w:bookmarkStart w:id="34" w:name="_Toc467435101"/>
      <w:bookmarkStart w:id="35" w:name="_Toc501251261"/>
      <w:bookmarkEnd w:id="34"/>
      <w:bookmarkEnd w:id="35"/>
    </w:p>
    <w:tbl>
      <w:tblPr>
        <w:tblW w:w="10499" w:type="dxa"/>
        <w:jc w:val="left"/>
        <w:tblInd w:w="8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7"/>
        <w:gridCol w:w="5731"/>
        <w:gridCol w:w="2724"/>
        <w:gridCol w:w="1486"/>
      </w:tblGrid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№</w:t>
            </w:r>
          </w:p>
          <w:p>
            <w:pPr>
              <w:pStyle w:val="Normal"/>
              <w:widowControl w:val="false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2"/>
                <w:szCs w:val="22"/>
              </w:rPr>
              <w:t>п/п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Наименование продукции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>
        <w:trPr/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>
        <w:trPr>
          <w:trHeight w:val="399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соответствии с таблицей 1 настоящих Технических требований</w:t>
            </w:r>
          </w:p>
        </w:tc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даты, следующей за датой заключения Договора.</w:t>
            </w:r>
          </w:p>
        </w:tc>
        <w:tc>
          <w:tcPr>
            <w:tcW w:w="1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До </w:t>
            </w:r>
            <w:r>
              <w:rPr>
                <w:sz w:val="24"/>
                <w:szCs w:val="24"/>
              </w:rPr>
              <w:t>30.10.2027</w:t>
            </w:r>
          </w:p>
        </w:tc>
      </w:tr>
    </w:tbl>
    <w:p>
      <w:pPr>
        <w:sectPr>
          <w:type w:val="nextPage"/>
          <w:pgSz w:w="11906" w:h="16838"/>
          <w:pgMar w:left="1134" w:right="387" w:gutter="0" w:header="0" w:top="245" w:footer="0" w:bottom="709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Heading4"/>
        <w:numPr>
          <w:ilvl w:val="1"/>
          <w:numId w:val="3"/>
        </w:numPr>
        <w:rPr>
          <w:rFonts w:ascii="Times New Roman" w:hAnsi="Times New Roman"/>
          <w:sz w:val="22"/>
          <w:szCs w:val="22"/>
        </w:rPr>
      </w:pPr>
      <w:bookmarkStart w:id="36" w:name="__RefHeading___Toc76061_4020964711"/>
      <w:bookmarkStart w:id="37" w:name="_Toc161908478"/>
      <w:bookmarkStart w:id="38" w:name="_Toc46743511"/>
      <w:bookmarkStart w:id="39" w:name="_Toc467435101_Копия_1"/>
      <w:bookmarkStart w:id="40" w:name="_Toc501251261_Копия_1_Копия_1"/>
      <w:bookmarkStart w:id="41" w:name="_Toc467435101_Копия_1_Копия_1"/>
      <w:bookmarkStart w:id="42" w:name="_Toc51339698"/>
      <w:bookmarkStart w:id="43" w:name="_Toc5012512611"/>
      <w:bookmarkStart w:id="44" w:name="_Toc4674351011"/>
      <w:bookmarkStart w:id="45" w:name="_Toc501251261_Копия_1"/>
      <w:bookmarkEnd w:id="36"/>
      <w:bookmarkEnd w:id="39"/>
      <w:bookmarkEnd w:id="40"/>
      <w:bookmarkEnd w:id="41"/>
      <w:bookmarkEnd w:id="42"/>
      <w:bookmarkEnd w:id="43"/>
      <w:bookmarkEnd w:id="44"/>
      <w:bookmarkEnd w:id="45"/>
      <w:r>
        <w:rPr>
          <w:sz w:val="22"/>
          <w:szCs w:val="22"/>
        </w:rPr>
        <w:t xml:space="preserve">Требования к </w:t>
      </w:r>
      <w:bookmarkEnd w:id="38"/>
      <w:r>
        <w:rPr>
          <w:sz w:val="22"/>
          <w:szCs w:val="22"/>
        </w:rPr>
        <w:t>качеству продукции</w:t>
      </w:r>
      <w:bookmarkEnd w:id="37"/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color w:val="C9211E"/>
          <w:sz w:val="22"/>
          <w:szCs w:val="22"/>
        </w:rPr>
        <w:tab/>
      </w:r>
      <w:bookmarkStart w:id="46" w:name="_Toc125458484"/>
      <w:r>
        <w:rPr>
          <w:b/>
          <w:sz w:val="22"/>
          <w:szCs w:val="22"/>
        </w:rPr>
        <w:t>Таблица 2.2.1.</w:t>
      </w:r>
      <w:bookmarkEnd w:id="46"/>
      <w:r>
        <w:rPr>
          <w:b/>
          <w:sz w:val="22"/>
          <w:szCs w:val="22"/>
        </w:rPr>
        <w:t xml:space="preserve"> Требования к продукции</w:t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rFonts w:ascii="Times New Roman" w:hAnsi="Times New Roman"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 w:val="false"/>
          <w:bCs w:val="false"/>
          <w:sz w:val="22"/>
          <w:szCs w:val="22"/>
        </w:rPr>
        <w:t>Наименование продукции: перечень согласно Таблицы1:</w:t>
      </w:r>
    </w:p>
    <w:tbl>
      <w:tblPr>
        <w:tblStyle w:val="affffc"/>
        <w:tblW w:w="15360" w:type="dxa"/>
        <w:jc w:val="left"/>
        <w:tblInd w:w="108" w:type="dxa"/>
        <w:tblLayout w:type="fixed"/>
        <w:tblCellMar>
          <w:top w:w="55" w:type="dxa"/>
          <w:left w:w="108" w:type="dxa"/>
          <w:bottom w:w="55" w:type="dxa"/>
          <w:right w:w="108" w:type="dxa"/>
        </w:tblCellMar>
        <w:tblLook w:val="04a0" w:noHBand="0" w:noVBand="1" w:firstColumn="1" w:lastRow="0" w:lastColumn="0" w:firstRow="1"/>
      </w:tblPr>
      <w:tblGrid>
        <w:gridCol w:w="583"/>
        <w:gridCol w:w="1971"/>
        <w:gridCol w:w="8353"/>
        <w:gridCol w:w="1611"/>
        <w:gridCol w:w="2842"/>
      </w:tblGrid>
      <w:tr>
        <w:trPr/>
        <w:tc>
          <w:tcPr>
            <w:tcW w:w="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п/п</w:t>
            </w:r>
          </w:p>
        </w:tc>
        <w:tc>
          <w:tcPr>
            <w:tcW w:w="19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83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Требование заказчика</w:t>
            </w:r>
          </w:p>
        </w:tc>
        <w:tc>
          <w:tcPr>
            <w:tcW w:w="44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</w:tr>
      <w:tr>
        <w:trPr/>
        <w:tc>
          <w:tcPr>
            <w:tcW w:w="58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97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8353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Согласие с требованием/ указание характе-ристик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1.</w:t>
            </w:r>
          </w:p>
        </w:tc>
        <w:tc>
          <w:tcPr>
            <w:tcW w:w="1032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1.1.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Функциональные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en-US" w:eastAsia="ru-RU" w:bidi="ar-SA"/>
              </w:rPr>
              <w:t xml:space="preserve"> и технические</w:t>
            </w: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 характеристики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 xml:space="preserve">1.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Картридж черный CF214XC для HP LaserJet MFP M725 или эквивалент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vertAlign w:val="superscript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 следующими параметрами эквивалентности: тонер-черный, полная совместимость с HP LaserJet MFP M725;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2. Картридж черный CF226XC для HP LaserJet MFP M426fdw или эквивалент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со следующими параметрами эквивалентности: тонер-черный, полная совместимость с HP LaserJet MFP M426fdw;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3. Картридж черный CF280A для HP LaserJet 400 M401dn или эквивалент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vertAlign w:val="superscript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 следующими параметрами эквивалентности: тонер-черный, полная совместимость с HP LaserJet 400 M401dn;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4. Картридж черный Q7516А для HP LaserJet 5200 или эквивалент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vertAlign w:val="superscript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 следующими параметрами эквивалентности: тонер-черный, полная совместимость с HP LaserJet 5200;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5. Картридж CE341AC-синий для HP LaserJet 700 color MFP M775 или эквивалент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vertAlign w:val="superscript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 следующими параметрами эквивалентности: тонер-синий, полная совместимость с HP LaserJet 700 color MFP M775;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6. Картридж CE342AC-желтый для HP LaserJet 700 color MFP M775 или эквивалент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vertAlign w:val="superscript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 следующими параметрами эквивалентности: тонер-желтый, полная совместимость с HP LaserJet 700 color MFP M775;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7. Картридж CE343AC-пурпурный для HP LaserJet 700 color MFP M775 или эквивалент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vertAlign w:val="superscript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 следующими параметрами эквивалентности: тонер-пурпурный, полная совместимость с HP LaserJet 700 color MFP M775;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8. Картридж черный CF259Х для HP LaserJet Pro MFP M428fdw или эквивалент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vertAlign w:val="superscript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 со следующими параметрами эквивалентности: тонер-черный, полная совместимость с HP LaserJet MFP M428fdw;;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9. Картридж Q7551 для HP LaserJet M3035 MFP или эквивалент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vertAlign w:val="superscript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>со следующими параметрами эквивалентности: тонер-черный, полная совместимость с HP LaserJet M3035 MFP;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4"/>
                <w:lang w:val="ru-RU" w:eastAsia="ru-RU" w:bidi="ar-SA"/>
              </w:rPr>
              <w:t xml:space="preserve">10.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Картридж CF210X-черный для HP LaserJet 200 color M251nw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тонер-черный, полная совместимость с HP LaserJet 200 color M251nw;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11. Картридж CF211A-синий для HP LaserJet 200 color M251nw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 со следующими параметрами эквивалентности: тонер-синий, полная совместимость с HP LaserJet 200 color M251nw;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12. Картридж CF212A-желтый для HP LaserJet 200 color M251nw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тонер-желтый, полная совместимость с HP LaserJet 200 color M251nw;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13. Картридж CF213A-пурпурный для HP LaserJet 200 color M251nw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>1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 со следующими параметрами эквивалентности: тонер-пурпурный, полная совместимость с HP LaserJet 200 color M251nw;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14. Картридж C9730AC-черный для Color LaserJet 5550dn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тонер-черный, полная совместимость с Color LaserJet 5550dn;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15. Картридж C9731AC-голубой для Color LaserJet 5550dn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тонер-голубой, полная совместимость с Color LaserJet 5550dn;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16. Картридж C9732AC-желтый для Color LaserJet 5550dn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тонер-желтый, полная совместимость с Color LaserJet 5550dn;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17. Картридж C9733AC-пурпурный для Color LaserJet 5550dn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тонер-пурпурный, полная совместимость с Color LaserJet 5550dn;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18. Картридж Q2612AC для МФУ LaserJet 3052 \ МФУ LaserJet 3015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тонер-черный, полная совместимость с МФУ LaserJet 3052 \ МФУ LaserJet 3015;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19. Картридж CS-W2031A-голубой для HP Color LaserJet Pro MFP M479fdw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тонер-голубой, полная совместимость с HP Color LaserJet Pro MFP M479fdw;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20. Картридж CS-W2032A-желтый для HP Color LaserJet Pro MFP M479fdw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тонер-желтый, полная совместимость с HP Color LaserJet Pro MFP M479fdw;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21. Картридж CS-W2033A-пурпурный для HP Color LaserJet Pro MFP M479fdw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тонер-пурпурный, полная совместимость с HP Color LaserJet Pro MFP M479fdw;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22. Картридж CS-W2030A-черный для HP Color LaserJet Pro MFP M479fdw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тонер-черный, полная совместимость с HP Color LaserJet Pro MFP M479fdw;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23. Картридж CF410XC-черный для HP Color LaserJet MFP M477fdw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тонер-черный, полная совместимость с HP Color LaserJet MFP M477fdw;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24. Картридж CF412XC-желтый для HP Color LaserJet MFP M477fdw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тонер-желтый, полная совместимость с HP Color LaserJet MFP M477fdw;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25. Картридж W2010A-черный для HP Color LaserJet Enterprise MFP M776dn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со следующими параметрами эквивалентности: тонер-черный, полная совместимость с HP Color LaserJet Enterprise MFP M776dn;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26. К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артридж W2011A-синий для HP Color LaserJet Enterprise MFP M776dn или эквивалент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vertAlign w:val="superscript"/>
                <w:em w:val="none"/>
                <w:lang w:val="ru-RU" w:eastAsia="ru-RU" w:bidi="ar-SA"/>
              </w:rPr>
              <w:t xml:space="preserve">1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со следующими параметрами эквивалентности: тонер-синий, полная совместимость с HP Color LaserJet Enterprise MFP M776dn;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27. Влажные чистящие салфетки для экранов мониторов и оптических поверхностей (100 шт.в упаковке);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28. Фильтр SV-MPF2 ( Type 2 ) для пылесоса 3M 497AВ;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29. Виниловая лента 24 мм x 5.5 м. Цвет ленты - белый. Цвет шрифта — черный;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30. Картридж с термоусадочной трубкой 24 мм. х 1.5 м., белая. Цвет ленты - белый. Цвет шрифта — черный;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31. Картридж с термоусадочной трубкой 19 мм. х 1.5 м., для провода диаметром 4.64–9 мм. Цвет ленты — белый. Цвет шрифта — черный;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32.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Комплект «Клавиатура и мышь проводная Logitech Desktop MK120 черный;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33. Мышь проводная Logitech B100 [910-006605] черный;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34. SATA накопитель 70 EVO [MZ-77E500BW] Samsung 500 ГБ 2.5" 8;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35. M.2 NVMe накопитель Samsung 990 EVO Plus [MZ-V9S1T0BW] 1000 ГБ;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>36. M.2 NVMe накопитель Samsung 980 [MZ-V8V500BW] 500 ГБ;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/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auto"/>
                <w:kern w:val="0"/>
                <w:sz w:val="24"/>
                <w:szCs w:val="24"/>
                <w:u w:val="none"/>
                <w:em w:val="none"/>
                <w:lang w:val="ru-RU" w:eastAsia="ru-RU" w:bidi="ar-SA"/>
              </w:rPr>
              <w:t xml:space="preserve">37. </w:t>
            </w: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Салазки Kingston SNA-BR2/35;</w:t>
            </w:r>
          </w:p>
          <w:p>
            <w:pPr>
              <w:pStyle w:val="BodyText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highlight w:val="none"/>
                <w:u w:val="none"/>
                <w:shd w:fill="auto" w:val="clear"/>
                <w:em w:val="none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38. Кабель UTP 4 пары кат.5e медь, 24AW (бухта 305м);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highlight w:val="none"/>
                <w:u w:val="none"/>
                <w:shd w:fill="auto" w:val="clear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39. Пневмоочиститель для техники (сжатый воздух в баллоне 520 мл.);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b w:val="false"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highlight w:val="none"/>
                <w:u w:val="none"/>
                <w:shd w:fill="auto" w:val="clear"/>
                <w:em w:val="none"/>
                <w:lang w:val="ru-RU" w:eastAsia="ru-RU" w:bidi="ar-SA"/>
              </w:rPr>
            </w:pPr>
            <w:r>
              <w:rPr>
                <w:rFonts w:eastAsia="Times New Roman" w:cs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kern w:val="0"/>
                <w:sz w:val="24"/>
                <w:szCs w:val="24"/>
                <w:u w:val="none"/>
                <w:shd w:fill="auto" w:val="clear"/>
                <w:em w:val="none"/>
                <w:lang w:val="ru-RU" w:eastAsia="ru-RU" w:bidi="ar-SA"/>
              </w:rPr>
              <w:t>40. Пластиковые стяжки 200 мм х 3.6 мм  черные (100 шт. в упаковке).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2.</w:t>
            </w:r>
          </w:p>
        </w:tc>
        <w:tc>
          <w:tcPr>
            <w:tcW w:w="1032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конструкции, изготовлению и материалам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2.1.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Материалы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быть произведён с использованием только высококачественных материалов и комплектующих, быть сертифицированным в установленном законодательством порядке и обеспеченным гарантийными обязательствами производителя и/или поставщика. Не допускается поставка контрафактного, бывшего в употреблении и/или восстановленного оборудования.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3.</w:t>
            </w:r>
          </w:p>
        </w:tc>
        <w:tc>
          <w:tcPr>
            <w:tcW w:w="1032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доставке,  маркировке, упаковке, транспортировке, перемещению, условиям хранения, приемке и испытаниям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3.1.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Тара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поставляться упакованным в тару, обеспечивающую его полную сохранность от всякого рода повреждений и порчи, с учетом возможной перевозки и длительного хранения. Тара и упаковка входят в цену поставляемого товара, за исключением случаев, специально оговоренных поставщиком и заказчиком.</w:t>
            </w:r>
          </w:p>
        </w:tc>
        <w:tc>
          <w:tcPr>
            <w:tcW w:w="161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3.2.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Упаковка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 должен поставляться в фирменной упаковке, защищающей от повреждений и воздействия внешней среды. Упаковка и маркировка товара должна соответствовать требованиям ГОСТа, импортный товар - международным стандартам упаковки. Каждая единица поставляемого товара должна быть упакована в стандартную оригинальную заводскую упаковку.</w:t>
            </w:r>
          </w:p>
        </w:tc>
        <w:tc>
          <w:tcPr>
            <w:tcW w:w="16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1193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3.3.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Маркировка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Каждая единица поставляемого товара должна иметь на заводской упаковке четкое указание наименования, производителя и другой предусмотренной производителем информации.</w:t>
            </w:r>
          </w:p>
        </w:tc>
        <w:tc>
          <w:tcPr>
            <w:tcW w:w="16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>
          <w:trHeight w:val="598" w:hRule="atLeast"/>
        </w:trPr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3.4.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Доставка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:lang w:val="ru-RU" w:eastAsia="en-US" w:bidi="ar-SA"/>
              </w:rPr>
              <w:t>Продукция должна быть доставлена Поставщиком по адресу: 614030, Пермь, ул. Соликамская, д.329</w:t>
            </w:r>
          </w:p>
        </w:tc>
        <w:tc>
          <w:tcPr>
            <w:tcW w:w="1611" w:type="dxa"/>
            <w:vMerge w:val="continue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4.</w:t>
            </w:r>
          </w:p>
        </w:tc>
        <w:tc>
          <w:tcPr>
            <w:tcW w:w="1032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гарантиям, гарантийному и послегарантийному обслуживанию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4.1.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Гарантийный срок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Гарантийный срок поставщика на поставляемый товар должен составлять не менее 12 (двенадцати) календарных месяцев с даты подписания сторонами товарной накладной по форме ТОРГ-12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4.2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12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2"/>
                <w:lang w:val="ru-RU" w:eastAsia="en-US" w:bidi="ar-SA"/>
              </w:rPr>
              <w:t>Требования к сроку годности продукции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Calibri" w:cs="Times New Roman"/>
                <w:iCs/>
                <w:kern w:val="0"/>
                <w:sz w:val="22"/>
                <w:szCs w:val="22"/>
                <w:lang w:val="ru-RU" w:eastAsia="en-US" w:bidi="ar-SA"/>
              </w:rPr>
              <w:t>До истечения срока годности поставляемой продукции должно быть не менее 18 месяцев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  <w:sz w:val="22"/>
                <w:szCs w:val="22"/>
              </w:rPr>
            </w:pPr>
            <w:r>
              <w:rPr>
                <w:rFonts w:eastAsia="Calibri" w:cs="Times New Roman"/>
                <w:i/>
                <w:iCs/>
                <w:kern w:val="0"/>
                <w:sz w:val="22"/>
                <w:szCs w:val="22"/>
                <w:lang w:val="ru-RU" w:eastAsia="en-US" w:bidi="ar-SA"/>
              </w:rPr>
              <w:t>Согласие с требованием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</w:t>
            </w:r>
          </w:p>
        </w:tc>
        <w:tc>
          <w:tcPr>
            <w:tcW w:w="10324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eastAsia="Times New Roman" w:cs="Times New Roman"/>
                <w:b/>
                <w:kern w:val="0"/>
                <w:sz w:val="22"/>
                <w:szCs w:val="22"/>
                <w:lang w:val="ru-RU" w:eastAsia="ru-RU" w:bidi="ar-SA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5.1.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Документы, передаваемые вместе с оборудованием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Поставщик обязан одновременно с передачей оборудования передать Покупателю относящиеся к нему документы, оформленные надлежащим образом: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сертификаты качества;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технические паспорта;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руководства по эксплуатации;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упаковочные листы, упаковочные ярлыки;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товарно-транспортную накладную формы №1-Т;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товарную накладную унифицированной формы ТОРГ-12 в 2 экз.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58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/>
                <w:kern w:val="0"/>
                <w:sz w:val="22"/>
                <w:szCs w:val="22"/>
                <w:lang w:val="ru-RU" w:eastAsia="ru-RU" w:bidi="ar-SA"/>
              </w:rPr>
              <w:t>5.2</w:t>
            </w:r>
          </w:p>
        </w:tc>
        <w:tc>
          <w:tcPr>
            <w:tcW w:w="197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Применение эквивалентов, оригинальной контрактной закупаемой продукции</w:t>
            </w:r>
          </w:p>
        </w:tc>
        <w:tc>
          <w:tcPr>
            <w:tcW w:w="835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jc w:val="both"/>
              <w:rPr>
                <w:rFonts w:ascii="Times New Roman" w:hAnsi="Times New Roman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  <w:t>В случае предложения участником эквивалентной, оригинальной, контрактной продукции, участник гарантирует, что предложенная продукция сохраняет все эксплуатационные свойства и функции оригинального продукта, а в случае возникновения конфликта между эксплуатируемым оборудованием и поставляемой участником продукцией, участник обязан незамедлительно и за свой счет заменить оборудование на другое.</w:t>
            </w:r>
          </w:p>
        </w:tc>
        <w:tc>
          <w:tcPr>
            <w:tcW w:w="1611" w:type="dxa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jc w:val="center"/>
              <w:rPr>
                <w:i/>
                <w:i/>
                <w:iCs/>
              </w:rPr>
            </w:pPr>
            <w:r>
              <w:rPr>
                <w:rFonts w:eastAsia="Times New Roman" w:cs="Times New Roman"/>
                <w:i/>
                <w:iCs/>
                <w:color w:val="auto"/>
                <w:kern w:val="0"/>
                <w:sz w:val="22"/>
                <w:szCs w:val="22"/>
                <w:lang w:val="ru-RU" w:eastAsia="ru-RU" w:bidi="ar-SA"/>
              </w:rPr>
              <w:t>Согласие с требованием</w:t>
            </w:r>
          </w:p>
        </w:tc>
        <w:tc>
          <w:tcPr>
            <w:tcW w:w="2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/>
              <w:t>-//-</w:t>
            </w:r>
          </w:p>
        </w:tc>
      </w:tr>
    </w:tbl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rPr>
          <w:rFonts w:ascii="Times New Roman" w:hAnsi="Times New Roman"/>
          <w:b/>
          <w:bCs/>
          <w:sz w:val="22"/>
          <w:szCs w:val="22"/>
        </w:rPr>
      </w:pPr>
      <w:r>
        <w:rPr>
          <w:b/>
          <w:bCs/>
          <w:sz w:val="22"/>
          <w:szCs w:val="22"/>
        </w:rPr>
      </w:r>
    </w:p>
    <w:p>
      <w:pPr>
        <w:pStyle w:val="Normal"/>
        <w:spacing w:before="0" w:after="0"/>
        <w:contextualSpacing/>
        <w:rPr>
          <w:b/>
          <w:bCs/>
          <w:sz w:val="24"/>
          <w:szCs w:val="24"/>
        </w:rPr>
      </w:pPr>
      <w:r>
        <w:rPr/>
      </w:r>
    </w:p>
    <w:sectPr>
      <w:type w:val="nextPage"/>
      <w:pgSz w:orient="landscape" w:w="16838" w:h="11906"/>
      <w:pgMar w:left="1134" w:right="851" w:gutter="0" w:header="0" w:top="345" w:footer="0" w:bottom="100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1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ahoma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653ac9"/>
    <w:pPr>
      <w:keepNext w:val="true"/>
      <w:tabs>
        <w:tab w:val="clear" w:pos="708"/>
        <w:tab w:val="left" w:pos="0" w:leader="none"/>
      </w:tabs>
      <w:spacing w:before="120" w:after="60"/>
      <w:ind w:hanging="0" w:left="1224"/>
      <w:outlineLvl w:val="2"/>
    </w:pPr>
    <w:rPr>
      <w:rFonts w:eastAsia="Calibri"/>
      <w:b/>
      <w:sz w:val="24"/>
      <w:szCs w:val="24"/>
      <w:lang w:eastAsia="x-none"/>
    </w:rPr>
  </w:style>
  <w:style w:type="paragraph" w:styleId="Heading4">
    <w:name w:val="Heading 4"/>
    <w:basedOn w:val="Heading3"/>
    <w:next w:val="Normal"/>
    <w:link w:val="4"/>
    <w:qFormat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qFormat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qFormat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qFormat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qFormat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qFormat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Pr>
      <w:rFonts w:ascii="Times New Roman" w:hAnsi="Times New Roman" w:eastAsia="Calibri" w:cs="Times New Roman"/>
      <w:b/>
      <w:sz w:val="28"/>
      <w:szCs w:val="28"/>
      <w:lang w:val="x-none" w:eastAsia="x-none"/>
    </w:rPr>
  </w:style>
  <w:style w:type="character" w:styleId="2" w:customStyle="1">
    <w:name w:val="Заголовок 2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basedOn w:val="DefaultParagraphFont"/>
    <w:qFormat/>
    <w:rsid w:val="00653ac9"/>
    <w:rPr>
      <w:rFonts w:ascii="Times New Roman" w:hAnsi="Times New Roman" w:cs="Times New Roman"/>
      <w:b/>
      <w:sz w:val="24"/>
      <w:szCs w:val="24"/>
      <w:lang w:eastAsia="x-none"/>
    </w:rPr>
  </w:style>
  <w:style w:type="character" w:styleId="4" w:customStyle="1">
    <w:name w:val="Заголовок 4 Знак"/>
    <w:basedOn w:val="DefaultParagraphFont"/>
    <w:qFormat/>
    <w:rPr>
      <w:rFonts w:ascii="Times New Roman" w:hAnsi="Times New Roman" w:eastAsia="Calibri" w:cs="Times New Roman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basedOn w:val="DefaultParagraphFont"/>
    <w:qFormat/>
    <w:rPr>
      <w:rFonts w:ascii="Times New Roman" w:hAnsi="Times New Roman" w:eastAsia="Times New Roman" w:cs="Times New Roman"/>
      <w:b/>
      <w:bCs/>
      <w:i/>
      <w:iCs/>
      <w:sz w:val="26"/>
      <w:szCs w:val="26"/>
      <w:lang w:val="x-none" w:eastAsia="x-none"/>
    </w:rPr>
  </w:style>
  <w:style w:type="character" w:styleId="6" w:customStyle="1">
    <w:name w:val="Заголовок 6 Знак"/>
    <w:basedOn w:val="DefaultParagraphFont"/>
    <w:qFormat/>
    <w:rPr>
      <w:rFonts w:ascii="Cambria" w:hAnsi="Cambria" w:eastAsia="Times New Roman" w:cs="Times New Roman"/>
      <w:i/>
      <w:iCs/>
      <w:color w:val="243F60"/>
      <w:sz w:val="20"/>
      <w:szCs w:val="20"/>
      <w:lang w:val="x-none" w:eastAsia="x-none"/>
    </w:rPr>
  </w:style>
  <w:style w:type="character" w:styleId="7" w:customStyle="1">
    <w:name w:val="Заголовок 7 Знак"/>
    <w:basedOn w:val="DefaultParagraphFont"/>
    <w:qFormat/>
    <w:rPr>
      <w:rFonts w:ascii="Cambria" w:hAnsi="Cambria" w:eastAsia="Times New Roman" w:cs="Times New Roman"/>
      <w:i/>
      <w:iCs/>
      <w:color w:val="404040"/>
      <w:sz w:val="20"/>
      <w:szCs w:val="20"/>
      <w:lang w:val="x-none" w:eastAsia="x-none"/>
    </w:rPr>
  </w:style>
  <w:style w:type="character" w:styleId="8" w:customStyle="1">
    <w:name w:val="Заголовок 8 Знак"/>
    <w:basedOn w:val="DefaultParagraphFont"/>
    <w:qFormat/>
    <w:rPr>
      <w:rFonts w:ascii="Cambria" w:hAnsi="Cambria" w:eastAsia="Times New Roman" w:cs="Times New Roman"/>
      <w:color w:val="4F81BD"/>
      <w:sz w:val="20"/>
      <w:szCs w:val="20"/>
      <w:lang w:val="x-none" w:eastAsia="x-none"/>
    </w:rPr>
  </w:style>
  <w:style w:type="character" w:styleId="9" w:customStyle="1">
    <w:name w:val="Заголовок 9 Знак"/>
    <w:basedOn w:val="DefaultParagraphFont"/>
    <w:qFormat/>
    <w:rPr>
      <w:rFonts w:ascii="Arial" w:hAnsi="Arial" w:eastAsia="Times New Roman" w:cs="Times New Roman"/>
      <w:lang w:val="x-none" w:eastAsia="x-none"/>
    </w:rPr>
  </w:style>
  <w:style w:type="character" w:styleId="Style" w:customStyle="1">
    <w:name w:val="Символ сноски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Pr/>
  </w:style>
  <w:style w:type="character" w:styleId="11" w:customStyle="1">
    <w:name w:val="Гиперссылка1"/>
    <w:basedOn w:val="DefaultParagraphFont"/>
    <w:qFormat/>
    <w:rPr>
      <w:color w:val="0563C1"/>
      <w:u w:val="single"/>
    </w:rPr>
  </w:style>
  <w:style w:type="character" w:styleId="Annotationreference">
    <w:name w:val="annotation reference"/>
    <w:qFormat/>
    <w:rPr>
      <w:sz w:val="16"/>
      <w:szCs w:val="16"/>
    </w:rPr>
  </w:style>
  <w:style w:type="character" w:styleId="Strong">
    <w:name w:val="Strong"/>
    <w:qFormat/>
    <w:rPr>
      <w:b/>
      <w:bCs/>
    </w:rPr>
  </w:style>
  <w:style w:type="character" w:styleId="Style1" w:customStyle="1">
    <w:name w:val="Название Знак"/>
    <w:link w:val="115"/>
    <w:qFormat/>
    <w:rPr>
      <w:sz w:val="28"/>
    </w:rPr>
  </w:style>
  <w:style w:type="character" w:styleId="Style2" w:customStyle="1">
    <w:name w:val="Подзаголовок Знак"/>
    <w:qFormat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qFormat/>
    <w:rPr>
      <w:i/>
      <w:iCs/>
    </w:rPr>
  </w:style>
  <w:style w:type="character" w:styleId="21" w:customStyle="1">
    <w:name w:val="Цитата 2 Знак"/>
    <w:link w:val="Quote"/>
    <w:qFormat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qFormat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qFormat/>
    <w:rPr>
      <w:i/>
      <w:iCs/>
      <w:color w:val="808080"/>
    </w:rPr>
  </w:style>
  <w:style w:type="character" w:styleId="IntenseEmphasis">
    <w:name w:val="Intense Emphasis"/>
    <w:qFormat/>
    <w:rPr>
      <w:b/>
      <w:bCs/>
      <w:i/>
      <w:iCs/>
      <w:color w:val="4F81BD"/>
    </w:rPr>
  </w:style>
  <w:style w:type="character" w:styleId="SubtleReference">
    <w:name w:val="Subtle Reference"/>
    <w:qFormat/>
    <w:rPr>
      <w:smallCaps/>
      <w:color w:val="C0504D"/>
      <w:u w:val="single"/>
    </w:rPr>
  </w:style>
  <w:style w:type="character" w:styleId="IntenseReference">
    <w:name w:val="Intense Reference"/>
    <w:qFormat/>
    <w:rPr>
      <w:b/>
      <w:bCs/>
      <w:smallCaps/>
      <w:color w:val="C0504D"/>
      <w:spacing w:val="5"/>
      <w:u w:val="single"/>
    </w:rPr>
  </w:style>
  <w:style w:type="character" w:styleId="BookTitle">
    <w:name w:val="Book Title"/>
    <w:qFormat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qFormat/>
    <w:rPr>
      <w:rFonts w:eastAsia="Calibri"/>
      <w:sz w:val="24"/>
      <w:szCs w:val="24"/>
    </w:rPr>
  </w:style>
  <w:style w:type="character" w:styleId="12" w:customStyle="1">
    <w:name w:val="Подпункт Знак1"/>
    <w:link w:val="Style28"/>
    <w:qFormat/>
    <w:rPr>
      <w:sz w:val="28"/>
    </w:rPr>
  </w:style>
  <w:style w:type="character" w:styleId="Style5" w:customStyle="1">
    <w:name w:val="Текст сноски Знак"/>
    <w:qFormat/>
    <w:rPr/>
  </w:style>
  <w:style w:type="character" w:styleId="Style6" w:customStyle="1">
    <w:name w:val="Основной текст Знак"/>
    <w:qFormat/>
    <w:rPr>
      <w:sz w:val="28"/>
      <w:szCs w:val="28"/>
    </w:rPr>
  </w:style>
  <w:style w:type="character" w:styleId="Blk" w:customStyle="1">
    <w:name w:val="blk"/>
    <w:qFormat/>
    <w:rPr/>
  </w:style>
  <w:style w:type="character" w:styleId="Style7" w:customStyle="1">
    <w:name w:val="Абзац списка Знак"/>
    <w:link w:val="ListParagraph"/>
    <w:qFormat/>
    <w:rPr>
      <w:rFonts w:eastAsia="Calibri"/>
      <w:sz w:val="24"/>
      <w:szCs w:val="24"/>
    </w:rPr>
  </w:style>
  <w:style w:type="character" w:styleId="Style8" w:customStyle="1">
    <w:name w:val="комментарий"/>
    <w:qFormat/>
    <w:rPr>
      <w:b/>
      <w:i/>
      <w:shd w:fill="FFFF99" w:val="clear"/>
    </w:rPr>
  </w:style>
  <w:style w:type="character" w:styleId="Style9" w:customStyle="1">
    <w:name w:val="Подподпункт Знак"/>
    <w:link w:val="Style36"/>
    <w:qFormat/>
    <w:rPr>
      <w:sz w:val="26"/>
      <w:szCs w:val="26"/>
    </w:rPr>
  </w:style>
  <w:style w:type="character" w:styleId="31" w:customStyle="1">
    <w:name w:val="УРОВЕНЬ_Абзац_тип3 Знак"/>
    <w:link w:val="37"/>
    <w:qFormat/>
    <w:rPr>
      <w:rFonts w:eastAsia="Calibri"/>
      <w:sz w:val="26"/>
      <w:szCs w:val="28"/>
    </w:rPr>
  </w:style>
  <w:style w:type="character" w:styleId="Style10" w:customStyle="1">
    <w:name w:val="Верхний колонтитул Знак"/>
    <w:qFormat/>
    <w:rPr>
      <w:sz w:val="24"/>
      <w:szCs w:val="24"/>
    </w:rPr>
  </w:style>
  <w:style w:type="character" w:styleId="Style11" w:customStyle="1">
    <w:name w:val="Текст примечания Знак"/>
    <w:link w:val="Annotationtext"/>
    <w:qFormat/>
    <w:rPr/>
  </w:style>
  <w:style w:type="character" w:styleId="Style12" w:customStyle="1">
    <w:name w:val="Текст концевой сноски Знак"/>
    <w:basedOn w:val="DefaultParagraphFont"/>
    <w:qFormat/>
    <w:rPr/>
  </w:style>
  <w:style w:type="character" w:styleId="Style13" w:customStyle="1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basedOn w:val="DefaultParagraphFont"/>
    <w:qFormat/>
    <w:rPr>
      <w:vertAlign w:val="superscript"/>
    </w:rPr>
  </w:style>
  <w:style w:type="character" w:styleId="22" w:customStyle="1">
    <w:name w:val="Пункт2 Знак"/>
    <w:link w:val="26"/>
    <w:qFormat/>
    <w:rPr>
      <w:b/>
      <w:sz w:val="28"/>
    </w:rPr>
  </w:style>
  <w:style w:type="character" w:styleId="13" w:customStyle="1">
    <w:name w:val="УРОВЕНЬ_1. Знак"/>
    <w:link w:val="119"/>
    <w:qFormat/>
    <w:rPr>
      <w:rFonts w:eastAsia="Calibri"/>
      <w:caps/>
      <w:sz w:val="28"/>
      <w:szCs w:val="28"/>
    </w:rPr>
  </w:style>
  <w:style w:type="character" w:styleId="14" w:customStyle="1">
    <w:name w:val="Неразрешенное упоминание1"/>
    <w:basedOn w:val="DefaultParagraphFont"/>
    <w:qFormat/>
    <w:rPr>
      <w:color w:val="605E5C"/>
      <w:shd w:fill="E1DFDD" w:val="clear"/>
    </w:rPr>
  </w:style>
  <w:style w:type="character" w:styleId="32" w:customStyle="1">
    <w:name w:val="Основной текст с отступом 3 Знак"/>
    <w:link w:val="BodyTextIndent3"/>
    <w:qFormat/>
    <w:rPr>
      <w:sz w:val="16"/>
      <w:szCs w:val="16"/>
    </w:rPr>
  </w:style>
  <w:style w:type="character" w:styleId="Style14" w:customStyle="1">
    <w:name w:val="Ссылка указателя"/>
    <w:qFormat/>
    <w:rPr/>
  </w:style>
  <w:style w:type="character" w:styleId="Style15" w:customStyle="1">
    <w:name w:val="Маркеры"/>
    <w:qFormat/>
    <w:rPr>
      <w:rFonts w:ascii="OpenSymbol" w:hAnsi="OpenSymbol" w:eastAsia="OpenSymbol" w:cs="OpenSymbol"/>
    </w:rPr>
  </w:style>
  <w:style w:type="character" w:styleId="15" w:customStyle="1">
    <w:name w:val="Основной текст Знак1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6" w:customStyle="1">
    <w:name w:val="Заголовок Знак"/>
    <w:basedOn w:val="DefaultParagraphFont"/>
    <w:qFormat/>
    <w:rPr>
      <w:rFonts w:ascii="Liberation Sans" w:hAnsi="Liberation Sans" w:eastAsia="Arial Unicode MS" w:cs="Arial Unicode MS"/>
      <w:sz w:val="28"/>
      <w:szCs w:val="28"/>
      <w:lang w:eastAsia="ru-RU"/>
    </w:rPr>
  </w:style>
  <w:style w:type="character" w:styleId="16" w:customStyle="1">
    <w:name w:val="Текст сноски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7" w:customStyle="1">
    <w:name w:val="Верхний колонтитул Знак1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7" w:customStyle="1">
    <w:name w:val="Основной текст с отступом Знак"/>
    <w:basedOn w:val="DefaultParagraphFont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8" w:customStyle="1">
    <w:name w:val="Нижний колонтитул Знак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23" w:customStyle="1">
    <w:name w:val="Основной текст с отступом 2 Знак"/>
    <w:basedOn w:val="DefaultParagraphFont"/>
    <w:link w:val="BodyTextInden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33" w:customStyle="1">
    <w:name w:val="Основной текст 3 Знак"/>
    <w:basedOn w:val="DefaultParagraphFont"/>
    <w:link w:val="BodyText3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311" w:customStyle="1">
    <w:name w:val="Основной текст с отступом 3 Знак1"/>
    <w:basedOn w:val="DefaultParagraphFont"/>
    <w:qFormat/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24" w:customStyle="1">
    <w:name w:val="Основной текст 2 Знак"/>
    <w:basedOn w:val="DefaultParagraphFont"/>
    <w:link w:val="BodyText2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Style19" w:customStyle="1">
    <w:name w:val="Текст выноски Знак"/>
    <w:basedOn w:val="DefaultParagraphFont"/>
    <w:link w:val="BalloonText"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18" w:customStyle="1">
    <w:name w:val="Текст примечания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20" w:customStyle="1">
    <w:name w:val="Тема примечания Знак"/>
    <w:basedOn w:val="18"/>
    <w:link w:val="Annotationsubject"/>
    <w:qFormat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19" w:customStyle="1">
    <w:name w:val="Подзаголовок Знак1"/>
    <w:basedOn w:val="DefaultParagraphFont"/>
    <w:qFormat/>
    <w:rPr>
      <w:rFonts w:eastAsia="Calibri"/>
      <w:color w:val="5A5A5A"/>
      <w:spacing w:val="15"/>
      <w:lang w:eastAsia="ru-RU"/>
    </w:rPr>
  </w:style>
  <w:style w:type="character" w:styleId="211" w:customStyle="1">
    <w:name w:val="Цитата 2 Знак1"/>
    <w:basedOn w:val="DefaultParagraphFont"/>
    <w:qFormat/>
    <w:rPr>
      <w:rFonts w:ascii="Times New Roman" w:hAnsi="Times New Roman" w:eastAsia="Times New Roman" w:cs="Times New Roman"/>
      <w:i/>
      <w:iCs/>
      <w:color w:val="404040"/>
      <w:sz w:val="28"/>
      <w:szCs w:val="28"/>
      <w:lang w:eastAsia="ru-RU"/>
    </w:rPr>
  </w:style>
  <w:style w:type="character" w:styleId="110" w:customStyle="1">
    <w:name w:val="Выделенная цитата Знак1"/>
    <w:basedOn w:val="DefaultParagraphFont"/>
    <w:qFormat/>
    <w:rPr>
      <w:rFonts w:ascii="Times New Roman" w:hAnsi="Times New Roman" w:eastAsia="Times New Roman" w:cs="Times New Roman"/>
      <w:i/>
      <w:iCs/>
      <w:color w:val="5B9BD5"/>
      <w:sz w:val="28"/>
      <w:szCs w:val="28"/>
      <w:lang w:eastAsia="ru-RU"/>
    </w:rPr>
  </w:style>
  <w:style w:type="character" w:styleId="111" w:customStyle="1">
    <w:name w:val="Электронная подпись Знак1"/>
    <w:basedOn w:val="DefaultParagraphFont"/>
    <w:qFormat/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112" w:customStyle="1">
    <w:name w:val="Текст концевой сноски Знак1"/>
    <w:basedOn w:val="DefaultParagraphFont"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rPr>
      <w:color w:val="000080"/>
      <w:u w:val="single"/>
    </w:rPr>
  </w:style>
  <w:style w:type="character" w:styleId="Style21">
    <w:name w:val="Символ нумерации"/>
    <w:qFormat/>
    <w:rPr/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pPr>
      <w:spacing w:before="0" w:after="120"/>
    </w:pPr>
    <w:rPr>
      <w:rFonts w:ascii="Calibri" w:hAnsi="Calibri" w:eastAsia="Calibri" w:cs="Tahoma"/>
      <w:lang w:eastAsia="en-US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link w:val="Style16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Caption1111" w:customStyle="1">
    <w:name w:val="caption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1111" w:customStyle="1">
    <w:name w:val="caption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" w:customStyle="1">
    <w:name w:val="index heading11111"/>
    <w:basedOn w:val="Title"/>
    <w:qFormat/>
    <w:pPr/>
    <w:rPr/>
  </w:style>
  <w:style w:type="paragraph" w:styleId="Caption111111" w:customStyle="1">
    <w:name w:val="caption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" w:customStyle="1">
    <w:name w:val="index heading111111"/>
    <w:basedOn w:val="Title"/>
    <w:qFormat/>
    <w:pPr/>
    <w:rPr/>
  </w:style>
  <w:style w:type="paragraph" w:styleId="Caption1111111" w:customStyle="1">
    <w:name w:val="caption1111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1111" w:customStyle="1">
    <w:name w:val="index heading1111111"/>
    <w:basedOn w:val="Title"/>
    <w:qFormat/>
    <w:pPr/>
    <w:rPr/>
  </w:style>
  <w:style w:type="paragraph" w:styleId="Caption11111111" w:customStyle="1">
    <w:name w:val="caption11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111" w:customStyle="1">
    <w:name w:val="index heading11111111"/>
    <w:basedOn w:val="Title"/>
    <w:qFormat/>
    <w:pPr/>
    <w:rPr/>
  </w:style>
  <w:style w:type="paragraph" w:styleId="113" w:customStyle="1">
    <w:name w:val="Заголовок1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Index1">
    <w:name w:val="index 1"/>
    <w:basedOn w:val="Normal"/>
    <w:next w:val="Normal"/>
    <w:autoRedefine/>
    <w:qFormat/>
    <w:pPr>
      <w:ind w:hanging="280" w:left="280"/>
    </w:pPr>
    <w:rPr/>
  </w:style>
  <w:style w:type="paragraph" w:styleId="Style24" w:customStyle="1">
    <w:name w:val="Название раздела инструкции"/>
    <w:basedOn w:val="Normal"/>
    <w:autoRedefine/>
    <w:qFormat/>
    <w:pPr>
      <w:jc w:val="center"/>
    </w:pPr>
    <w:rPr>
      <w:b/>
    </w:rPr>
  </w:style>
  <w:style w:type="paragraph" w:styleId="Style25" w:customStyle="1">
    <w:name w:val="Раздел положения"/>
    <w:basedOn w:val="Normal"/>
    <w:autoRedefine/>
    <w:qFormat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6" w:customStyle="1">
    <w:name w:val="Подраздел раздела положения"/>
    <w:basedOn w:val="Normal"/>
    <w:autoRedefine/>
    <w:qFormat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pPr/>
    <w:rPr>
      <w:rFonts w:ascii="Calibri" w:hAnsi="Calibri" w:eastAsia="Calibri" w:cs="Tahoma"/>
      <w:sz w:val="22"/>
      <w:szCs w:val="22"/>
      <w:lang w:eastAsia="en-US"/>
    </w:rPr>
  </w:style>
  <w:style w:type="paragraph" w:styleId="114" w:customStyle="1">
    <w:name w:val="Шапка 1"/>
    <w:basedOn w:val="Normal"/>
    <w:qFormat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5" w:customStyle="1">
    <w:name w:val="Шапка 2"/>
    <w:basedOn w:val="Normal"/>
    <w:qFormat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15" w:customStyle="1">
    <w:name w:val="Название1"/>
    <w:basedOn w:val="Normal"/>
    <w:link w:val="Style1"/>
    <w:qFormat/>
    <w:pPr>
      <w:jc w:val="center"/>
    </w:pPr>
    <w:rPr>
      <w:rFonts w:ascii="Calibri" w:hAnsi="Calibri" w:eastAsia="Calibri" w:cs="Tahoma"/>
      <w:szCs w:val="22"/>
      <w:lang w:eastAsia="en-US"/>
    </w:rPr>
  </w:style>
  <w:style w:type="paragraph" w:styleId="Style27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pPr>
      <w:tabs>
        <w:tab w:val="clear" w:pos="708"/>
        <w:tab w:val="center" w:pos="4677" w:leader="none"/>
        <w:tab w:val="right" w:pos="9355" w:leader="none"/>
      </w:tabs>
    </w:pPr>
    <w:rPr>
      <w:rFonts w:ascii="Calibri" w:hAnsi="Calibri" w:eastAsia="Calibri" w:cs="Tahoma"/>
      <w:sz w:val="24"/>
      <w:szCs w:val="24"/>
      <w:lang w:eastAsia="en-US"/>
    </w:rPr>
  </w:style>
  <w:style w:type="paragraph" w:styleId="BodyTextIndent">
    <w:name w:val="Body Text Indent"/>
    <w:basedOn w:val="Normal"/>
    <w:link w:val="Style17"/>
    <w:pPr>
      <w:ind w:hanging="0" w:left="360"/>
    </w:pPr>
    <w:rPr>
      <w:sz w:val="24"/>
      <w:szCs w:val="24"/>
    </w:rPr>
  </w:style>
  <w:style w:type="paragraph" w:styleId="Footer">
    <w:name w:val="Footer"/>
    <w:basedOn w:val="Normal"/>
    <w:link w:val="Style1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link w:val="23"/>
    <w:qFormat/>
    <w:pPr>
      <w:spacing w:lineRule="auto" w:line="480" w:before="0" w:after="120"/>
      <w:ind w:hanging="0" w:left="283"/>
    </w:pPr>
    <w:rPr/>
  </w:style>
  <w:style w:type="paragraph" w:styleId="BodyText3">
    <w:name w:val="Body Text 3"/>
    <w:basedOn w:val="Normal"/>
    <w:link w:val="33"/>
    <w:qFormat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pPr>
      <w:spacing w:before="0" w:after="120"/>
      <w:ind w:hanging="0" w:left="283"/>
    </w:pPr>
    <w:rPr>
      <w:rFonts w:ascii="Calibri" w:hAnsi="Calibri" w:eastAsia="Calibri" w:cs="Tahoma"/>
      <w:sz w:val="16"/>
      <w:szCs w:val="16"/>
      <w:lang w:eastAsia="en-US"/>
    </w:rPr>
  </w:style>
  <w:style w:type="paragraph" w:styleId="BodyText2">
    <w:name w:val="Body Text 2"/>
    <w:basedOn w:val="Normal"/>
    <w:link w:val="24"/>
    <w:qFormat/>
    <w:pPr>
      <w:spacing w:lineRule="auto" w:line="480" w:before="0" w:after="120"/>
    </w:pPr>
    <w:rPr/>
  </w:style>
  <w:style w:type="paragraph" w:styleId="BlockText">
    <w:name w:val="Block Text"/>
    <w:basedOn w:val="Normal"/>
    <w:qFormat/>
    <w:pPr>
      <w:ind w:hanging="0" w:left="-567" w:right="-766"/>
      <w:jc w:val="center"/>
    </w:pPr>
    <w:rPr>
      <w:b/>
      <w:bCs/>
      <w:sz w:val="24"/>
      <w:szCs w:val="20"/>
    </w:rPr>
  </w:style>
  <w:style w:type="paragraph" w:styleId="Style28" w:customStyle="1">
    <w:name w:val="Подпункт"/>
    <w:basedOn w:val="Normal"/>
    <w:link w:val="12"/>
    <w:qFormat/>
    <w:pPr>
      <w:tabs>
        <w:tab w:val="clear" w:pos="708"/>
        <w:tab w:val="left" w:pos="1134" w:leader="none"/>
      </w:tabs>
      <w:snapToGrid w:val="false"/>
      <w:spacing w:lineRule="auto" w:line="360"/>
      <w:ind w:hanging="1134" w:left="1134"/>
      <w:jc w:val="both"/>
    </w:pPr>
    <w:rPr>
      <w:rFonts w:ascii="Calibri" w:hAnsi="Calibri" w:eastAsia="Calibri" w:cs="Tahoma"/>
      <w:szCs w:val="22"/>
      <w:lang w:eastAsia="en-US"/>
    </w:rPr>
  </w:style>
  <w:style w:type="paragraph" w:styleId="26" w:customStyle="1">
    <w:name w:val="Пункт2"/>
    <w:basedOn w:val="Normal"/>
    <w:link w:val="22"/>
    <w:qFormat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hanging="1134" w:left="1134"/>
      <w:outlineLvl w:val="2"/>
    </w:pPr>
    <w:rPr>
      <w:rFonts w:ascii="Calibri" w:hAnsi="Calibri" w:eastAsia="Calibri" w:cs="Tahoma"/>
      <w:b/>
      <w:szCs w:val="22"/>
      <w:lang w:eastAsia="en-US"/>
    </w:rPr>
  </w:style>
  <w:style w:type="paragraph" w:styleId="TOC1">
    <w:name w:val="TOC 1"/>
    <w:basedOn w:val="Normal"/>
    <w:next w:val="Normal"/>
    <w:autoRedefine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pPr>
      <w:tabs>
        <w:tab w:val="clear" w:pos="708"/>
        <w:tab w:val="left" w:pos="1120" w:leader="none"/>
        <w:tab w:val="right" w:pos="9911" w:leader="dot"/>
      </w:tabs>
      <w:ind w:hanging="0" w:left="567"/>
    </w:pPr>
    <w:rPr>
      <w:rFonts w:cs="Calibri"/>
      <w:sz w:val="20"/>
      <w:szCs w:val="20"/>
    </w:rPr>
  </w:style>
  <w:style w:type="paragraph" w:styleId="Style29" w:customStyle="1">
    <w:name w:val="Раздел регламента"/>
    <w:basedOn w:val="Normal"/>
    <w:qFormat/>
    <w:pPr/>
    <w:rPr/>
  </w:style>
  <w:style w:type="paragraph" w:styleId="Style30" w:customStyle="1">
    <w:name w:val="Приложение к регламенту"/>
    <w:basedOn w:val="Normal"/>
    <w:qFormat/>
    <w:pPr>
      <w:jc w:val="right"/>
    </w:pPr>
    <w:rPr/>
  </w:style>
  <w:style w:type="paragraph" w:styleId="TOC2">
    <w:name w:val="TOC 2"/>
    <w:basedOn w:val="Normal"/>
    <w:next w:val="Normal"/>
    <w:autoRedefine/>
    <w:pPr>
      <w:spacing w:before="240" w:after="0"/>
    </w:pPr>
    <w:rPr>
      <w:rFonts w:cs="Calibri"/>
      <w:b/>
      <w:bCs/>
      <w:sz w:val="20"/>
      <w:szCs w:val="20"/>
    </w:rPr>
  </w:style>
  <w:style w:type="paragraph" w:styleId="BalloonText">
    <w:name w:val="Balloon Text"/>
    <w:basedOn w:val="Normal"/>
    <w:link w:val="Style19"/>
    <w:qFormat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qFormat/>
    <w:pPr/>
    <w:rPr>
      <w:rFonts w:ascii="Calibri" w:hAnsi="Calibri" w:eastAsia="Calibri" w:cs="Tahoma"/>
      <w:sz w:val="22"/>
      <w:szCs w:val="22"/>
      <w:lang w:eastAsia="en-US"/>
    </w:rPr>
  </w:style>
  <w:style w:type="paragraph" w:styleId="Annotationsubject">
    <w:name w:val="annotation subject"/>
    <w:basedOn w:val="Annotationtext"/>
    <w:next w:val="Annotationtext"/>
    <w:link w:val="Style20"/>
    <w:qFormat/>
    <w:pPr/>
    <w:rPr>
      <w:b/>
      <w:bCs/>
    </w:rPr>
  </w:style>
  <w:style w:type="paragraph" w:styleId="116" w:customStyle="1">
    <w:name w:val="Обычный (веб)1"/>
    <w:basedOn w:val="Normal"/>
    <w:qFormat/>
    <w:pPr>
      <w:spacing w:before="280" w:after="280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pPr>
      <w:ind w:hanging="0" w:left="1960"/>
    </w:pPr>
    <w:rPr>
      <w:rFonts w:ascii="Calibri" w:hAnsi="Calibri" w:cs="Calibri"/>
      <w:sz w:val="20"/>
      <w:szCs w:val="20"/>
    </w:rPr>
  </w:style>
  <w:style w:type="paragraph" w:styleId="TOC5">
    <w:name w:val="TOC 5"/>
    <w:basedOn w:val="Normal"/>
    <w:next w:val="Normal"/>
    <w:autoRedefine/>
    <w:pPr>
      <w:ind w:hanging="0" w:left="840"/>
    </w:pPr>
    <w:rPr>
      <w:rFonts w:ascii="Calibri" w:hAnsi="Calibri" w:cs="Calibri"/>
      <w:sz w:val="20"/>
      <w:szCs w:val="20"/>
    </w:rPr>
  </w:style>
  <w:style w:type="paragraph" w:styleId="TOC4">
    <w:name w:val="TOC 4"/>
    <w:basedOn w:val="Normal"/>
    <w:next w:val="Normal"/>
    <w:autoRedefine/>
    <w:pPr>
      <w:ind w:hanging="0" w:left="560"/>
    </w:pPr>
    <w:rPr>
      <w:rFonts w:cs="Calibri"/>
      <w:sz w:val="20"/>
      <w:szCs w:val="20"/>
    </w:rPr>
  </w:style>
  <w:style w:type="paragraph" w:styleId="27" w:customStyle="1">
    <w:name w:val="Раздел положения 2"/>
    <w:basedOn w:val="Normal"/>
    <w:qFormat/>
    <w:pPr>
      <w:pageBreakBefore/>
      <w:jc w:val="both"/>
      <w:outlineLvl w:val="0"/>
    </w:pPr>
    <w:rPr>
      <w:b/>
    </w:rPr>
  </w:style>
  <w:style w:type="paragraph" w:styleId="Style31" w:customStyle="1">
    <w:name w:val="Знак Знак Знак Знак Знак Знак Знак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qFormat/>
    <w:pPr>
      <w:spacing w:lineRule="auto" w:line="360"/>
    </w:pPr>
    <w:rPr>
      <w:rFonts w:eastAsia="Calibri"/>
      <w:sz w:val="24"/>
      <w:szCs w:val="24"/>
    </w:rPr>
  </w:style>
  <w:style w:type="paragraph" w:styleId="Subtitle">
    <w:name w:val="Subtitle"/>
    <w:basedOn w:val="Normal"/>
    <w:next w:val="Normal"/>
    <w:link w:val="Style2"/>
    <w:qFormat/>
    <w:pPr>
      <w:ind w:firstLine="709" w:left="1066"/>
    </w:pPr>
    <w:rPr>
      <w:rFonts w:ascii="Cambria" w:hAnsi="Cambria" w:eastAsia="Calibri" w:cs="Tahom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qFormat/>
    <w:pPr>
      <w:spacing w:before="0" w:after="0"/>
      <w:ind w:hanging="0" w:left="720"/>
      <w:contextualSpacing/>
    </w:pPr>
    <w:rPr>
      <w:rFonts w:ascii="Calibri" w:hAnsi="Calibri" w:eastAsia="Calibri" w:cs="Tahoma"/>
      <w:sz w:val="24"/>
      <w:szCs w:val="24"/>
      <w:lang w:eastAsia="en-US"/>
    </w:rPr>
  </w:style>
  <w:style w:type="paragraph" w:styleId="Quote">
    <w:name w:val="Quote"/>
    <w:basedOn w:val="Normal"/>
    <w:next w:val="Normal"/>
    <w:link w:val="21"/>
    <w:qFormat/>
    <w:pPr/>
    <w:rPr>
      <w:rFonts w:ascii="Calibri" w:hAnsi="Calibri" w:eastAsia="Calibri" w:cs="Tahoma"/>
      <w:i/>
      <w:iCs/>
      <w:color w:val="000000"/>
      <w:sz w:val="22"/>
      <w:szCs w:val="22"/>
      <w:lang w:val="x-none" w:eastAsia="x-none"/>
    </w:rPr>
  </w:style>
  <w:style w:type="paragraph" w:styleId="IntenseQuote">
    <w:name w:val="Intense Quote"/>
    <w:basedOn w:val="Normal"/>
    <w:next w:val="Normal"/>
    <w:link w:val="Style3"/>
    <w:qFormat/>
    <w:pPr>
      <w:pBdr>
        <w:bottom w:val="single" w:sz="4" w:space="4" w:color="4F81BD"/>
      </w:pBdr>
      <w:spacing w:before="200" w:after="280"/>
      <w:ind w:hanging="0" w:left="936" w:right="936"/>
    </w:pPr>
    <w:rPr>
      <w:rFonts w:ascii="Calibri" w:hAnsi="Calibri" w:eastAsia="Calibri" w:cs="Tahoma"/>
      <w:b/>
      <w:bCs/>
      <w:i/>
      <w:iCs/>
      <w:color w:val="4F81BD"/>
      <w:sz w:val="22"/>
      <w:szCs w:val="22"/>
      <w:lang w:val="x-none" w:eastAsia="x-none"/>
    </w:rPr>
  </w:style>
  <w:style w:type="paragraph" w:styleId="IndexHeading">
    <w:name w:val="Index Heading"/>
    <w:basedOn w:val="Style22"/>
    <w:pPr/>
    <w:rPr/>
  </w:style>
  <w:style w:type="paragraph" w:styleId="TOCHeading">
    <w:name w:val="TOC Heading"/>
    <w:basedOn w:val="Heading1"/>
    <w:next w:val="Normal"/>
    <w:qFormat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qFormat/>
    <w:pPr/>
    <w:rPr>
      <w:rFonts w:ascii="Calibri" w:hAnsi="Calibri" w:eastAsia="Calibri" w:cs="Tahoma"/>
      <w:sz w:val="24"/>
      <w:szCs w:val="24"/>
      <w:lang w:eastAsia="en-US"/>
    </w:rPr>
  </w:style>
  <w:style w:type="paragraph" w:styleId="Style32" w:customStyle="1">
    <w:name w:val="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5" w:customStyle="1">
    <w:name w:val="Нумерованный список ур3"/>
    <w:basedOn w:val="Normal"/>
    <w:qFormat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6" w:customStyle="1">
    <w:name w:val="Знак Знак3 Знак Знак"/>
    <w:basedOn w:val="Normal"/>
    <w:qFormat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33" w:customStyle="1">
    <w:name w:val="Пункт"/>
    <w:basedOn w:val="Normal"/>
    <w:qFormat/>
    <w:pPr>
      <w:widowControl w:val="false"/>
      <w:tabs>
        <w:tab w:val="clear" w:pos="708"/>
        <w:tab w:val="left" w:pos="1134" w:leader="none"/>
      </w:tabs>
      <w:spacing w:lineRule="auto" w:line="360" w:before="120" w:after="0"/>
      <w:ind w:hanging="1134" w:left="1134" w:right="800"/>
      <w:jc w:val="both"/>
    </w:pPr>
    <w:rPr>
      <w:rFonts w:ascii="Arial" w:hAnsi="Arial"/>
      <w:b/>
      <w:i/>
      <w:szCs w:val="20"/>
    </w:rPr>
  </w:style>
  <w:style w:type="paragraph" w:styleId="117" w:customStyle="1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szCs w:val="22"/>
      <w:lang w:eastAsia="en-US"/>
    </w:rPr>
  </w:style>
  <w:style w:type="paragraph" w:styleId="Style34" w:customStyle="1">
    <w:name w:val="Таблица"/>
    <w:basedOn w:val="Normal"/>
    <w:qFormat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5" w:customStyle="1">
    <w:name w:val="Таблица шапка"/>
    <w:basedOn w:val="Normal"/>
    <w:qFormat/>
    <w:pPr>
      <w:keepNext w:val="true"/>
      <w:spacing w:before="40" w:after="40"/>
      <w:ind w:hanging="0" w:left="57" w:right="57"/>
    </w:pPr>
    <w:rPr>
      <w:sz w:val="22"/>
      <w:szCs w:val="26"/>
    </w:rPr>
  </w:style>
  <w:style w:type="paragraph" w:styleId="Style36" w:customStyle="1">
    <w:name w:val="Подподпункт"/>
    <w:basedOn w:val="Style28"/>
    <w:link w:val="Style9"/>
    <w:qFormat/>
    <w:pPr>
      <w:tabs>
        <w:tab w:val="clear" w:pos="1134"/>
        <w:tab w:val="left" w:pos="5104" w:leader="none"/>
      </w:tabs>
      <w:snapToGrid w:val="true"/>
      <w:spacing w:lineRule="auto" w:line="240" w:before="120" w:after="0"/>
      <w:ind w:hanging="567" w:left="5104"/>
    </w:pPr>
    <w:rPr>
      <w:sz w:val="26"/>
      <w:szCs w:val="26"/>
    </w:rPr>
  </w:style>
  <w:style w:type="paragraph" w:styleId="Style37" w:customStyle="1">
    <w:name w:val="УРОВЕНЬ_(а)"/>
    <w:basedOn w:val="ListParagraph"/>
    <w:qFormat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</w:rPr>
  </w:style>
  <w:style w:type="paragraph" w:styleId="-" w:customStyle="1">
    <w:name w:val="УРОВЕНЬ_-"/>
    <w:basedOn w:val="ListParagraph"/>
    <w:qFormat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</w:rPr>
  </w:style>
  <w:style w:type="paragraph" w:styleId="29" w:customStyle="1">
    <w:name w:val="УРОВЕНЬ_Абзац_тип2"/>
    <w:basedOn w:val="ListParagraph"/>
    <w:qFormat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37" w:customStyle="1">
    <w:name w:val="УРОВЕНЬ_Абзац_тип3"/>
    <w:basedOn w:val="ListParagraph"/>
    <w:link w:val="31"/>
    <w:qFormat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</w:rPr>
  </w:style>
  <w:style w:type="paragraph" w:styleId="Style38" w:customStyle="1">
    <w:name w:val="УРОВЕНЬ_Подпись"/>
    <w:basedOn w:val="ListParagraph"/>
    <w:qFormat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</w:rPr>
  </w:style>
  <w:style w:type="paragraph" w:styleId="118" w:customStyle="1">
    <w:name w:val="Стиль Заголовок 1 + по ширине"/>
    <w:basedOn w:val="Heading1"/>
    <w:qFormat/>
    <w:pPr>
      <w:keepLines/>
      <w:tabs>
        <w:tab w:val="clear" w:pos="0"/>
        <w:tab w:val="left" w:pos="567" w:leader="none"/>
      </w:tabs>
      <w:spacing w:before="480" w:after="240"/>
      <w:ind w:hanging="567" w:left="567"/>
      <w:jc w:val="both"/>
    </w:pPr>
    <w:rPr>
      <w:rFonts w:ascii="Arial" w:hAnsi="Arial" w:eastAsia="Times New Roman"/>
      <w:bCs/>
      <w:kern w:val="2"/>
      <w:sz w:val="40"/>
      <w:szCs w:val="20"/>
      <w:lang w:eastAsia="ru-RU"/>
    </w:rPr>
  </w:style>
  <w:style w:type="paragraph" w:styleId="EndnoteText">
    <w:name w:val="Endnote Text"/>
    <w:basedOn w:val="Normal"/>
    <w:link w:val="Style12"/>
    <w:pPr/>
    <w:rPr>
      <w:rFonts w:ascii="Calibri" w:hAnsi="Calibri" w:eastAsia="Calibri" w:cs="Tahoma"/>
      <w:sz w:val="22"/>
      <w:szCs w:val="22"/>
      <w:lang w:eastAsia="en-US"/>
    </w:rPr>
  </w:style>
  <w:style w:type="paragraph" w:styleId="210" w:customStyle="1">
    <w:name w:val="Заголовок 2 КВВ"/>
    <w:basedOn w:val="Normal"/>
    <w:qFormat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9" w:customStyle="1">
    <w:name w:val="Таблица текст"/>
    <w:basedOn w:val="Normal"/>
    <w:qFormat/>
    <w:pPr>
      <w:spacing w:before="40" w:after="40"/>
      <w:ind w:hanging="0" w:left="57" w:right="57"/>
    </w:pPr>
    <w:rPr>
      <w:sz w:val="24"/>
      <w:szCs w:val="26"/>
    </w:rPr>
  </w:style>
  <w:style w:type="paragraph" w:styleId="NormalWeb">
    <w:name w:val="Normal (Web)"/>
    <w:basedOn w:val="Normal"/>
    <w:qFormat/>
    <w:pPr>
      <w:spacing w:before="280" w:after="280"/>
    </w:pPr>
    <w:rPr>
      <w:sz w:val="24"/>
      <w:szCs w:val="24"/>
    </w:rPr>
  </w:style>
  <w:style w:type="paragraph" w:styleId="119" w:customStyle="1">
    <w:name w:val="УРОВЕНЬ_1."/>
    <w:basedOn w:val="ListParagraph"/>
    <w:link w:val="13"/>
    <w:qFormat/>
    <w:pPr>
      <w:keepNext w:val="true"/>
      <w:keepLines/>
      <w:spacing w:lineRule="auto" w:line="276" w:before="240" w:after="120"/>
      <w:ind w:hanging="0" w:left="0"/>
      <w:contextualSpacing w:val="false"/>
      <w:jc w:val="both"/>
      <w:outlineLvl w:val="0"/>
    </w:pPr>
    <w:rPr>
      <w:caps/>
      <w:sz w:val="28"/>
      <w:szCs w:val="28"/>
    </w:rPr>
  </w:style>
  <w:style w:type="paragraph" w:styleId="TOC6">
    <w:name w:val="TOC 6"/>
    <w:basedOn w:val="Normal"/>
    <w:next w:val="Normal"/>
    <w:autoRedefine/>
    <w:pPr>
      <w:ind w:hanging="0" w:left="1120"/>
    </w:pPr>
    <w:rPr>
      <w:rFonts w:ascii="Calibri" w:hAnsi="Calibri" w:cs="Calibri"/>
      <w:sz w:val="20"/>
      <w:szCs w:val="20"/>
    </w:rPr>
  </w:style>
  <w:style w:type="paragraph" w:styleId="TOC7">
    <w:name w:val="TOC 7"/>
    <w:basedOn w:val="Normal"/>
    <w:next w:val="Normal"/>
    <w:autoRedefine/>
    <w:pPr>
      <w:ind w:hanging="0" w:left="1400"/>
    </w:pPr>
    <w:rPr>
      <w:rFonts w:ascii="Calibri" w:hAnsi="Calibri" w:cs="Calibri"/>
      <w:sz w:val="20"/>
      <w:szCs w:val="20"/>
    </w:rPr>
  </w:style>
  <w:style w:type="paragraph" w:styleId="TOC8">
    <w:name w:val="TOC 8"/>
    <w:basedOn w:val="Normal"/>
    <w:next w:val="Normal"/>
    <w:autoRedefine/>
    <w:pPr>
      <w:ind w:hanging="0" w:left="1680"/>
    </w:pPr>
    <w:rPr>
      <w:rFonts w:ascii="Calibri" w:hAnsi="Calibri" w:cs="Calibri"/>
      <w:sz w:val="20"/>
      <w:szCs w:val="20"/>
    </w:rPr>
  </w:style>
  <w:style w:type="paragraph" w:styleId="Style40" w:customStyle="1">
    <w:name w:val="Содержимое врезки"/>
    <w:basedOn w:val="Normal"/>
    <w:qFormat/>
    <w:pPr/>
    <w:rPr/>
  </w:style>
  <w:style w:type="paragraph" w:styleId="Style41" w:customStyle="1">
    <w:name w:val="Содержимое таблицы"/>
    <w:basedOn w:val="Normal"/>
    <w:qFormat/>
    <w:pPr>
      <w:widowControl w:val="false"/>
      <w:suppressLineNumbers/>
    </w:pPr>
    <w:rPr/>
  </w:style>
  <w:style w:type="paragraph" w:styleId="Style42" w:customStyle="1">
    <w:name w:val="Заголовок таблицы"/>
    <w:basedOn w:val="Style41"/>
    <w:qFormat/>
    <w:pPr>
      <w:jc w:val="center"/>
    </w:pPr>
    <w:rPr>
      <w:b/>
      <w:bCs/>
    </w:rPr>
  </w:style>
  <w:style w:type="paragraph" w:styleId="Style43" w:customStyle="1">
    <w:name w:val="Заголовок списка"/>
    <w:basedOn w:val="Normal"/>
    <w:next w:val="Style44"/>
    <w:qFormat/>
    <w:pPr/>
    <w:rPr/>
  </w:style>
  <w:style w:type="paragraph" w:styleId="Style44" w:customStyle="1">
    <w:name w:val="Содержимое списка"/>
    <w:basedOn w:val="Normal"/>
    <w:qFormat/>
    <w:pPr>
      <w:ind w:hanging="0" w:left="567"/>
    </w:pPr>
    <w:rPr/>
  </w:style>
  <w:style w:type="paragraph" w:styleId="Style45" w:customStyle="1">
    <w:name w:val="ТТ_Заголовок"/>
    <w:basedOn w:val="Heading1"/>
    <w:next w:val="Normal"/>
    <w:qFormat/>
    <w:pPr>
      <w:spacing w:before="0" w:after="0"/>
      <w:ind w:hanging="0" w:left="0"/>
      <w:jc w:val="center"/>
      <w:outlineLvl w:val="9"/>
    </w:pPr>
    <w:rPr>
      <w:rFonts w:eastAsia="Arial Unicode MS" w:cs="Arial Unicode MS"/>
      <w:bCs/>
      <w:kern w:val="2"/>
      <w:sz w:val="24"/>
      <w:szCs w:val="24"/>
      <w:lang w:eastAsia="zh-CN" w:bidi="hi-IN"/>
    </w:rPr>
  </w:style>
  <w:style w:type="paragraph" w:styleId="BCListNumber10" w:customStyle="1">
    <w:name w:val="BC List Number 10"/>
    <w:basedOn w:val="Normal"/>
    <w:qFormat/>
    <w:pPr>
      <w:numPr>
        <w:ilvl w:val="0"/>
        <w:numId w:val="6"/>
      </w:numPr>
      <w:spacing w:before="60" w:after="60"/>
      <w:jc w:val="both"/>
    </w:pPr>
    <w:rPr>
      <w:kern w:val="2"/>
      <w:sz w:val="20"/>
      <w:szCs w:val="24"/>
      <w:lang w:eastAsia="en-US"/>
    </w:rPr>
  </w:style>
  <w:style w:type="numbering" w:styleId="NoList" w:default="1">
    <w:name w:val="No List"/>
    <w:uiPriority w:val="99"/>
    <w:semiHidden/>
    <w:unhideWhenUsed/>
    <w:qFormat/>
  </w:style>
  <w:style w:type="numbering" w:styleId="120" w:customStyle="1">
    <w:name w:val="Стиль1"/>
    <w:qFormat/>
  </w:style>
  <w:style w:type="numbering" w:styleId="212" w:customStyle="1">
    <w:name w:val="Стиль2"/>
    <w:qFormat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4615</TotalTime>
  <Application>AlterOffice/2026.2.0.0$Linux_X86_64 LibreOffice_project/bc4ef1adf80b36c7a6365f8ed6cbf29021361edd</Application>
  <AppVersion>15.0000</AppVersion>
  <Pages>10</Pages>
  <Words>2160</Words>
  <Characters>13568</Characters>
  <CharactersWithSpaces>15368</CharactersWithSpaces>
  <Paragraphs>374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2025-03-31T09:30:00Z</dcterms:created>
  <dc:creator>Заборовцев Андрей Николаевич</dc:creator>
  <dc:description/>
  <dc:language>ru-RU</dc:language>
  <cp:lastModifiedBy>bezmaternyheb@corp.gidroogk.com</cp:lastModifiedBy>
  <cp:lastPrinted>2026-03-24T09:27:50Z</cp:lastPrinted>
  <dcterms:modified xsi:type="dcterms:W3CDTF">2026-09-25T14:30:05Z</dcterms:modified>
  <cp:revision>150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