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media/image1.png" ContentType="image/png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8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10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3"/>
          <w:szCs w:val="23"/>
        </w:rPr>
        <w:t>ОКПД2 42.12.2 Выполнение комплекса строительно-монтажных работ по устройству железнодорожного пути и вспомогательных сооружений в рамках 2-ого этапа Развитие железнодорожного пути необщего пользования СП «Нерюнгринская ГРЭС» АО «ДГК» инвестиционного проекта «Строительство 2-й очереди Нерюнгринской ГРЭС» для нужд филиала ПАО «РусГидро» – «Хабаровский»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Лот № </w:t>
      </w:r>
      <w:bookmarkStart w:id="0" w:name="__DdeLink__13981_1627595902"/>
      <w:r>
        <w:rPr>
          <w:sz w:val="24"/>
          <w:szCs w:val="24"/>
        </w:rPr>
        <w:t>0063-КС ПИР СМР-2026-ХФ</w:t>
      </w:r>
      <w:bookmarkEnd w:id="0"/>
      <w:r>
        <w:br w:type="page"/>
      </w:r>
    </w:p>
    <w:p>
      <w:pPr>
        <w:pStyle w:val="Normal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5"/>
              <w:vanish w:val="false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</w:rPr>
            <w:fldChar w:fldCharType="separate"/>
          </w:r>
          <w:hyperlink w:anchor="__RefHeading___Toc130533_1436044900">
            <w:r>
              <w:rPr>
                <w:webHidden/>
                <w:rStyle w:val="Style15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0535_1436044900">
            <w:r>
              <w:rPr>
                <w:webHidden/>
                <w:rStyle w:val="Style15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0537_1436044900">
            <w:r>
              <w:rPr>
                <w:webHidden/>
                <w:rStyle w:val="Style15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0539_1436044900">
            <w:r>
              <w:rPr>
                <w:webHidden/>
                <w:rStyle w:val="Style15"/>
                <w:vanish w:val="false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0541_1436044900">
            <w:r>
              <w:rPr>
                <w:webHidden/>
                <w:rStyle w:val="Style15"/>
                <w:vanish w:val="false"/>
              </w:rPr>
              <w:t>1.4.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0543_1436044900">
            <w:r>
              <w:rPr>
                <w:webHidden/>
                <w:rStyle w:val="Style15"/>
                <w:vanish w:val="false"/>
              </w:rPr>
              <w:t>Таблица 1. Перечень объектов капитального строительства заказчика</w:t>
              <w:tab/>
              <w:t>5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0545_1436044900">
            <w:r>
              <w:rPr>
                <w:webHidden/>
                <w:rStyle w:val="Style15"/>
                <w:vanish w:val="fals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  <w:tab/>
              <w:t>6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0547_1436044900">
            <w:r>
              <w:rPr>
                <w:webHidden/>
                <w:rStyle w:val="Style15"/>
                <w:vanish w:val="false"/>
              </w:rPr>
              <w:t>1.6. Иные требования и сведения общего характера</w:t>
              <w:tab/>
              <w:t>6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0549_1436044900">
            <w:r>
              <w:rPr>
                <w:webHidden/>
                <w:rStyle w:val="Style15"/>
                <w:vanish w:val="false"/>
              </w:rPr>
              <w:t>1.7. Дополнительные затраты к стоимости СМР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0551_1436044900">
            <w:r>
              <w:rPr>
                <w:webHidden/>
                <w:rStyle w:val="Style15"/>
                <w:vanish w:val="false"/>
              </w:rPr>
              <w:t>2. Требования к продукции</w:t>
              <w:tab/>
              <w:t>8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0553_1436044900">
            <w:r>
              <w:rPr>
                <w:webHidden/>
                <w:rStyle w:val="Style15"/>
                <w:vanish w:val="false"/>
              </w:rPr>
              <w:t>2.1. Требования по объемам и срокам</w:t>
              <w:tab/>
              <w:t>8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0555_1436044900">
            <w:r>
              <w:rPr>
                <w:webHidden/>
                <w:rStyle w:val="Style15"/>
                <w:vanish w:val="false"/>
              </w:rPr>
              <w:t>2.1.1. Требования к видам и объемам поставок МТР, работ.</w:t>
              <w:tab/>
              <w:t>8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0557_1436044900">
            <w:r>
              <w:rPr>
                <w:webHidden/>
                <w:rStyle w:val="Style15"/>
                <w:vanish w:val="false"/>
              </w:rPr>
              <w:t>2.1.2. Требования к срокам поставки МТР, выполнению работ</w:t>
              <w:tab/>
              <w:t>11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0559_1436044900">
            <w:r>
              <w:rPr>
                <w:webHidden/>
                <w:rStyle w:val="Style15"/>
                <w:vanish w:val="false"/>
              </w:rPr>
              <w:t>Таблица 3. Требования по срокам выполнения работ</w:t>
              <w:tab/>
              <w:t>11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30561_1436044900">
            <w:r>
              <w:rPr>
                <w:webHidden/>
                <w:rStyle w:val="Style15"/>
                <w:vanish w:val="false"/>
              </w:rPr>
              <w:t>2.2. Требования к качеству продукции</w:t>
              <w:tab/>
              <w:t>13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0563_1436044900">
            <w:r>
              <w:rPr>
                <w:webHidden/>
                <w:rStyle w:val="Style15"/>
                <w:vanish w:val="false"/>
              </w:rPr>
              <w:t>Таблица 4. Требования к качеству продукции</w:t>
              <w:tab/>
              <w:t>13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0565_1436044900">
            <w:r>
              <w:rPr>
                <w:webHidden/>
                <w:rStyle w:val="Style15"/>
                <w:vanish w:val="false"/>
              </w:rPr>
              <w:t>Наименование продукции (МТР, работ (этапа работ): Выполнение комплекса строительно-монтажных работ по устройству железнодорожного пути и вспомогательных сооружений в рамках строительства 2-й очереди Нерюнгринской ГРЭС. Этап 2. Развитие железнодорожного пути необщего пользования СП «Нерюнгринская ГРЭС» АО «ДГК».</w:t>
              <w:tab/>
              <w:t>13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0567_1436044900">
            <w:r>
              <w:rPr>
                <w:webHidden/>
                <w:rStyle w:val="Style15"/>
                <w:vanish w:val="false"/>
              </w:rPr>
              <w:t>3. Требования к документации по ценообразованию на этапе закупки</w:t>
              <w:tab/>
              <w:t>20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0569_1436044900">
            <w:r>
              <w:rPr>
                <w:webHidden/>
                <w:rStyle w:val="Style15"/>
                <w:vanish w:val="false"/>
              </w:rPr>
              <w:t>4. Требования к документации по ценообразованию на этапе исполнения договора</w:t>
              <w:tab/>
              <w:t>21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30571_1436044900">
            <w:r>
              <w:rPr>
                <w:webHidden/>
                <w:rStyle w:val="Style15"/>
                <w:vanish w:val="false"/>
              </w:rPr>
              <w:t>5. Приложения</w:t>
              <w:tab/>
              <w:t>22</w:t>
            </w:r>
          </w:hyperlink>
          <w:r>
            <w:rPr>
              <w:rStyle w:val="Style15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7" w:leader="none"/>
          <w:tab w:val="right" w:pos="9911" w:leader="dot"/>
        </w:tabs>
        <w:rPr>
          <w:rFonts w:eastAsia="" w:cs="Times New Roman" w:eastAsiaTheme="minorEastAsia"/>
          <w:b w:val="false"/>
          <w:bCs w:val="false"/>
          <w:sz w:val="22"/>
          <w:szCs w:val="22"/>
        </w:rPr>
      </w:pPr>
      <w:r>
        <w:rPr>
          <w:rFonts w:eastAsia="" w:cs="Times New Roman" w:eastAsiaTheme="minorEastAsia"/>
          <w:b w:val="false"/>
          <w:bCs w:val="false"/>
          <w:sz w:val="22"/>
          <w:szCs w:val="22"/>
        </w:rPr>
      </w:r>
    </w:p>
    <w:p>
      <w:pPr>
        <w:pStyle w:val="TOC1"/>
        <w:tabs>
          <w:tab w:val="clear" w:pos="708"/>
          <w:tab w:val="left" w:pos="567" w:leader="none"/>
          <w:tab w:val="right" w:pos="9911" w:leader="dot"/>
        </w:tabs>
        <w:rPr>
          <w:rFonts w:eastAsia="" w:cs="Times New Roman" w:eastAsiaTheme="minorEastAsia"/>
          <w:b w:val="false"/>
          <w:bCs w:val="false"/>
        </w:rPr>
      </w:pPr>
      <w:r>
        <w:rPr>
          <w:rFonts w:eastAsia="" w:cs="Times New Roman" w:eastAsiaTheme="minorEastAsia"/>
          <w:b w:val="false"/>
          <w:bCs w:val="false"/>
        </w:rPr>
      </w:r>
    </w:p>
    <w:p>
      <w:pPr>
        <w:pStyle w:val="TOC1"/>
        <w:tabs>
          <w:tab w:val="clear" w:pos="708"/>
          <w:tab w:val="right" w:pos="9911" w:leader="dot"/>
        </w:tabs>
        <w:spacing w:before="0" w:after="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</w:r>
      <w:r>
        <w:br w:type="page"/>
      </w:r>
    </w:p>
    <w:p>
      <w:pPr>
        <w:pStyle w:val="111"/>
        <w:numPr>
          <w:ilvl w:val="0"/>
          <w:numId w:val="3"/>
        </w:numPr>
        <w:ind w:hanging="0" w:left="0"/>
        <w:rPr/>
      </w:pPr>
      <w:bookmarkStart w:id="1" w:name="__RefHeading___Toc130533_1436044900"/>
      <w:bookmarkStart w:id="2" w:name="_Toc51339692"/>
      <w:bookmarkStart w:id="3" w:name="_Toc227246032"/>
      <w:bookmarkEnd w:id="1"/>
      <w:r>
        <w:rPr/>
        <w:t>Общие сведения</w:t>
      </w:r>
      <w:bookmarkEnd w:id="2"/>
      <w:bookmarkEnd w:id="3"/>
    </w:p>
    <w:p>
      <w:pPr>
        <w:pStyle w:val="Normal"/>
        <w:rPr>
          <w:color w:val="000000" w:themeColor="text1"/>
          <w:sz w:val="24"/>
          <w:szCs w:val="24"/>
          <w:lang w:val="x-none" w:eastAsia="x-none"/>
        </w:rPr>
      </w:pPr>
      <w:r>
        <w:rPr>
          <w:color w:val="000000" w:themeColor="text1"/>
          <w:sz w:val="24"/>
          <w:szCs w:val="24"/>
          <w:lang w:val="x-none" w:eastAsia="x-none"/>
        </w:rPr>
      </w:r>
    </w:p>
    <w:p>
      <w:pPr>
        <w:pStyle w:val="Heading4"/>
        <w:numPr>
          <w:ilvl w:val="1"/>
          <w:numId w:val="3"/>
        </w:numPr>
        <w:ind w:firstLine="709" w:left="0"/>
        <w:rPr/>
      </w:pPr>
      <w:bookmarkStart w:id="4" w:name="__RefHeading___Toc130535_1436044900"/>
      <w:bookmarkStart w:id="5" w:name="_Toc227246033"/>
      <w:bookmarkStart w:id="6" w:name="_Toc156314589"/>
      <w:bookmarkStart w:id="7" w:name="_Toc46743505"/>
      <w:bookmarkEnd w:id="4"/>
      <w:r>
        <w:rPr/>
        <w:t>Обозначения и сокращения</w:t>
      </w:r>
      <w:bookmarkEnd w:id="5"/>
      <w:bookmarkEnd w:id="6"/>
      <w:bookmarkEnd w:id="7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93"/>
        <w:gridCol w:w="7889"/>
      </w:tblGrid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ГОСТ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Заказчик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ПАО «РусГидро» 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МТР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Материально-технические ресурсы – всевозможные материалы, строительные конструкции, детали, комплектующие изделия (за исключением входящих в состав оборудования), инвентарь, отделочные материалы, сырье, смазочные материалы, иные товары, которые Подрядчик  должен задействовать, использовать, смонтировать на объекте согласно условиям договора, необходимые для выполнения работ по договору и последующей нормальной и надежной эксплуатации объекта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ПАО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Проектировщик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АО «Институт Гидропроект», осуществляющий разработку проектной документации.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РФ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ТТ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ТУ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Технические условия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ГОСТ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pdf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  <w:t>P</w:t>
            </w:r>
            <w:r>
              <w:rPr>
                <w:bCs/>
                <w:iCs/>
                <w:color w:val="000000" w:themeColor="text1"/>
                <w:sz w:val="24"/>
                <w:szCs w:val="24"/>
              </w:rPr>
              <w:t>ortable document format, формат файла электронного документа.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Любое юридическое или физическое лицо, а также объединение этих лиц, способное на законных основаниях поставить требуемую продукцию.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ПНР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Пуско-наладочные работы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ФЗ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Федеральный закон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СМР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Строительно-монтажные работы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14.07.2022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14.07.2022 № 255-ФЗ «О контроле за деятельностью лиц, находящихся под иностранным влиянием»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Техническая документация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Совокупность графических, расчетных и текстовых материалов, необходимая и достаточная для изготовления и непосредственного использования продукции на каждой стадии ее жизненного цикла (хранение, транспортировка, монтаж, пуско-наладка, консервация, эксплуатация, ремонт).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Эквивалентная продукция</w:t>
            </w:r>
          </w:p>
        </w:tc>
        <w:tc>
          <w:tcPr>
            <w:tcW w:w="7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Продукция, которая по техническим и функциональным характеристикам не уступает характеристикам, указанным в ведомости поставки Подрядчика и рабочей документации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НРС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Национальный реестр специалистов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ТО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Техническое обслуживание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ДТ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Дизельное топливо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АСКО СВ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Автоматизированная система коммерческого осмотра «Смотровая вышка»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ЭЦ-ТМ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Электрическая централизация в транспортабельных модулях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ГЭСН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государственные элементные сметные нормы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ИСМ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Интегрированная система менеджмента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ИСО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Международная организация по стандартизации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КС-2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акт о приемке выполненных работ (форма № КС-2)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КС-3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справка о стоимости выполненных работ и затрат (форма № КС-3)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НТД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Нормативно-техническая документация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СП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Свод правил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ППР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>Проект производства работ</w:t>
            </w:r>
          </w:p>
        </w:tc>
      </w:tr>
      <w:tr>
        <w:trPr>
          <w:cantSplit w:val="true"/>
        </w:trPr>
        <w:tc>
          <w:tcPr>
            <w:tcW w:w="1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Этап Работ</w:t>
            </w:r>
          </w:p>
        </w:tc>
        <w:tc>
          <w:tcPr>
            <w:tcW w:w="7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Технологически законченный объем Работ, предусмотренный Календарным графиком поставки Оборудования и выполнения Работ, который обладает признаками завершенности и позволяет по технологии строительства перейти к выполнению других видов Работ (следующего Этапа Работ)</w:t>
            </w:r>
          </w:p>
        </w:tc>
      </w:tr>
    </w:tbl>
    <w:p>
      <w:pPr>
        <w:pStyle w:val="Heading4"/>
        <w:ind w:hanging="0" w:left="0"/>
        <w:rPr/>
      </w:pPr>
      <w:r>
        <w:rPr/>
      </w:r>
    </w:p>
    <w:p>
      <w:pPr>
        <w:pStyle w:val="Heading4"/>
        <w:numPr>
          <w:ilvl w:val="1"/>
          <w:numId w:val="3"/>
        </w:numPr>
        <w:ind w:firstLine="709" w:left="0"/>
        <w:rPr/>
      </w:pPr>
      <w:bookmarkStart w:id="8" w:name="__RefHeading___Toc130537_1436044900"/>
      <w:bookmarkStart w:id="9" w:name="_Toc227246034"/>
      <w:bookmarkEnd w:id="8"/>
      <w:r>
        <w:rPr/>
        <w:t>Наименование закупаемой продукции</w:t>
      </w:r>
      <w:bookmarkEnd w:id="9"/>
    </w:p>
    <w:p>
      <w:pPr>
        <w:pStyle w:val="Normal"/>
        <w:shd w:val="clear" w:color="auto" w:fill="FFFFFF" w:themeFill="background1"/>
        <w:rPr>
          <w:color w:val="000000" w:themeColor="text1"/>
          <w:sz w:val="24"/>
          <w:szCs w:val="24"/>
          <w:lang w:eastAsia="x-none"/>
        </w:rPr>
      </w:pPr>
      <w:r>
        <w:rPr>
          <w:color w:val="000000" w:themeColor="text1"/>
          <w:sz w:val="24"/>
          <w:szCs w:val="24"/>
          <w:lang w:eastAsia="x-none"/>
        </w:rPr>
      </w:r>
    </w:p>
    <w:p>
      <w:pPr>
        <w:pStyle w:val="Style36"/>
        <w:rPr/>
      </w:pPr>
      <w:r>
        <w:rPr/>
        <w:t>ОКПД 2 42.12.2 Выполнение комплекса строительно-монтажных работ по устройству железнодорожного пути и вспомогательных сооружений в рамках 2-ого этапа Развитие железнодорожного пути необщего пользования СП «Нерюнгринская ГРЭС» АО «ДГК» инвестиционного проекта «Строительство 2-й очереди Нерюнгринской ГРЭС» для нужд филиала ПАО «РусГидро» – «Хабаровский».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4"/>
        <w:numPr>
          <w:ilvl w:val="1"/>
          <w:numId w:val="3"/>
        </w:numPr>
        <w:ind w:firstLine="709" w:left="0"/>
        <w:rPr/>
      </w:pPr>
      <w:bookmarkStart w:id="10" w:name="__RefHeading___Toc130539_1436044900"/>
      <w:bookmarkStart w:id="11" w:name="_Toc227246035"/>
      <w:bookmarkStart w:id="12" w:name="_Toc46743507"/>
      <w:bookmarkStart w:id="13" w:name="_Toc133252983"/>
      <w:bookmarkStart w:id="14" w:name="_Toc132019359"/>
      <w:bookmarkStart w:id="15" w:name="_Toc131857479"/>
      <w:bookmarkStart w:id="16" w:name="_Toc133252981"/>
      <w:bookmarkEnd w:id="10"/>
      <w:bookmarkEnd w:id="13"/>
      <w:bookmarkEnd w:id="14"/>
      <w:bookmarkEnd w:id="15"/>
      <w:bookmarkEnd w:id="16"/>
      <w:r>
        <w:rPr/>
        <w:t>Цель использования закупаемой продукции</w:t>
      </w:r>
      <w:bookmarkEnd w:id="11"/>
      <w:bookmarkEnd w:id="12"/>
    </w:p>
    <w:p>
      <w:pPr>
        <w:pStyle w:val="Style36"/>
        <w:ind w:hanging="0"/>
        <w:rPr/>
      </w:pPr>
      <w:r>
        <w:rPr/>
      </w:r>
    </w:p>
    <w:p>
      <w:pPr>
        <w:pStyle w:val="Style36"/>
        <w:rPr/>
      </w:pPr>
      <w:r>
        <w:rPr/>
        <w:t>Основной целью и задачей является реализация инвестиционного проекта ПАО «РусГидро»: «Строительство 2-й очереди Нерюнгринской ГРЭС. Этап 2. Развитие железнодорожного пути необщего пользования СП «Нерюнгринская ГРЭС» АО «ДГК»».</w:t>
      </w:r>
    </w:p>
    <w:p>
      <w:pPr>
        <w:pStyle w:val="Style36"/>
        <w:rPr/>
      </w:pPr>
      <w:r>
        <w:rPr/>
      </w:r>
    </w:p>
    <w:p>
      <w:pPr>
        <w:pStyle w:val="Heading4"/>
        <w:numPr>
          <w:ilvl w:val="1"/>
          <w:numId w:val="3"/>
        </w:numPr>
        <w:ind w:firstLine="709" w:left="0"/>
        <w:rPr/>
      </w:pPr>
      <w:bookmarkStart w:id="17" w:name="__RefHeading___Toc130541_1436044900"/>
      <w:bookmarkStart w:id="18" w:name="_Toc227246036"/>
      <w:bookmarkStart w:id="19" w:name="_Toc46743508"/>
      <w:bookmarkEnd w:id="17"/>
      <w:r>
        <w:rPr/>
        <w:t>Существующее положение</w:t>
      </w:r>
      <w:bookmarkEnd w:id="18"/>
      <w:bookmarkEnd w:id="19"/>
    </w:p>
    <w:p>
      <w:pPr>
        <w:pStyle w:val="Style36"/>
        <w:rPr/>
      </w:pPr>
      <w:r>
        <w:rPr/>
      </w:r>
    </w:p>
    <w:p>
      <w:pPr>
        <w:pStyle w:val="Style36"/>
        <w:rPr/>
      </w:pPr>
      <w:r>
        <w:rPr/>
        <w:t>«Нерюнгринская ГРЭС» – структурное подразделение АО «Дальневосточная генерирующая компания» (АО «ДГК»), входящая в Группу РусГидро, действует на территории г. Нерюнгри, пос. Беркакит, пос. Серебряный Бор, пос. Чульман. Основные виды деятельности – производство электрической и тепловой энергии, транспортировка и реализация тепловой энергии населению и юридическим лицам. В структурное подразделение входят Нерюнгринская ГРЭС, Чульманская ТЭЦ и водогрейная котельная.</w:t>
      </w:r>
    </w:p>
    <w:p>
      <w:pPr>
        <w:pStyle w:val="Style36"/>
        <w:rPr/>
      </w:pPr>
      <w:r>
        <w:rPr/>
        <w:t>Нерюнгринская ГРЭС представляет собой тепловую электростанцию с комбинированной выработкой электроэнергии и тепла. Установленная мощность электростанции – 570 МВт, установленная тепловая мощность – 820 Гкал/час.</w:t>
      </w:r>
    </w:p>
    <w:p>
      <w:pPr>
        <w:pStyle w:val="Style36"/>
        <w:rPr/>
      </w:pPr>
      <w:r>
        <w:rPr/>
        <w:t xml:space="preserve">Производственная площадка Нерюнгринской ГРЭС СП «Нерюнгринская ГРЭС» </w:t>
        <w:br/>
        <w:t>АО «ДГК» расположена по адресу: 678995, Российская Федерация, Республика Саха (Якутия), г. Нерюнгри, гп. Серебряный Бор с ориентировочной 1000-метровой санитарно-защитной зоной, располагается на территориях двух муниципальных образований:</w:t>
      </w:r>
    </w:p>
    <w:p>
      <w:pPr>
        <w:pStyle w:val="Style36"/>
        <w:rPr/>
      </w:pPr>
      <w:r>
        <w:rPr/>
        <w:t>на территории Муниципального образования Городского поселения «Поселок Серебряный Бор» Нерюнгринского района Республики Саха (Якутия);</w:t>
      </w:r>
    </w:p>
    <w:p>
      <w:pPr>
        <w:pStyle w:val="Style36"/>
        <w:rPr/>
      </w:pPr>
      <w:r>
        <w:rPr/>
        <w:t>на территории Муниципального образования «Нерюнгринский район» Республики Саха (Якутия).</w:t>
      </w:r>
    </w:p>
    <w:p>
      <w:pPr>
        <w:pStyle w:val="Style36"/>
        <w:rPr/>
      </w:pPr>
      <w:r>
        <w:rPr/>
        <w:t>Расстояние от Нерюнгринской ГРЭС на запад до г. Нерюнгри составляет 6 км, на север до г. Чульман – 18 км, на юг до г. Беркакит – 10 км. С северо-западной стороны находится гп. Серебряный бор, и также с северо-запада непосредственно участки проектирования 2 очереди Нерюнгринской ГРЭС граничат с полотном существующей железной дороги.</w:t>
      </w:r>
    </w:p>
    <w:p>
      <w:pPr>
        <w:pStyle w:val="Style36"/>
        <w:rPr/>
      </w:pPr>
      <w:r>
        <w:rPr/>
      </w:r>
    </w:p>
    <w:p>
      <w:pPr>
        <w:pStyle w:val="Heading1"/>
        <w:rPr/>
      </w:pPr>
      <w:bookmarkStart w:id="20" w:name="__RefHeading___Toc130543_1436044900"/>
      <w:bookmarkStart w:id="21" w:name="_Toc165976539"/>
      <w:bookmarkStart w:id="22" w:name="_Toc227246037"/>
      <w:bookmarkEnd w:id="20"/>
      <w:r>
        <w:rPr/>
        <w:t>Таблица 1. Перечень объектов капитального строительства заказчика</w:t>
      </w:r>
      <w:bookmarkEnd w:id="21"/>
      <w:bookmarkEnd w:id="22"/>
    </w:p>
    <w:p>
      <w:pPr>
        <w:pStyle w:val="Style36"/>
        <w:rPr/>
      </w:pPr>
      <w:r>
        <w:rPr/>
      </w:r>
    </w:p>
    <w:tbl>
      <w:tblPr>
        <w:tblW w:w="906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3"/>
        <w:gridCol w:w="2896"/>
        <w:gridCol w:w="3858"/>
        <w:gridCol w:w="1749"/>
      </w:tblGrid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Наименование объекта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Расположение объекта </w:t>
            </w:r>
            <w:r>
              <w:rPr>
                <w:b/>
                <w:i/>
                <w:iCs/>
                <w:color w:val="000000" w:themeColor="text1"/>
                <w:sz w:val="24"/>
                <w:szCs w:val="24"/>
              </w:rPr>
              <w:t>(место поставки МТР, производства работ)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</w:tr>
      <w:tr>
        <w:trPr>
          <w:trHeight w:val="575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6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ind w:hanging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Пробоотборник (Стационарный комплекс отбора проб) (70.1)</w:t>
            </w:r>
          </w:p>
        </w:tc>
        <w:tc>
          <w:tcPr>
            <w:tcW w:w="3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>Строительная площадка 2-й очереди Нерюнгринской ГРЭС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>
          <w:trHeight w:val="575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6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ind w:hanging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Железнодорожные весы (70.2)</w:t>
            </w:r>
          </w:p>
        </w:tc>
        <w:tc>
          <w:tcPr>
            <w:tcW w:w="3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>Строительная площадка 2-й очереди Нерюнгринской ГРЭС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>
          <w:trHeight w:val="575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6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ind w:hanging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Теплый блок стоянки локомотивов (70.3)</w:t>
            </w:r>
          </w:p>
        </w:tc>
        <w:tc>
          <w:tcPr>
            <w:tcW w:w="3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>Строительная площадка 2-й очереди Нерюнгринской ГРЭС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>
          <w:trHeight w:val="575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6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ind w:hanging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Экипировочные устройства (Пескозаправка и колонки ДТ и масла) (70.4</w:t>
            </w:r>
          </w:p>
        </w:tc>
        <w:tc>
          <w:tcPr>
            <w:tcW w:w="3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>Строительная площадка 2-й очереди Нерюнгринской ГРЭС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>
          <w:trHeight w:val="575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6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ind w:hanging="0"/>
              <w:rPr>
                <w:rFonts w:eastAsia="Calibri"/>
              </w:rPr>
            </w:pPr>
            <w:r>
              <w:rPr>
                <w:rFonts w:eastAsia="Calibri"/>
              </w:rPr>
              <w:t>Пункт ТО и экипировки локомотивов (70.5)</w:t>
            </w:r>
          </w:p>
        </w:tc>
        <w:tc>
          <w:tcPr>
            <w:tcW w:w="3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>Строительная площадка 2-й очереди Нерюнгринской ГРЭС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>
          <w:trHeight w:val="575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6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ind w:hanging="0"/>
              <w:rPr>
                <w:rFonts w:eastAsia="Calibri"/>
              </w:rPr>
            </w:pPr>
            <w:r>
              <w:rPr>
                <w:rFonts w:eastAsia="Calibri"/>
              </w:rPr>
              <w:t>Компрессорная (70.6)</w:t>
            </w:r>
          </w:p>
        </w:tc>
        <w:tc>
          <w:tcPr>
            <w:tcW w:w="3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>Строительная площадка 2-й очереди Нерюнгринской ГРЭС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>
          <w:trHeight w:val="575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6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ind w:hanging="0"/>
              <w:rPr>
                <w:rFonts w:eastAsia="Calibri"/>
              </w:rPr>
            </w:pPr>
            <w:r>
              <w:rPr>
                <w:rFonts w:eastAsia="Calibri"/>
              </w:rPr>
              <w:t>Склад сухого песка (70.7)</w:t>
            </w:r>
          </w:p>
        </w:tc>
        <w:tc>
          <w:tcPr>
            <w:tcW w:w="3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>Строительная площадка 2-й очереди Нерюнгринской ГРЭС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>
          <w:trHeight w:val="575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6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ind w:hanging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Резервуары (70.8)</w:t>
            </w:r>
          </w:p>
        </w:tc>
        <w:tc>
          <w:tcPr>
            <w:tcW w:w="3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>Строительная площадка 2-й очереди Нерюнгринской ГРЭС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>
          <w:trHeight w:val="575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6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ind w:hanging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Площадка для слива топлива из автоцистерны (70.9)</w:t>
            </w:r>
          </w:p>
        </w:tc>
        <w:tc>
          <w:tcPr>
            <w:tcW w:w="3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>Строительная площадка 2-й очереди Нерюнгринской ГРЭС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>
          <w:trHeight w:val="575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6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ind w:hanging="0"/>
              <w:rPr>
                <w:rFonts w:eastAsia="Calibri"/>
              </w:rPr>
            </w:pPr>
            <w:r>
              <w:rPr>
                <w:rFonts w:eastAsia="Calibri"/>
              </w:rPr>
              <w:t>Железнодорожные пути</w:t>
            </w:r>
          </w:p>
        </w:tc>
        <w:tc>
          <w:tcPr>
            <w:tcW w:w="3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color w:val="000000" w:themeColor="text1"/>
                <w:sz w:val="24"/>
                <w:szCs w:val="24"/>
              </w:rPr>
              <w:t>Строительная площадка 2-й очереди Нерюнгринской ГРЭС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-</w:t>
            </w:r>
          </w:p>
        </w:tc>
      </w:tr>
    </w:tbl>
    <w:p>
      <w:pPr>
        <w:pStyle w:val="Style36"/>
        <w:rPr/>
      </w:pPr>
      <w:r>
        <w:rPr/>
      </w:r>
    </w:p>
    <w:p>
      <w:pPr>
        <w:pStyle w:val="Normal"/>
        <w:rPr>
          <w:color w:val="000000" w:themeColor="text1"/>
          <w:sz w:val="24"/>
          <w:szCs w:val="24"/>
          <w:lang w:eastAsia="x-none"/>
        </w:rPr>
      </w:pPr>
      <w:r>
        <w:rPr>
          <w:color w:val="000000" w:themeColor="text1"/>
          <w:sz w:val="24"/>
          <w:szCs w:val="24"/>
          <w:lang w:eastAsia="x-none"/>
        </w:rPr>
      </w:r>
      <w:r>
        <w:br w:type="page"/>
      </w:r>
    </w:p>
    <w:p>
      <w:pPr>
        <w:pStyle w:val="Heading4"/>
        <w:numPr>
          <w:ilvl w:val="1"/>
          <w:numId w:val="3"/>
        </w:numPr>
        <w:ind w:firstLine="709" w:left="0"/>
        <w:rPr/>
      </w:pPr>
      <w:bookmarkStart w:id="23" w:name="__RefHeading___Toc130545_1436044900"/>
      <w:bookmarkStart w:id="24" w:name="_Toc132019374"/>
      <w:bookmarkStart w:id="25" w:name="_Toc227246038"/>
      <w:bookmarkStart w:id="26" w:name="_Toc131857494"/>
      <w:bookmarkEnd w:id="23"/>
      <w:r>
        <w:rPr/>
        <w:t xml:space="preserve">Информация в отношении исполнения договора, </w:t>
      </w:r>
      <w:bookmarkStart w:id="27" w:name="_Hlk46492347"/>
      <w:r>
        <w:rPr/>
        <w:t xml:space="preserve">которая должна быть учтена при подготовке заявки </w:t>
      </w:r>
      <w:bookmarkEnd w:id="27"/>
      <w:r>
        <w:rPr/>
        <w:t>(в том числе перечень ресурсов, и документов, предоставляемых заказчиком на этапе исполнения догово</w:t>
      </w:r>
      <w:bookmarkEnd w:id="24"/>
      <w:bookmarkEnd w:id="25"/>
      <w:bookmarkEnd w:id="26"/>
      <w:r>
        <w:rPr/>
        <w:t>ра)</w:t>
      </w:r>
      <w:bookmarkStart w:id="28" w:name="_Hlk48209761"/>
    </w:p>
    <w:p>
      <w:pPr>
        <w:pStyle w:val="Style36"/>
        <w:rPr/>
      </w:pPr>
      <w:r>
        <w:rPr/>
      </w:r>
    </w:p>
    <w:p>
      <w:pPr>
        <w:pStyle w:val="Style36"/>
        <w:numPr>
          <w:ilvl w:val="0"/>
          <w:numId w:val="7"/>
        </w:numPr>
        <w:rPr/>
      </w:pPr>
      <w:bookmarkStart w:id="29" w:name="_Toc132019375"/>
      <w:bookmarkStart w:id="30" w:name="_Toc131857495"/>
      <w:bookmarkStart w:id="31" w:name="_Toc133252989"/>
      <w:r>
        <w:rPr/>
        <w:t>Подрядчик договора самостоятельно обеспечивает себя всеми необходимыми материально-техническими ресурсами.</w:t>
      </w:r>
      <w:bookmarkEnd w:id="29"/>
      <w:bookmarkEnd w:id="30"/>
      <w:bookmarkEnd w:id="31"/>
    </w:p>
    <w:p>
      <w:pPr>
        <w:pStyle w:val="Style36"/>
        <w:numPr>
          <w:ilvl w:val="0"/>
          <w:numId w:val="7"/>
        </w:numPr>
        <w:rPr/>
      </w:pPr>
      <w:bookmarkStart w:id="32" w:name="_Toc132019376"/>
      <w:bookmarkStart w:id="33" w:name="_Toc131857496"/>
      <w:bookmarkStart w:id="34" w:name="_Toc133252990"/>
      <w:r>
        <w:rPr/>
        <w:t>Подрядчик договора самостоятельно выполняет поставку оборудования и МТР входящих в состав объектов строительства.</w:t>
      </w:r>
      <w:bookmarkEnd w:id="32"/>
      <w:bookmarkEnd w:id="33"/>
      <w:bookmarkEnd w:id="34"/>
    </w:p>
    <w:p>
      <w:pPr>
        <w:pStyle w:val="Style36"/>
        <w:numPr>
          <w:ilvl w:val="0"/>
          <w:numId w:val="7"/>
        </w:numPr>
        <w:rPr/>
      </w:pPr>
      <w:bookmarkStart w:id="35" w:name="_Toc131857497"/>
      <w:bookmarkStart w:id="36" w:name="_Toc133252992"/>
      <w:bookmarkStart w:id="37" w:name="_Toc132019377"/>
      <w:bookmarkStart w:id="38" w:name="_Toc133252991"/>
      <w:bookmarkEnd w:id="38"/>
      <w:r>
        <w:rPr/>
        <w:t xml:space="preserve">В соответствии с условиями договора Заказчик выдает </w:t>
      </w:r>
      <w:r>
        <w:rPr>
          <w:color w:val="auto"/>
        </w:rPr>
        <w:t xml:space="preserve">проектную </w:t>
      </w:r>
      <w:r>
        <w:rPr/>
        <w:t>и рабочую документацию.</w:t>
      </w:r>
      <w:bookmarkEnd w:id="35"/>
      <w:bookmarkEnd w:id="36"/>
      <w:bookmarkEnd w:id="37"/>
    </w:p>
    <w:p>
      <w:pPr>
        <w:pStyle w:val="Style36"/>
        <w:numPr>
          <w:ilvl w:val="0"/>
          <w:numId w:val="7"/>
        </w:numPr>
        <w:rPr/>
      </w:pPr>
      <w:r>
        <w:rPr/>
        <w:t>Заказчик при наличии технической возможности и соответствующих ресурсов обеспечивает Подрядчика коммунальными ресурсами (электроснабжение, водоснабжение и водоотведение, сжатый воздух), предоставляет помещения для размещения персонала, складские и / или иные помещения, а также оказывает иные услуги в рамках условий договора.</w:t>
      </w:r>
    </w:p>
    <w:p>
      <w:pPr>
        <w:pStyle w:val="Normal"/>
        <w:jc w:val="both"/>
        <w:rPr>
          <w:color w:val="000000" w:themeColor="text1"/>
          <w:sz w:val="24"/>
          <w:szCs w:val="24"/>
          <w:lang w:eastAsia="x-none"/>
        </w:rPr>
      </w:pPr>
      <w:r>
        <w:rPr>
          <w:color w:val="000000" w:themeColor="text1"/>
          <w:sz w:val="24"/>
          <w:szCs w:val="24"/>
          <w:lang w:eastAsia="x-none"/>
        </w:rPr>
      </w:r>
    </w:p>
    <w:p>
      <w:pPr>
        <w:pStyle w:val="Heading4"/>
        <w:numPr>
          <w:ilvl w:val="1"/>
          <w:numId w:val="3"/>
        </w:numPr>
        <w:ind w:firstLine="709" w:left="0"/>
        <w:rPr/>
      </w:pPr>
      <w:bookmarkStart w:id="39" w:name="__RefHeading___Toc130547_1436044900"/>
      <w:bookmarkStart w:id="40" w:name="_Toc227246039"/>
      <w:bookmarkStart w:id="41" w:name="_Toc50125126"/>
      <w:bookmarkStart w:id="42" w:name="_Toc46743510"/>
      <w:bookmarkEnd w:id="28"/>
      <w:bookmarkEnd w:id="39"/>
      <w:bookmarkEnd w:id="41"/>
      <w:bookmarkEnd w:id="42"/>
      <w:r>
        <w:rPr/>
        <w:t>Иные требования и сведения общего характера</w:t>
      </w:r>
      <w:bookmarkEnd w:id="40"/>
    </w:p>
    <w:p>
      <w:pPr>
        <w:pStyle w:val="Style36"/>
        <w:rPr/>
      </w:pPr>
      <w:r>
        <w:rPr/>
      </w:r>
    </w:p>
    <w:p>
      <w:pPr>
        <w:pStyle w:val="Style36"/>
        <w:rPr/>
      </w:pPr>
      <w:r>
        <w:rPr/>
        <w:t>Подрядчик самостоятельно закупает и поставляет все необходимые материалы и оборудование.</w:t>
      </w:r>
    </w:p>
    <w:p>
      <w:pPr>
        <w:pStyle w:val="Style36"/>
        <w:rPr/>
      </w:pPr>
      <w:r>
        <w:rPr/>
        <w:t>Указанные в настоящем Технических требованиях, включая все приложения к ним, ссылки на ТУ, марку (тип) продукции носят описательный, а не обязательный характер. В случае, если Подрядчиком предлагается эквивалентная продукция требуемой Заказчику продукции или ее составных частей, Подрядчик до начала поставки должен согласовать изменение с Заказчиком и Проектировщиком. В случае, если изменение материалов или оборудования повлечёт за собой изменение проектных решений, Подрядчик производит корректировку рабочей документации за свой счёт.</w:t>
      </w:r>
    </w:p>
    <w:p>
      <w:pPr>
        <w:pStyle w:val="Style36"/>
        <w:rPr/>
      </w:pPr>
      <w:r>
        <w:rPr/>
        <w:t xml:space="preserve">МТР поставки Подрядчика должны быть новыми, не бывшими в употреблении, без повреждений, сертифицированы в установленном порядке и иметь сертификаты соответствия, качества, безопасности, паспорта, санитарно-эпидемиологические заключения и гигиенические заключения, разрешения на применение, прочие обязательные документы. Подрядчик обязан представить Заказчику все копии сертификатов, заключений, разрешений. </w:t>
      </w:r>
    </w:p>
    <w:p>
      <w:pPr>
        <w:pStyle w:val="Style36"/>
        <w:rPr/>
      </w:pPr>
      <w:r>
        <w:rPr/>
        <w:t>Под новым следует понимать оборудование, которое не было в употреблении, не проходило ремонт, в том числе восстановление, замену составных частей, восстановление потребительских свойств.</w:t>
      </w:r>
    </w:p>
    <w:p>
      <w:pPr>
        <w:pStyle w:val="Style36"/>
        <w:rPr/>
      </w:pPr>
      <w:r>
        <w:rPr/>
        <w:t>При проведении работ должны использоваться сертифицированные материалы в соответствии с Федеральным законом от 27.12.2002 №184-ФЗ  «О техническом регулировании» и Федеральным законом от 22.07.2008 №123-ФЗ «Технический регламент о требованиях пожарной безопасности».</w:t>
      </w:r>
    </w:p>
    <w:p>
      <w:pPr>
        <w:pStyle w:val="Style36"/>
        <w:rPr/>
      </w:pPr>
      <w:r>
        <w:rPr/>
        <w:t>МТР поставки Подрядчика должны быть поставлены в упаковке производителя, не нарушенной, без следов воздействия влаги. Упаковка и/или тара должна обеспечивать их сохранность от всякого рода повреждений при перевозке любыми видами транспорта, предохранять поставляемые материалы от внешних воздействий, а также обеспечивать их сохранность при проведении погрузо-разгрузочных работ вручную или механизированными средствами.</w:t>
      </w:r>
    </w:p>
    <w:p>
      <w:pPr>
        <w:pStyle w:val="Style36"/>
        <w:rPr/>
      </w:pPr>
      <w:r>
        <w:rPr/>
        <w:t>Гарантия на материалы, поставляемые Подрядчиком, составляет срок не менее гарантийного срока, установленного заводом изготовителем.</w:t>
      </w:r>
    </w:p>
    <w:p>
      <w:pPr>
        <w:pStyle w:val="Style36"/>
        <w:rPr/>
      </w:pPr>
      <w:r>
        <w:rPr/>
        <w:t>В случае если какой-либо из указанных в настоящих Технических требованиях ГОСТ или нормативный документ был отменен в связи с выпуском новой редакции стандарта, то Подрядчик необходимо применять актуализированный ГОСТ или нормативный документ, принятый в его развитие.</w:t>
      </w:r>
    </w:p>
    <w:p>
      <w:pPr>
        <w:pStyle w:val="Style36"/>
        <w:rPr/>
      </w:pPr>
      <w:r>
        <w:rPr/>
        <w:t>Поставку и монтаж весов вагонных ВЭВ-ТМ СД-120 и пробоотборного устройства осуществляет сторонняя организация.</w:t>
      </w:r>
    </w:p>
    <w:p>
      <w:pPr>
        <w:pStyle w:val="Style36"/>
        <w:rPr/>
      </w:pPr>
      <w:r>
        <w:rPr/>
      </w:r>
    </w:p>
    <w:p>
      <w:pPr>
        <w:pStyle w:val="Heading4"/>
        <w:numPr>
          <w:ilvl w:val="1"/>
          <w:numId w:val="3"/>
        </w:numPr>
        <w:ind w:firstLine="709" w:left="0"/>
        <w:rPr>
          <w:b w:val="false"/>
        </w:rPr>
      </w:pPr>
      <w:bookmarkStart w:id="43" w:name="__RefHeading___Toc130549_1436044900"/>
      <w:bookmarkStart w:id="44" w:name="_Toc227246040"/>
      <w:bookmarkEnd w:id="43"/>
      <w:r>
        <w:rPr/>
        <w:t>Дополнительные</w:t>
      </w:r>
      <w:r>
        <w:rPr>
          <w:b w:val="false"/>
        </w:rPr>
        <w:t xml:space="preserve"> </w:t>
      </w:r>
      <w:r>
        <w:rPr/>
        <w:t>затраты к стоимости СМР</w:t>
      </w:r>
      <w:bookmarkEnd w:id="44"/>
    </w:p>
    <w:p>
      <w:pPr>
        <w:pStyle w:val="Style36"/>
        <w:rPr/>
      </w:pPr>
      <w:r>
        <w:rPr/>
        <w:t>Кроме стоимости основных объемов работ в цену заявки необходимо включить следующие затраты:</w:t>
      </w:r>
    </w:p>
    <w:p>
      <w:pPr>
        <w:pStyle w:val="Style36"/>
        <w:numPr>
          <w:ilvl w:val="0"/>
          <w:numId w:val="8"/>
        </w:numPr>
        <w:ind w:hanging="0" w:left="1134"/>
        <w:rPr/>
      </w:pPr>
      <w:bookmarkStart w:id="45" w:name="_Toc131857500"/>
      <w:bookmarkStart w:id="46" w:name="_Toc133252996"/>
      <w:bookmarkStart w:id="47" w:name="_Toc132019380"/>
      <w:r>
        <w:rPr/>
        <w:t>Затраты, связанные с проездом до места строительства, доставкой вахтовых работников на объект, выплат, связанных с вахтовым методом производства работ;</w:t>
      </w:r>
      <w:bookmarkEnd w:id="45"/>
      <w:bookmarkEnd w:id="46"/>
      <w:bookmarkEnd w:id="47"/>
    </w:p>
    <w:p>
      <w:pPr>
        <w:pStyle w:val="Style36"/>
        <w:numPr>
          <w:ilvl w:val="0"/>
          <w:numId w:val="8"/>
        </w:numPr>
        <w:ind w:hanging="0" w:left="1134"/>
        <w:rPr/>
      </w:pPr>
      <w:r>
        <w:rPr/>
        <w:t>Командировочные затраты;</w:t>
      </w:r>
    </w:p>
    <w:p>
      <w:pPr>
        <w:pStyle w:val="Style36"/>
        <w:numPr>
          <w:ilvl w:val="0"/>
          <w:numId w:val="8"/>
        </w:numPr>
        <w:ind w:hanging="0" w:left="1134"/>
        <w:rPr/>
      </w:pPr>
      <w:r>
        <w:rPr/>
        <w:t>Затраты на перебазировку строительной техники (компенсация затрат на перебазировку строительной техники осуществляется на основании приказа Минстроя от 13.12.2021 №916/пр);</w:t>
      </w:r>
    </w:p>
    <w:p>
      <w:pPr>
        <w:pStyle w:val="Style36"/>
        <w:numPr>
          <w:ilvl w:val="0"/>
          <w:numId w:val="8"/>
        </w:numPr>
        <w:ind w:hanging="0" w:left="1134"/>
        <w:rPr/>
      </w:pPr>
      <w:r>
        <w:rPr/>
        <w:t>Затраты на банковскую гарантию;</w:t>
      </w:r>
    </w:p>
    <w:p>
      <w:pPr>
        <w:pStyle w:val="Style36"/>
        <w:numPr>
          <w:ilvl w:val="0"/>
          <w:numId w:val="8"/>
        </w:numPr>
        <w:rPr/>
      </w:pPr>
      <w:r>
        <w:rPr/>
        <w:t>Затраты на зимнее удорожание – определяются расчетом;</w:t>
      </w:r>
    </w:p>
    <w:p>
      <w:pPr>
        <w:pStyle w:val="Style36"/>
        <w:numPr>
          <w:ilvl w:val="0"/>
          <w:numId w:val="8"/>
        </w:numPr>
        <w:rPr/>
      </w:pPr>
      <w:r>
        <w:rPr/>
        <w:t>Затраты на временные здания и сооружения - 2,96%;</w:t>
      </w:r>
    </w:p>
    <w:p>
      <w:pPr>
        <w:pStyle w:val="Style36"/>
        <w:numPr>
          <w:ilvl w:val="0"/>
          <w:numId w:val="8"/>
        </w:numPr>
        <w:ind w:hanging="0" w:left="1134"/>
        <w:rPr/>
      </w:pPr>
      <w:r>
        <w:rPr/>
        <w:t>3% на непредвиденные затраты.</w:t>
      </w:r>
    </w:p>
    <w:p>
      <w:pPr>
        <w:pStyle w:val="111"/>
        <w:numPr>
          <w:ilvl w:val="0"/>
          <w:numId w:val="3"/>
        </w:numPr>
        <w:ind w:hanging="0" w:left="0"/>
        <w:rPr/>
      </w:pPr>
      <w:bookmarkStart w:id="48" w:name="__RefHeading___Toc130551_1436044900"/>
      <w:bookmarkStart w:id="49" w:name="_Toc227246041"/>
      <w:bookmarkStart w:id="50" w:name="_Toc51339693"/>
      <w:bookmarkStart w:id="51" w:name="_Toc132019381"/>
      <w:bookmarkStart w:id="52" w:name="_Toc131857501"/>
      <w:bookmarkStart w:id="53" w:name="_Toc133229886"/>
      <w:bookmarkStart w:id="54" w:name="_Toc133230638"/>
      <w:bookmarkEnd w:id="48"/>
      <w:bookmarkEnd w:id="51"/>
      <w:bookmarkEnd w:id="52"/>
      <w:bookmarkEnd w:id="53"/>
      <w:bookmarkEnd w:id="54"/>
      <w:r>
        <w:rPr/>
        <w:t>Требования к продукции</w:t>
      </w:r>
      <w:bookmarkEnd w:id="49"/>
      <w:bookmarkEnd w:id="50"/>
    </w:p>
    <w:p>
      <w:pPr>
        <w:pStyle w:val="Style36"/>
        <w:rPr/>
      </w:pPr>
      <w:r>
        <w:rPr/>
      </w:r>
    </w:p>
    <w:p>
      <w:pPr>
        <w:pStyle w:val="Heading4"/>
        <w:numPr>
          <w:ilvl w:val="1"/>
          <w:numId w:val="3"/>
        </w:numPr>
        <w:ind w:firstLine="709" w:left="0"/>
        <w:rPr/>
      </w:pPr>
      <w:bookmarkStart w:id="55" w:name="__RefHeading___Toc130553_1436044900"/>
      <w:bookmarkStart w:id="56" w:name="_Toc227246042"/>
      <w:bookmarkEnd w:id="55"/>
      <w:r>
        <w:rPr/>
        <w:t xml:space="preserve">Требования </w:t>
      </w:r>
      <w:r>
        <w:rPr>
          <w:lang w:val="ru-RU"/>
        </w:rPr>
        <w:t>по</w:t>
      </w:r>
      <w:r>
        <w:rPr/>
        <w:t xml:space="preserve"> объемам и срокам</w:t>
      </w:r>
      <w:bookmarkEnd w:id="56"/>
    </w:p>
    <w:p>
      <w:pPr>
        <w:pStyle w:val="Heading3"/>
        <w:numPr>
          <w:ilvl w:val="2"/>
          <w:numId w:val="3"/>
        </w:numPr>
        <w:rPr>
          <w:b/>
        </w:rPr>
      </w:pPr>
      <w:bookmarkStart w:id="57" w:name="__RefHeading___Toc130555_1436044900"/>
      <w:bookmarkStart w:id="58" w:name="_Toc227246043"/>
      <w:bookmarkEnd w:id="57"/>
      <w:r>
        <w:rPr>
          <w:b/>
        </w:rPr>
        <w:t>Требования к видам и объемам поставок</w:t>
      </w:r>
      <w:r>
        <w:rPr>
          <w:b/>
          <w:lang w:val="ru-RU"/>
        </w:rPr>
        <w:t xml:space="preserve"> МТР</w:t>
      </w:r>
      <w:r>
        <w:rPr>
          <w:b/>
        </w:rPr>
        <w:t>, работ.</w:t>
      </w:r>
      <w:bookmarkEnd w:id="58"/>
    </w:p>
    <w:p>
      <w:pPr>
        <w:pStyle w:val="Style36"/>
        <w:rPr>
          <w:rFonts w:eastAsia="Calibri"/>
          <w:b/>
          <w:color w:val="auto"/>
        </w:rPr>
      </w:pPr>
      <w:bookmarkStart w:id="59" w:name="_Toc51339695_Копия_1"/>
      <w:bookmarkStart w:id="60" w:name="_Toc51339695"/>
      <w:bookmarkEnd w:id="59"/>
      <w:bookmarkEnd w:id="60"/>
      <w:r>
        <w:rPr>
          <w:rFonts w:eastAsia="Calibri"/>
          <w:b/>
          <w:color w:val="auto"/>
          <w:lang w:val="x-none"/>
        </w:rPr>
        <w:t>Таблица 2.1 Перечень и объем выполняемых работ</w:t>
      </w:r>
      <w:r>
        <w:rPr>
          <w:rFonts w:eastAsia="Calibri"/>
          <w:b/>
          <w:color w:val="auto"/>
        </w:rPr>
        <w:t>*</w:t>
      </w:r>
    </w:p>
    <w:tbl>
      <w:tblPr>
        <w:tblW w:w="10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1"/>
        <w:gridCol w:w="5627"/>
        <w:gridCol w:w="947"/>
        <w:gridCol w:w="2503"/>
      </w:tblGrid>
      <w:tr>
        <w:trPr>
          <w:trHeight w:val="408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0000"/>
                <w:sz w:val="24"/>
                <w:szCs w:val="24"/>
              </w:rPr>
              <w:t>Ед.</w:t>
              <w:br/>
              <w:t>изм.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Кол-во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устройству железнодорожных путей.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железнодорожной автоматики и телемеханики.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устройству вспомогательных сооружений: железнодорожные весы, модульные компрессорные, ЭЦ-ТМ, высокомачтовые осветительные установки, АСКО СВ.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сетей связи. Двусторонняя парковая связь.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сетей связи. АСКО СВ. Железнодорожные весы.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сетей электроснабжения и электроосвещения железнодорожной инфраструктуры.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Технологические решения системы очистки стрелочных переводов от снега.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Технологические решения пункта ТО и экипировки локомотивов.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Технологические решения железнодорожных весов. АСКО СВ.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устройству здания теплой стоянки локомотивов, здания ТО и экипировки локомотивов (конструктивные решения).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устройству вспомогательных сооружений: пробоотборник, склад сухого песка (конструктивные решения).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устройству здания теплой стоянки локомотивов, здания ТО и экипировки локомотивов (объёмно-планировочные и архитектурные решения).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устройству вспомогательных сооружений: пробоотборник, склад сухого песка (объёмно-планировочные и архитектурные решения).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системы электроснабжения зданий и сооружений железнодорожной инфраструктуры.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системы водоснабжения здания ТО и экипировки локомотивов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системы водоотведения здания ТО и экипировки локомотивов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системы отопления, вентиляции и кондиционирования воздуха, тепловых сетей здания теплой стоянки локомотивов, здания ТО и экипировки локомотивов.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системы пожарной автоматики железнодорожной</w:t>
            </w:r>
          </w:p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инфраструктуры.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системы противопожарного водоснабжения здания ТО и экипировки локомотивов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сетей связи здания теплой стоянки локомотивов, здания ТО и экипировки локомотивов.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  <w:tr>
        <w:trPr>
          <w:trHeight w:val="341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1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механического оборудования и стальных конструкций здания ТО и экипировки локомотивов.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</w:tbl>
    <w:p>
      <w:pPr>
        <w:pStyle w:val="ListParagraph"/>
        <w:tabs>
          <w:tab w:val="clear" w:pos="708"/>
          <w:tab w:val="left" w:pos="1403" w:leader="none"/>
        </w:tabs>
        <w:ind w:left="-142"/>
        <w:jc w:val="both"/>
        <w:rPr/>
      </w:pPr>
      <w:r>
        <w:rPr>
          <w:bCs/>
          <w:sz w:val="20"/>
          <w:szCs w:val="20"/>
        </w:rPr>
        <w:t>* Ведомость объемов может быть уточнена на этапе исполнения договора на основании выданной в производство работ Рабочей документации.</w:t>
      </w:r>
    </w:p>
    <w:p>
      <w:pPr>
        <w:pStyle w:val="ListParagraph"/>
        <w:tabs>
          <w:tab w:val="clear" w:pos="708"/>
          <w:tab w:val="left" w:pos="1403" w:leader="none"/>
        </w:tabs>
        <w:ind w:left="-142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</w:r>
    </w:p>
    <w:p>
      <w:pPr>
        <w:pStyle w:val="Style36"/>
        <w:rPr>
          <w:rFonts w:eastAsia="Calibri"/>
          <w:b/>
          <w:color w:val="auto"/>
        </w:rPr>
      </w:pPr>
      <w:bookmarkStart w:id="61" w:name="_Toc51339695_Копия_1_Копия_1"/>
      <w:bookmarkStart w:id="62" w:name="_Toc51339695_Копия_1_Копия_1_Копия_1"/>
      <w:bookmarkEnd w:id="61"/>
      <w:bookmarkEnd w:id="62"/>
      <w:r>
        <w:rPr>
          <w:rFonts w:eastAsia="Calibri"/>
          <w:b/>
          <w:color w:val="auto"/>
          <w:lang w:val="x-none"/>
        </w:rPr>
        <w:t>Таблица 2.2 Перечень и объем закупаемого оборудования Подрядчиком</w:t>
      </w:r>
      <w:r>
        <w:rPr>
          <w:rFonts w:eastAsia="Calibri"/>
          <w:b/>
          <w:color w:val="auto"/>
        </w:rPr>
        <w:t>*</w:t>
      </w:r>
    </w:p>
    <w:p>
      <w:pPr>
        <w:pStyle w:val="Style36"/>
        <w:rPr>
          <w:rFonts w:eastAsia="Calibri"/>
          <w:b/>
          <w:color w:val="auto"/>
        </w:rPr>
      </w:pPr>
      <w:r>
        <w:rPr>
          <w:rFonts w:eastAsia="Calibri"/>
          <w:b/>
          <w:color w:val="auto"/>
        </w:rPr>
      </w:r>
    </w:p>
    <w:tbl>
      <w:tblPr>
        <w:tblW w:w="10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1"/>
        <w:gridCol w:w="5627"/>
        <w:gridCol w:w="947"/>
        <w:gridCol w:w="2503"/>
      </w:tblGrid>
      <w:tr>
        <w:trPr>
          <w:trHeight w:val="408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9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0000"/>
                <w:sz w:val="24"/>
                <w:szCs w:val="24"/>
              </w:rPr>
              <w:t>Ед.</w:t>
              <w:br/>
              <w:t>изм.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Кол-во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288" w:hRule="atLeast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  <w:numId w:val="12"/>
              </w:numPr>
              <w:jc w:val="center"/>
              <w:rPr/>
            </w:pPr>
            <w:r>
              <w:rPr/>
            </w:r>
          </w:p>
        </w:tc>
        <w:tc>
          <w:tcPr>
            <w:tcW w:w="5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8"/>
              <w:jc w:val="both"/>
              <w:rPr/>
            </w:pPr>
            <w:r>
              <w:rPr>
                <w:sz w:val="24"/>
                <w:szCs w:val="24"/>
              </w:rPr>
              <w:t>ОКПД2 27.90.70 Комплект оборудования железнодорожной инфраструктуры и систем жизнеобеспечения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компл.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 №1 к ТТ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994" w:footer="0" w:bottom="567"/>
          <w:pgNumType w:fmt="decimal"/>
          <w:formProt w:val="false"/>
          <w:titlePg/>
          <w:textDirection w:val="lrTb"/>
          <w:docGrid w:type="default" w:linePitch="360" w:charSpace="0"/>
        </w:sectPr>
        <w:pStyle w:val="ListParagraph"/>
        <w:tabs>
          <w:tab w:val="clear" w:pos="708"/>
          <w:tab w:val="left" w:pos="1403" w:leader="none"/>
        </w:tabs>
        <w:ind w:left="-142"/>
        <w:jc w:val="both"/>
        <w:rPr/>
      </w:pPr>
      <w:r>
        <w:rPr>
          <w:bCs/>
          <w:sz w:val="20"/>
          <w:szCs w:val="20"/>
        </w:rPr>
        <w:t>* Ведомость поставки оборудования может быть уточнена на этапе исполнения договора на основании выданной в производство работ Рабочей документации.</w:t>
      </w:r>
    </w:p>
    <w:p>
      <w:pPr>
        <w:pStyle w:val="Heading3"/>
        <w:numPr>
          <w:ilvl w:val="2"/>
          <w:numId w:val="3"/>
        </w:numPr>
        <w:rPr>
          <w:b/>
        </w:rPr>
      </w:pPr>
      <w:bookmarkStart w:id="63" w:name="__RefHeading___Toc130557_1436044900"/>
      <w:bookmarkStart w:id="64" w:name="_Toc227246044"/>
      <w:bookmarkStart w:id="65" w:name="_Toc51339696"/>
      <w:bookmarkEnd w:id="63"/>
      <w:r>
        <w:rPr>
          <w:b/>
        </w:rPr>
        <w:t xml:space="preserve">Требования </w:t>
      </w:r>
      <w:bookmarkEnd w:id="65"/>
      <w:r>
        <w:rPr>
          <w:b/>
        </w:rPr>
        <w:t xml:space="preserve">к срокам поставки </w:t>
      </w:r>
      <w:r>
        <w:rPr>
          <w:b/>
          <w:lang w:val="ru-RU"/>
        </w:rPr>
        <w:t>МТР</w:t>
      </w:r>
      <w:r>
        <w:rPr>
          <w:b/>
        </w:rPr>
        <w:t>, выполнению работ</w:t>
      </w:r>
      <w:bookmarkEnd w:id="64"/>
    </w:p>
    <w:p>
      <w:pPr>
        <w:pStyle w:val="Style36"/>
        <w:rPr/>
      </w:pPr>
      <w:r>
        <w:rPr/>
      </w:r>
    </w:p>
    <w:p>
      <w:pPr>
        <w:pStyle w:val="Heading1"/>
        <w:ind w:firstLine="709" w:left="0"/>
        <w:rPr/>
      </w:pPr>
      <w:bookmarkStart w:id="66" w:name="__RefHeading___Toc130559_1436044900"/>
      <w:bookmarkStart w:id="67" w:name="_Toc165976546"/>
      <w:bookmarkStart w:id="68" w:name="_Toc227246045"/>
      <w:bookmarkStart w:id="69" w:name="_Toc51339697"/>
      <w:bookmarkStart w:id="70" w:name="_Toc50125127"/>
      <w:bookmarkStart w:id="71" w:name="_Hlk50465284"/>
      <w:bookmarkStart w:id="72" w:name="_Toc50125126_Копия_1"/>
      <w:bookmarkEnd w:id="66"/>
      <w:bookmarkEnd w:id="72"/>
      <w:r>
        <w:rPr/>
        <w:t>Таблица 3</w:t>
      </w:r>
      <w:r>
        <w:rPr>
          <w:lang w:val="ru-RU"/>
        </w:rPr>
        <w:t xml:space="preserve">. </w:t>
      </w:r>
      <w:r>
        <w:rPr/>
        <w:t xml:space="preserve">Требования </w:t>
      </w:r>
      <w:bookmarkEnd w:id="69"/>
      <w:bookmarkEnd w:id="70"/>
      <w:bookmarkEnd w:id="71"/>
      <w:r>
        <w:rPr/>
        <w:t>по срокам выполнения работ</w:t>
      </w:r>
      <w:bookmarkEnd w:id="67"/>
      <w:bookmarkEnd w:id="68"/>
    </w:p>
    <w:p>
      <w:pPr>
        <w:pStyle w:val="Style36"/>
        <w:rPr/>
      </w:pPr>
      <w:r>
        <w:rPr/>
      </w:r>
    </w:p>
    <w:tbl>
      <w:tblPr>
        <w:tblW w:w="15167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630"/>
        <w:gridCol w:w="6740"/>
        <w:gridCol w:w="2859"/>
        <w:gridCol w:w="3937"/>
      </w:tblGrid>
      <w:tr>
        <w:trPr>
          <w:trHeight w:val="2277" w:hRule="atLeast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bookmarkStart w:id="73" w:name="_Toc46743510_Копия_1"/>
            <w:bookmarkEnd w:id="73"/>
            <w:r>
              <w:rPr>
                <w:b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Наименование работ (вид / этап (работ)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началу срока выполнения работ (этапа работ)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окончанию срока выполнения работ (этапа работ)</w:t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устройству железнодорожных путей.</w:t>
            </w:r>
          </w:p>
        </w:tc>
        <w:tc>
          <w:tcPr>
            <w:tcW w:w="28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(тринадцать) месяцев с даты заключения договора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железнодорожной автоматики и телемеханики.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устройству вспомогательных сооружений: железнодорожные весы, модульные компрессорные, ЭЦ-ТМ, высокомачтовые осветительные установки, АСКО СВ.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сетей связи. Двусторонняя парковая связь.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сетей связи. АСКО СВ. Железнодорожные весы.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сетей электроснабжения и электроосвещения железнодорожной инфраструктуры.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Технологические решения системы очистки стрелочных переводов от снега.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Технологические решения пункта ТО и экипировки локомотивов.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Технологические решения железнодорожных весов. АСКО СВ.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устройству здания теплой стоянки локомотивов, здания ТО и экипировки локомотивов (конструктивные решения).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устройству вспомогательных сооружений: пробоотборник, склад сухого песка (конструктивные решения).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устройству здания теплой стоянки локомотивов, здания ТО и экипировки локомотивов (объёмно-планировочные и архитектурные решения).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устройству вспомогательных сооружений: пробоотборник, склад сухого песка (объёмно-планировочные и архитектурные решения).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системы электроснабжения зданий и сооружений железнодорожной инфраструктуры.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системы водоснабжения здания ТО и экипировки локомотивов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троительно-монтажные работы по монтажу системы водоотведения здания ТО и экипировки локомотивов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системы отопления, вентиляции и кондиционирования воздуха, тепловых сетей здания теплой стоянки локомотивов, здания ТО и экипировки локомотивов.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системы пожарной автоматики железнодорожной</w:t>
            </w:r>
          </w:p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инфраструктуры.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системы противопожарного водоснабжения здания ТО и экипировки локомотивов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сетей связи здания теплой стоянки локомотивов, здания ТО и экипировки локомотивов.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14" w:hRule="atLeast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57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6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Строительно-монтажные работы по монтажу механического оборудования и стальных конструкций здания ТО и экипировки локомотивов.</w:t>
            </w:r>
          </w:p>
        </w:tc>
        <w:tc>
          <w:tcPr>
            <w:tcW w:w="28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Style36"/>
        <w:ind w:hanging="0"/>
        <w:rPr/>
      </w:pPr>
      <w:r>
        <w:rPr/>
      </w:r>
    </w:p>
    <w:p>
      <w:pPr>
        <w:pStyle w:val="Heading4"/>
        <w:numPr>
          <w:ilvl w:val="1"/>
          <w:numId w:val="3"/>
        </w:numPr>
        <w:ind w:firstLine="709" w:left="0"/>
        <w:rPr/>
      </w:pPr>
      <w:bookmarkStart w:id="74" w:name="__RefHeading___Toc130561_1436044900"/>
      <w:bookmarkStart w:id="75" w:name="_Toc50125131"/>
      <w:bookmarkStart w:id="76" w:name="_Toc227246046"/>
      <w:bookmarkStart w:id="77" w:name="_Toc51339698"/>
      <w:bookmarkEnd w:id="74"/>
      <w:r>
        <w:rPr/>
        <w:t>Требования к качеству продукции</w:t>
      </w:r>
      <w:bookmarkEnd w:id="75"/>
      <w:bookmarkEnd w:id="76"/>
      <w:bookmarkEnd w:id="77"/>
    </w:p>
    <w:p>
      <w:pPr>
        <w:pStyle w:val="Style36"/>
        <w:rPr/>
      </w:pPr>
      <w:r>
        <w:rPr/>
      </w:r>
    </w:p>
    <w:p>
      <w:pPr>
        <w:pStyle w:val="Heading1"/>
        <w:rPr/>
      </w:pPr>
      <w:bookmarkStart w:id="78" w:name="__RefHeading___Toc130563_1436044900"/>
      <w:bookmarkStart w:id="79" w:name="_Toc227246047"/>
      <w:bookmarkStart w:id="80" w:name="_Toc165976548"/>
      <w:bookmarkEnd w:id="78"/>
      <w:r>
        <w:rPr/>
        <w:t>Таблица </w:t>
      </w:r>
      <w:r>
        <w:rPr>
          <w:lang w:val="ru-RU"/>
        </w:rPr>
        <w:t xml:space="preserve">4. </w:t>
      </w:r>
      <w:r>
        <w:rPr/>
        <w:t>Требования к качеству продукции</w:t>
      </w:r>
      <w:bookmarkEnd w:id="79"/>
      <w:bookmarkEnd w:id="80"/>
      <w:r>
        <w:rPr/>
        <w:t xml:space="preserve"> </w:t>
      </w:r>
    </w:p>
    <w:p>
      <w:pPr>
        <w:pStyle w:val="Heading1"/>
        <w:rPr>
          <w:b w:val="false"/>
          <w:lang w:val="ru-RU"/>
        </w:rPr>
      </w:pPr>
      <w:bookmarkStart w:id="81" w:name="__RefHeading___Toc130565_1436044900"/>
      <w:bookmarkStart w:id="82" w:name="_Toc227244340"/>
      <w:bookmarkStart w:id="83" w:name="_Toc227246048"/>
      <w:bookmarkEnd w:id="81"/>
      <w:r>
        <w:rPr/>
        <w:t>Наименование продукции (МТР, работ (этапа работ)</w:t>
      </w:r>
      <w:r>
        <w:rPr>
          <w:lang w:val="ru-RU"/>
        </w:rPr>
        <w:t>:</w:t>
      </w:r>
      <w:r>
        <w:rPr/>
        <w:t xml:space="preserve"> </w:t>
      </w:r>
      <w:bookmarkEnd w:id="82"/>
      <w:bookmarkEnd w:id="83"/>
      <w:r>
        <w:rPr/>
        <w:t>Выполнение комплекса строительно-монтажных работ по устройству железнодорожного пути и вспомогательных сооружений в рамках 2-ого этапа Развитие железнодорожного пути необщего пользования СП «Нерюнгринская ГРЭС» АО «ДГК» инвестиционного проекта «Строительство 2-й очереди Нерюнгринской ГРЭС» для нужд филиала ПАО «РусГидро» – «Хабаровский»</w:t>
      </w:r>
    </w:p>
    <w:p>
      <w:pPr>
        <w:pStyle w:val="Style36"/>
        <w:rPr/>
      </w:pPr>
      <w:r>
        <w:rPr/>
      </w:r>
    </w:p>
    <w:tbl>
      <w:tblPr>
        <w:tblStyle w:val="2e"/>
        <w:tblW w:w="1530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7"/>
        <w:gridCol w:w="4525"/>
        <w:gridCol w:w="2843"/>
        <w:gridCol w:w="2839"/>
        <w:gridCol w:w="3679"/>
      </w:tblGrid>
      <w:tr>
        <w:trPr/>
        <w:tc>
          <w:tcPr>
            <w:tcW w:w="141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5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8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14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5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9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679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525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843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9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679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3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</w:t>
            </w:r>
          </w:p>
        </w:tc>
        <w:tc>
          <w:tcPr>
            <w:tcW w:w="2839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679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73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  <w:tc>
          <w:tcPr>
            <w:tcW w:w="2839" w:type="dxa"/>
            <w:tcBorders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679" w:type="dxa"/>
            <w:tcBorders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lang w:val="ru-RU" w:eastAsia="ru-RU" w:bidi="ar-SA"/>
              </w:rPr>
              <w:t>Проектная документация согласно приложению №1 к ТТ</w:t>
            </w:r>
          </w:p>
        </w:tc>
        <w:tc>
          <w:tcPr>
            <w:tcW w:w="28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Отступления согласовываются с автором проекта и заказчиком. Подрядчиком при исполнении договора может быть применена эквивалентная продукция, предварительно согласованная с Заказчиком. В случае, если на этапе исполнения договора Подрядчиком, вместо материалов конкретных торговых знаков, марок и/или наименований, указанных в ведомости поставки Подрядчика будут применяться эквивалентные материалы, Подрядчик после согласования с Заказчиком, вносит изменения в сметную документацию, в лимитах общей стоимости по Договору</w:t>
            </w:r>
          </w:p>
        </w:tc>
        <w:tc>
          <w:tcPr>
            <w:tcW w:w="28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367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lang w:val="ru-RU" w:eastAsia="ru-RU" w:bidi="ar-SA"/>
              </w:rPr>
              <w:t>Постановление Правительства РФ от 16.09.2020 №1479 (ред. от 31.12.2020) "Об утверждении Правил противопожарного режима в Российской Федерации"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lang w:val="ru-RU" w:eastAsia="ru-RU" w:bidi="ar-SA"/>
              </w:rPr>
              <w:t>Свод правил СП 48.13330.2019 «Организация строительства. Актуализированная редакция СНиП 12-01-2004»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lang w:val="ru-RU" w:eastAsia="ru-RU" w:bidi="ar-SA"/>
              </w:rPr>
              <w:t>Свод правил СП 49.13330.2010 «СНиП 12-03-2001 «Безопасность труда в строительстве»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lang w:val="ru-RU" w:eastAsia="ru-RU" w:bidi="ar-SA"/>
              </w:rPr>
              <w:t>Свод правил СП 261.1325800.2016 «Железнодорожный путь промышленного транспорта».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lang w:val="ru-RU" w:eastAsia="ru-RU" w:bidi="ar-SA"/>
              </w:rPr>
              <w:t>Строительных норм и правил СНиП 12-04-2002 «Безопасность труда в строительстве. Часть 2. Строительное производство»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lang w:val="ru-RU" w:eastAsia="ru-RU" w:bidi="ar-SA"/>
              </w:rPr>
              <w:t>Федеральный закон «Технический регламент о требованиях пожарной безопасности» №123 от 22.07.2008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lang w:val="ru-RU" w:eastAsia="ru-RU" w:bidi="ar-SA"/>
              </w:rPr>
              <w:t>Градостроительный кодекс Российской Федерации» от 29.12.2004 №190-ФЗ</w:t>
            </w:r>
          </w:p>
        </w:tc>
        <w:tc>
          <w:tcPr>
            <w:tcW w:w="2843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Федеральный закон Российской Федерации от 10.01.2002 № 7-ФЗ «Об охране окружающей среды</w:t>
            </w:r>
          </w:p>
        </w:tc>
        <w:tc>
          <w:tcPr>
            <w:tcW w:w="2843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lang w:val="ru-RU" w:eastAsia="ru-RU" w:bidi="ar-SA"/>
              </w:rPr>
              <w:t>Федерального закона «О техническом регулировании» № 184-ФЗ от 27.12.2002</w:t>
            </w:r>
          </w:p>
        </w:tc>
        <w:tc>
          <w:tcPr>
            <w:tcW w:w="2843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lang w:val="ru-RU" w:eastAsia="ru-RU" w:bidi="ar-SA"/>
              </w:rPr>
              <w:t>Санитарно-эпидемиологических правил и нормативов "Гигиенические требования к организации строительного производства и строительных работ. СанПиН 2.2.3.1384-03", утвержденные постановлением Главного государственного санитарного врача Российской Федерации от 11.06.2003 №141</w:t>
            </w:r>
          </w:p>
        </w:tc>
        <w:tc>
          <w:tcPr>
            <w:tcW w:w="2843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Требования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от 30 декабря №384-ФЗ «Технический регламент о безопасности зданий и сооружений».</w:t>
            </w:r>
          </w:p>
        </w:tc>
        <w:tc>
          <w:tcPr>
            <w:tcW w:w="2843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000000"/>
                <w:kern w:val="0"/>
                <w:lang w:val="ru-RU" w:eastAsia="ru-RU" w:bidi="ar-SA"/>
              </w:rPr>
              <w:t xml:space="preserve">Свод правил </w:t>
            </w:r>
            <w:r>
              <w:rPr>
                <w:rFonts w:cs="Times New Roman"/>
                <w:kern w:val="0"/>
                <w:lang w:val="ru-RU" w:eastAsia="ru-RU" w:bidi="ar-SA"/>
              </w:rPr>
              <w:t>СП 236.1326000.2015 «Приемка и ввод в эксплуатацию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объектов инфраструктуры железнодорожного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транспорта».</w:t>
            </w:r>
          </w:p>
        </w:tc>
        <w:tc>
          <w:tcPr>
            <w:tcW w:w="2843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34" w:leader="none"/>
                <w:tab w:val="left" w:pos="1134" w:leader="none"/>
              </w:tabs>
              <w:suppressAutoHyphens w:val="true"/>
              <w:spacing w:before="0" w:after="0"/>
              <w:ind w:hanging="26" w:left="26"/>
              <w:contextualSpacing w:val="false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Иные межгосударственные и национальные стандарты, своды правил и нормативные документы в области проектирования и строительства объектов инфраструктуры железнодорожного транспорта, применяемые на добровольной основе.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3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порядку приемки результатов работ</w:t>
            </w:r>
          </w:p>
        </w:tc>
        <w:tc>
          <w:tcPr>
            <w:tcW w:w="2839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679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Соответствие Разделу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5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проекта Договора.</w:t>
            </w:r>
          </w:p>
        </w:tc>
        <w:tc>
          <w:tcPr>
            <w:tcW w:w="284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367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3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</w:t>
            </w:r>
          </w:p>
        </w:tc>
        <w:tc>
          <w:tcPr>
            <w:tcW w:w="2839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679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обязан обеспечить наличие системы контроля качества работ с приложением копии приказов о назначении ответственных лиц за организацию контроля качества, инструкций, а также сведений о наличии в штате специалистов, состоящих в НРС.</w:t>
            </w:r>
          </w:p>
        </w:tc>
        <w:tc>
          <w:tcPr>
            <w:tcW w:w="2843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367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обязан обеспечить работников средствами индивидуальной защиты.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течении 7 (семи) календарных дней с даты заключения Договора разработать и направить в адрес Заказчика ППР на выполнение работ согласно п. 1 - 22 Таблицы 3 настоящих ТТ. Оформление ППР должно соответствовать требованиям СП 48.13330.2019 «Организация строительства», МДС 12-81.2007 «Методические рекомендации по разработке и оформлению проекта организации строительства и проекта производства работ».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контролю качества работ и материалов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Материалы поставки Подрядчика должны быть поставлены в упаковке производителя, не нарушенной, без следов воздействия влаги. Упаковка и/или тара должна обеспечивать их сохранность от всякого рода повреждений при перевозке любыми видами транспорта, предохранять поставляемые материалы от внешних воздействий, а также обеспечивать их сохранность при проведении.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Все поставляемые и применяемые Подрядчиком на объекте строительные материалы, оборудование, изделия должны соответствовать рабочей документации), должны быть пригодными для использования, иметь действующие сертификаты, технические паспорта и протоколы испытаний и разрешены для использования на территории РФ на русском языке.</w:t>
            </w:r>
          </w:p>
        </w:tc>
        <w:tc>
          <w:tcPr>
            <w:tcW w:w="28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обязан вести входной контроль применяемых строительных материалов, изделий, конструкций и оборудования в соответствии с СП 48.13330.2019, ГОСТ 24297-2013 с заполнением советующего журнала.</w:t>
            </w:r>
          </w:p>
        </w:tc>
        <w:tc>
          <w:tcPr>
            <w:tcW w:w="28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обязан обеспечить операционный контроль за качеством выполняемых работ, который осуществляется назначенным по приказу представителем Подрядчика и представителем Заказчика. Данные пооперационного контроля должны фиксироваться в журнале производства работ.</w:t>
            </w:r>
          </w:p>
        </w:tc>
        <w:tc>
          <w:tcPr>
            <w:tcW w:w="28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Поставка, погрузка, разгрузка продукции на площадке строительства осуществляется силами и средствами Поставщика или привлеченной транспортной компанией.</w:t>
            </w:r>
          </w:p>
        </w:tc>
        <w:tc>
          <w:tcPr>
            <w:tcW w:w="28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обязан вести входной контроль применяемых строительных материалов, изделий, конструкций и оборудования с заполнением советующего журнала.</w:t>
            </w:r>
          </w:p>
        </w:tc>
        <w:tc>
          <w:tcPr>
            <w:tcW w:w="28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обязан обеспечить операционный контроль за качеством выполняемых работ, который осуществляется назначенным по приказу представителем Подрядчика и представителем Заказчика. Данные пооперационного контроля должны фиксироваться в журнале производства работ.</w:t>
            </w:r>
          </w:p>
        </w:tc>
        <w:tc>
          <w:tcPr>
            <w:tcW w:w="28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подрядчика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34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иметь в наличии (либо декларировать привлечение) минимально необходимое для исполнения договора количество квалифицированного персонала (оформленного в соответствии с Гражданским Кодексом Российской Федерации или привлекаемого по трудовым либо гражданско-правовым договорам, либо планируемого к привлечению):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прораб (производитель работ) – не менее 1 чел. (включенный в Национальный реестр специалистов в области строительства);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геодезист– не менее 1 чел.;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монтер пути не менее 4 разряда– не менее 1 чел.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right="34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Заявленный персонал должен пройти обучение безопасным методам и приемам выполнения работ, иметь действующие удостоверения и/или протоколы: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hanging="283" w:left="327" w:right="34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 проверке знаний требований охраны труда (далее – ОТ)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327" w:leader="none"/>
              </w:tabs>
              <w:suppressAutoHyphens w:val="true"/>
              <w:spacing w:before="0" w:after="0"/>
              <w:ind w:hanging="0" w:left="44" w:right="34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color w:val="000000" w:themeColor="text1"/>
                <w:kern w:val="0"/>
                <w:lang w:val="ru-RU" w:eastAsia="ru-RU" w:bidi="ar-SA"/>
              </w:rPr>
              <w:t>об аттестации по промышленной безопасности в необходимых для выполнения работ областях.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подрядчика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false"/>
              <w:spacing w:before="60" w:after="60"/>
              <w:ind w:hanging="0" w:left="18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5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Соответствие Разделу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9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 проекта Договора.</w:t>
            </w:r>
          </w:p>
        </w:tc>
        <w:tc>
          <w:tcPr>
            <w:tcW w:w="2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367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111"/>
        <w:numPr>
          <w:ilvl w:val="0"/>
          <w:numId w:val="3"/>
        </w:numPr>
        <w:ind w:hanging="0" w:left="0"/>
        <w:rPr/>
      </w:pPr>
      <w:bookmarkStart w:id="84" w:name="__RefHeading___Toc130567_1436044900"/>
      <w:bookmarkStart w:id="85" w:name="_Toc54646411"/>
      <w:bookmarkStart w:id="86" w:name="_Toc227246049"/>
      <w:bookmarkStart w:id="87" w:name="_Toc53393312"/>
      <w:bookmarkEnd w:id="84"/>
      <w:r>
        <w:rPr/>
        <w:t>Требования к документации по ценообразованию</w:t>
      </w:r>
      <w:bookmarkEnd w:id="87"/>
      <w:r>
        <w:rPr/>
        <w:t xml:space="preserve"> на этапе закупки</w:t>
      </w:r>
      <w:bookmarkEnd w:id="85"/>
      <w:bookmarkEnd w:id="86"/>
    </w:p>
    <w:p>
      <w:pPr>
        <w:pStyle w:val="Style36"/>
        <w:rPr/>
      </w:pPr>
      <w:r>
        <w:rPr/>
      </w:r>
    </w:p>
    <w:p>
      <w:pPr>
        <w:pStyle w:val="Style36"/>
        <w:rPr/>
      </w:pPr>
      <w:r>
        <w:rPr/>
        <w:t>3.1.</w:t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Style36"/>
        <w:rPr/>
      </w:pPr>
      <w:r>
        <w:rPr/>
        <w:t>3.2.</w:t>
        <w:tab/>
        <w:t>Дополнительные документы по ценообразованию (сметная документация) в состав заявки Участника не включается.</w:t>
      </w:r>
    </w:p>
    <w:p>
      <w:pPr>
        <w:pStyle w:val="Style36"/>
        <w:rPr/>
      </w:pPr>
      <w:r>
        <w:rPr/>
      </w:r>
    </w:p>
    <w:p>
      <w:pPr>
        <w:pStyle w:val="111"/>
        <w:numPr>
          <w:ilvl w:val="0"/>
          <w:numId w:val="3"/>
        </w:numPr>
        <w:ind w:hanging="0" w:left="0"/>
        <w:rPr/>
      </w:pPr>
      <w:bookmarkStart w:id="88" w:name="__RefHeading___Toc130569_1436044900"/>
      <w:bookmarkStart w:id="89" w:name="_Toc54646412"/>
      <w:bookmarkStart w:id="90" w:name="_Toc227246050"/>
      <w:bookmarkEnd w:id="88"/>
      <w:r>
        <w:rPr/>
        <w:t>Требования к документации по ценообразованию на этапе исполнения договора</w:t>
      </w:r>
      <w:bookmarkEnd w:id="89"/>
      <w:bookmarkEnd w:id="90"/>
    </w:p>
    <w:p>
      <w:pPr>
        <w:pStyle w:val="Style36"/>
        <w:rPr/>
      </w:pPr>
      <w:r>
        <w:rPr/>
      </w:r>
    </w:p>
    <w:p>
      <w:pPr>
        <w:pStyle w:val="Style36"/>
        <w:tabs>
          <w:tab w:val="clear" w:pos="708"/>
          <w:tab w:val="left" w:pos="1674" w:leader="none"/>
        </w:tabs>
        <w:rPr>
          <w:bCs/>
          <w:iCs/>
        </w:rPr>
      </w:pPr>
      <w:r>
        <w:rPr/>
        <w:t xml:space="preserve">4.1. </w:t>
      </w:r>
      <w:r>
        <w:rPr>
          <w:rFonts w:eastAsia="Calibri"/>
          <w:lang w:eastAsia="en-US"/>
        </w:rPr>
        <w:t>По результатам настоящей закупки заключается договор с предельной ценой.</w:t>
      </w:r>
      <w:r>
        <w:rPr>
          <w:rFonts w:eastAsia="Calibri"/>
          <w:i/>
          <w:lang w:eastAsia="en-US"/>
        </w:rPr>
        <w:t xml:space="preserve"> </w:t>
      </w:r>
      <w:r>
        <w:rPr>
          <w:bCs/>
          <w:iCs/>
        </w:rPr>
        <w:t xml:space="preserve">В рамках исполнения договора взаиморасчеты будут осуществляться по Смете договора, которая будет уточнена в соответствии с условиями договора и </w:t>
      </w:r>
      <w:r>
        <w:rPr/>
        <w:t>Требованиями к оформлению и составлению документации по ценообразованию</w:t>
      </w:r>
      <w:r>
        <w:rPr>
          <w:bCs/>
          <w:iCs/>
        </w:rPr>
        <w:t xml:space="preserve"> (приложение №2 к настоящим Техническим требованиям). </w:t>
      </w:r>
    </w:p>
    <w:p>
      <w:pPr>
        <w:pStyle w:val="Style36"/>
        <w:rPr>
          <w:bCs/>
          <w:iCs/>
        </w:rPr>
      </w:pPr>
      <w:r>
        <w:rPr>
          <w:bCs/>
          <w:iCs/>
        </w:rPr>
        <w:t>4.2. В случае если стоимость по сметной документации, получившей положительное заключение государственной экспертизы, будет превышать стоимость Договора, в ходе исполнения договора Подрядчику необходимо применить соответствующий понижающий коэффициент и откорректировать стоимость в сторону ее уменьшения.</w:t>
      </w:r>
    </w:p>
    <w:p>
      <w:pPr>
        <w:pStyle w:val="Style36"/>
        <w:rPr>
          <w:bCs/>
          <w:iCs/>
        </w:rPr>
      </w:pPr>
      <w:r>
        <w:rPr>
          <w:bCs/>
          <w:iCs/>
        </w:rPr>
        <w:t>4.3.</w:t>
        <w:tab/>
        <w:t>В случае если стоимость по сметной документации, получившей положительное заключение государственной экспертизы, будет меньше цены Договора, взаиморасчеты будут осуществляться по данной смете без увеличения стоимости.</w:t>
      </w:r>
    </w:p>
    <w:p>
      <w:pPr>
        <w:pStyle w:val="Style36"/>
        <w:rPr/>
      </w:pPr>
      <w:r>
        <w:rPr/>
      </w:r>
    </w:p>
    <w:p>
      <w:pPr>
        <w:pStyle w:val="111"/>
        <w:numPr>
          <w:ilvl w:val="0"/>
          <w:numId w:val="3"/>
        </w:numPr>
        <w:ind w:hanging="0" w:left="0"/>
        <w:rPr/>
      </w:pPr>
      <w:bookmarkStart w:id="91" w:name="__RefHeading___Toc130571_1436044900"/>
      <w:bookmarkStart w:id="92" w:name="_Toc227246051"/>
      <w:bookmarkStart w:id="93" w:name="_Toc46743519"/>
      <w:bookmarkStart w:id="94" w:name="_Toc54646413"/>
      <w:bookmarkStart w:id="95" w:name="_Toc51339699"/>
      <w:bookmarkEnd w:id="91"/>
      <w:r>
        <w:rPr/>
        <w:t>Приложения</w:t>
      </w:r>
      <w:bookmarkEnd w:id="92"/>
      <w:bookmarkEnd w:id="93"/>
      <w:bookmarkEnd w:id="94"/>
      <w:bookmarkEnd w:id="95"/>
    </w:p>
    <w:p>
      <w:pPr>
        <w:pStyle w:val="Style36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 w:left="142"/>
        <w:rPr/>
      </w:pPr>
      <w:r>
        <w:rPr/>
        <w:t>Приложение № 1: Проектная документация.</w:t>
      </w:r>
    </w:p>
    <w:p>
      <w:pPr>
        <w:pStyle w:val="Style36"/>
        <w:ind w:firstLine="142"/>
        <w:rPr/>
      </w:pPr>
      <w:r>
        <w:rPr/>
        <w:t>Приложение № 2: Требования к оформлению и составлению документации по ценообразованию.</w:t>
      </w:r>
    </w:p>
    <w:p>
      <w:pPr>
        <w:pStyle w:val="Style36"/>
        <w:ind w:firstLine="142"/>
        <w:rPr/>
      </w:pPr>
      <w:r>
        <w:rPr/>
      </w:r>
    </w:p>
    <w:p>
      <w:pPr>
        <w:pStyle w:val="Style36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Style36"/>
        <w:ind w:hanging="0"/>
        <w:rPr/>
      </w:pPr>
      <w:r>
        <w:rPr/>
      </w:r>
    </w:p>
    <w:p>
      <w:pPr>
        <w:pStyle w:val="ConsPlusNormal1"/>
        <w:widowControl/>
        <w:ind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widowControl/>
        <w:ind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widowControl/>
        <w:ind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before="0" w:after="0"/>
        <w:ind w:left="2552"/>
        <w:contextualSpacing/>
        <w:jc w:val="right"/>
        <w:rPr>
          <w:sz w:val="24"/>
          <w:szCs w:val="24"/>
        </w:rPr>
      </w:pPr>
      <w:bookmarkStart w:id="96" w:name="_Hlk48222348"/>
      <w:r>
        <w:rPr>
          <w:sz w:val="24"/>
          <w:szCs w:val="24"/>
        </w:rPr>
        <w:t>к Техническим требованиям</w:t>
      </w:r>
      <w:bookmarkEnd w:id="96"/>
    </w:p>
    <w:p>
      <w:pPr>
        <w:pStyle w:val="Normal"/>
        <w:tabs>
          <w:tab w:val="clear" w:pos="708"/>
          <w:tab w:val="left" w:pos="284" w:leader="none"/>
          <w:tab w:val="left" w:pos="993" w:leader="none"/>
          <w:tab w:val="left" w:pos="1134" w:leader="none"/>
        </w:tabs>
        <w:suppressAutoHyphens w:val="false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  <w:tab w:val="left" w:pos="993" w:leader="none"/>
          <w:tab w:val="left" w:pos="1134" w:leader="none"/>
        </w:tabs>
        <w:suppressAutoHyphens w:val="false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оформлению и составлению документации по ценообразованию</w:t>
      </w:r>
    </w:p>
    <w:p>
      <w:pPr>
        <w:pStyle w:val="Normal"/>
        <w:tabs>
          <w:tab w:val="clear" w:pos="708"/>
          <w:tab w:val="left" w:pos="284" w:leader="none"/>
          <w:tab w:val="left" w:pos="993" w:leader="none"/>
          <w:tab w:val="left" w:pos="1134" w:leader="none"/>
        </w:tabs>
        <w:suppressAutoHyphens w:val="false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8"/>
          <w:tab w:val="left" w:pos="426" w:leader="none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Настоящие требования разработаны для единого подхода к оформлению и составлению сметной документации на строительство и реконструкцию объектов капитального строительства, порядок определения стоимости которых регулируется Статьей 8.3 Градостроительного кодекса РФ.</w:t>
      </w:r>
    </w:p>
    <w:p>
      <w:pPr>
        <w:pStyle w:val="Normal"/>
        <w:tabs>
          <w:tab w:val="clear" w:pos="708"/>
          <w:tab w:val="left" w:pos="426" w:leader="none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 Смета Договора составляется на основании проектной и входящей в нее сметной документации, получившей положительное заключение государственной экспертизы, с применением индексов изменения сметной стоимости, публикуемых в приложениях к письмам Минстроя России, согласованные в положительном заключении государственной экспертизы. Для пересчета сметной стоимости в прогнозный уровень цен (в соответствии с календарным графиком), применяется индекс-дефлятор по данным Министерства экономического развития РФ (прогноз «базовый») по строке индекс-дефлятор инвестиций. При этом, итоговое значение индексов изменения сметной стоимости (с учетом индексов-дефляторов) не должно превышать значения индексов изменения сметной стоимости, размещенных Минстроем России в ФРСН на момент актуализации (Приложение №4 к Требованиям).</w:t>
      </w:r>
    </w:p>
    <w:p>
      <w:pPr>
        <w:pStyle w:val="Normal"/>
        <w:tabs>
          <w:tab w:val="clear" w:pos="708"/>
          <w:tab w:val="left" w:pos="426" w:leader="none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  Составление Сметы Договора, осуществляется в следующей последовательности: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 Проводится экспертиза сметной документации, входящей в состав проектной документации, получившей положительное заключение экспертизы.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 Составляется ведомость объемов технологически законченных элементов объекта, включающих определенные в соответствии с проектной документацией комплексы работ и затрат, необходимые для его возведения или устройства. Ведомость объемов конструктивных решений и комплексов работ (далее - Ведомость) предусматривает детализацию объекта капитального строительства по основным конструктивным решениям (элементам), комплексам (видам) работ и определение объемов работ и единиц измерения конструктивных решений, комплексов работ. 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в конструктивном решении, комплексе работ сгруппированы разнородные работы и затраты, то для таких позиций принимается единица измерения комплекс, используемая для идентификации конструктивных и инженерных систем, по которым нецелесообразно или невозможно установить единицу измерения в натуральных показателях (система теплоснабжения, система водоснабжения, тепловой узел и другие).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случае, если конструктивное решение или комплекс работ выполняются поэтапно, из общего объема сгруппированных в нем работ, в Ведомости могут быть выделены отдельные объемы работ, подлежащие выполнению на соответствующих этапах.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Отдельной строкой учитывается количество и стоимость оборудования, мебели, инвентаря (далее - оборудование), поставляемых в рамках договора, в случае если оборудование подлежит принятию к бухгалтерскому учету в качестве отдельного объекта основных средств. В иных случаях решение о выделении оборудования отдельной строкой принимается заказчиком. 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Образец Ведомости объемов конструктивных решений и комплексов работ приведен в приложении № 3 к настоящим Требованиям.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 На основании Ведомости составляется Смета Договора, содержащая наименования конструктивных решений (элементов), комплексов (видов) работ, их цены на принятую единицу измерения, и общую стоимость, определенную с учетом подлежащих выполнению объемов работ. Цена на принятую единицу каждого конструктивного решения (элемента), комплекса (вида) работ формируется на основании данных, принятых в сводном сметном расчете стоимости строительства, объектных и локальных сметах (сметных расчетах)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составе цены конструктивных решений (элементов), комплексов (видов) работ учтены:</w:t>
      </w:r>
    </w:p>
    <w:p>
      <w:pPr>
        <w:pStyle w:val="Normal"/>
        <w:spacing w:beforeAutospacing="1" w:afterAutospacing="1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•</w:t>
      </w:r>
      <w:r>
        <w:rPr>
          <w:rFonts w:eastAsia="Calibri"/>
          <w:sz w:val="24"/>
          <w:szCs w:val="24"/>
          <w:lang w:eastAsia="en-US"/>
        </w:rPr>
        <w:tab/>
        <w:t xml:space="preserve">прямые затраты, сформированные на основании сметных норм сметно-нормативной базы; </w:t>
      </w:r>
    </w:p>
    <w:p>
      <w:pPr>
        <w:pStyle w:val="Normal"/>
        <w:spacing w:beforeAutospacing="1" w:afterAutospacing="1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•</w:t>
      </w:r>
      <w:r>
        <w:rPr>
          <w:rFonts w:eastAsia="Calibri"/>
          <w:sz w:val="24"/>
          <w:szCs w:val="24"/>
          <w:lang w:eastAsia="en-US"/>
        </w:rPr>
        <w:tab/>
        <w:t>накладные расходы, по видам строительных, ремонтно-строительных, монтажных и пусконаладочных работ на основании нормативных документов, внесенных в Федеральный реестр сметных нормативов;</w:t>
      </w:r>
    </w:p>
    <w:p>
      <w:pPr>
        <w:pStyle w:val="Normal"/>
        <w:spacing w:beforeAutospacing="1" w:afterAutospacing="1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•</w:t>
      </w:r>
      <w:r>
        <w:rPr>
          <w:rFonts w:eastAsia="Calibri"/>
          <w:sz w:val="24"/>
          <w:szCs w:val="24"/>
          <w:lang w:eastAsia="en-US"/>
        </w:rPr>
        <w:tab/>
        <w:t>сметная прибыль, по видам строительных, ремонтно-строительных, монтажных и пусконаладочных работ на основании нормативных документов, внесенных в Федеральный реестр сметных нормативов;</w:t>
      </w:r>
    </w:p>
    <w:p>
      <w:pPr>
        <w:pStyle w:val="Normal"/>
        <w:spacing w:beforeAutospacing="1" w:afterAutospacing="1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•</w:t>
      </w:r>
      <w:r>
        <w:rPr>
          <w:rFonts w:eastAsia="Calibri"/>
          <w:sz w:val="24"/>
          <w:szCs w:val="24"/>
          <w:lang w:eastAsia="en-US"/>
        </w:rPr>
        <w:tab/>
        <w:t xml:space="preserve"> стоимость оборудования поставки подрядчика (если оборудование не будет выделено отдельной строкой в проекте сметы договора). Стоимость оборудования и ЗИП, учтенная в составе цены комплекса работ при необходимости приемки по ТОРГ-12 выделяется в отдельную спецификацию и приводится в Смете договора отдельной строкой с указанием наименования единицы измерения комплект;</w:t>
      </w:r>
    </w:p>
    <w:p>
      <w:pPr>
        <w:pStyle w:val="Normal"/>
        <w:spacing w:beforeAutospacing="1" w:afterAutospacing="1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•</w:t>
      </w:r>
      <w:r>
        <w:rPr>
          <w:rFonts w:eastAsia="Calibri"/>
          <w:sz w:val="24"/>
          <w:szCs w:val="24"/>
          <w:lang w:eastAsia="en-US"/>
        </w:rPr>
        <w:tab/>
        <w:t>затраты на строительство временных зданий и сооружений определены по нормативу (%), такие затраты включаются в состав цены конструктивного решения (элемента), комплекса (вида) работ в соответствии с нормативом (%) пропорционально стоимости строительно-монтажных работ (за исключением прочих работ и оборудования);</w:t>
      </w:r>
    </w:p>
    <w:p>
      <w:pPr>
        <w:pStyle w:val="Normal"/>
        <w:spacing w:beforeAutospacing="1" w:afterAutospacing="1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•</w:t>
      </w:r>
      <w:r>
        <w:rPr>
          <w:rFonts w:eastAsia="Calibri"/>
          <w:sz w:val="24"/>
          <w:szCs w:val="24"/>
          <w:lang w:eastAsia="en-US"/>
        </w:rPr>
        <w:tab/>
        <w:t>затраты, связанные с удорожанием работ в зимнее время (включаются в состав цены конструктивного решения (элемента), комплекса (вида) работ пропорционально стоимости указанных строительно-монтажных работ с учетом затрат на титульные временные здания и сооружения (за исключением прочих работ и оборудования);</w:t>
      </w:r>
    </w:p>
    <w:p>
      <w:pPr>
        <w:pStyle w:val="Normal"/>
        <w:spacing w:beforeAutospacing="1" w:afterAutospacing="1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•</w:t>
      </w:r>
      <w:r>
        <w:rPr>
          <w:rFonts w:eastAsia="Calibri"/>
          <w:sz w:val="24"/>
          <w:szCs w:val="24"/>
          <w:lang w:eastAsia="en-US"/>
        </w:rPr>
        <w:tab/>
      </w:r>
      <w:r>
        <w:rPr>
          <w:sz w:val="24"/>
          <w:szCs w:val="24"/>
        </w:rPr>
        <w:t>непредвиденные затраты подрядчика в размере 3%</w:t>
      </w:r>
      <w:r>
        <w:rPr>
          <w:rFonts w:eastAsia="Calibri"/>
          <w:sz w:val="24"/>
          <w:szCs w:val="24"/>
          <w:lang w:eastAsia="en-US"/>
        </w:rPr>
        <w:t>;</w:t>
      </w:r>
    </w:p>
    <w:p>
      <w:pPr>
        <w:pStyle w:val="Normal"/>
        <w:spacing w:beforeAutospacing="1" w:afterAutospacing="1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• </w:t>
      </w:r>
      <w:r>
        <w:rPr>
          <w:rFonts w:eastAsia="Calibri"/>
          <w:sz w:val="24"/>
          <w:szCs w:val="24"/>
          <w:lang w:eastAsia="en-US"/>
        </w:rPr>
        <w:t>стоимость пусконаладочных работ (если пусконаладочные работы не выделены в отдельную строку с наименованием единицы измерения комплекс);</w:t>
      </w:r>
    </w:p>
    <w:p>
      <w:pPr>
        <w:pStyle w:val="Normal"/>
        <w:spacing w:beforeAutospacing="1" w:afterAutospacing="1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•</w:t>
      </w:r>
      <w:r>
        <w:rPr>
          <w:rFonts w:eastAsia="Calibri"/>
          <w:sz w:val="24"/>
          <w:szCs w:val="24"/>
          <w:lang w:eastAsia="en-US"/>
        </w:rPr>
        <w:tab/>
        <w:t xml:space="preserve">затраты на осуществление работ вахтовым методом и/или командировочные затраты </w:t>
      </w:r>
      <w:r>
        <w:rPr>
          <w:sz w:val="24"/>
          <w:szCs w:val="24"/>
        </w:rPr>
        <w:t xml:space="preserve">включаются на основании расчета, включенного в сметную документацию, </w:t>
      </w:r>
      <w:r>
        <w:rPr>
          <w:rFonts w:eastAsia="Calibri"/>
          <w:sz w:val="24"/>
          <w:szCs w:val="24"/>
          <w:lang w:eastAsia="en-US"/>
        </w:rPr>
        <w:t>получившую положительное заключение государственной экспертизы</w:t>
      </w:r>
      <w:r>
        <w:rPr>
          <w:sz w:val="24"/>
          <w:szCs w:val="24"/>
        </w:rPr>
        <w:t xml:space="preserve">, в состав цены </w:t>
      </w:r>
      <w:r>
        <w:rPr>
          <w:rFonts w:eastAsia="Calibri"/>
          <w:sz w:val="24"/>
          <w:szCs w:val="24"/>
          <w:lang w:eastAsia="en-US"/>
        </w:rPr>
        <w:t xml:space="preserve">конструктивного решения (элемента), комплекса (вида) работ </w:t>
      </w:r>
      <w:r>
        <w:rPr>
          <w:sz w:val="24"/>
          <w:szCs w:val="24"/>
        </w:rPr>
        <w:t>пропорционально стоимости строительно-монтажных работ (за исключением прочих затрат и оборудования)</w:t>
      </w:r>
      <w:r>
        <w:rPr>
          <w:rFonts w:eastAsia="Calibri"/>
          <w:sz w:val="24"/>
          <w:szCs w:val="24"/>
          <w:lang w:eastAsia="en-US"/>
        </w:rPr>
        <w:t xml:space="preserve">; при отсутствии вышеуказанных затрат в составе сметной документации, получившей положительное заключение государственной экспертизы, считается, что затраты учтены непредвиденными затратами; </w:t>
      </w:r>
    </w:p>
    <w:p>
      <w:pPr>
        <w:pStyle w:val="Normal"/>
        <w:spacing w:beforeAutospacing="1" w:afterAutospacing="1"/>
        <w:ind w:firstLine="680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•</w:t>
      </w:r>
      <w:r>
        <w:rPr>
          <w:rFonts w:eastAsia="Calibri"/>
          <w:sz w:val="24"/>
          <w:szCs w:val="24"/>
          <w:lang w:eastAsia="en-US"/>
        </w:rPr>
        <w:tab/>
        <w:t>иные прочие работы и затраты, предусмотренные сметной документацией, получившей положительное заключение государственной экспертизы.</w:t>
      </w:r>
    </w:p>
    <w:p>
      <w:pPr>
        <w:pStyle w:val="Normal"/>
        <w:spacing w:beforeAutospacing="1" w:afterAutospacing="1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Образцы Сметы Договора и Ведомости объемов конструктивных решений (элементов) и комплексов (видов) работ приведены в приложении.</w:t>
      </w:r>
    </w:p>
    <w:p>
      <w:pPr>
        <w:pStyle w:val="Normal"/>
        <w:spacing w:beforeAutospacing="1" w:afterAutospacing="1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 В случае внесения изменений в проектную документацию в связи с включением в нее ранее непредусмотренных такой документацией видов работ и (или) затрат, а также если в конструктивном решении (элементе), комплексе (виде) работ сгруппированы разнородные работы и затраты, то цена таких работ, затрат определяется с использованием соответствующих сметных нормативов и сметных цен, а также методических и других документов в сфере ценообразования и сметного нормирования с учетом затрат, включенных в состав цены конструктивных решений (элементов), комплексов (видов) работ.</w:t>
      </w:r>
    </w:p>
    <w:p>
      <w:pPr>
        <w:pStyle w:val="Normal"/>
        <w:spacing w:beforeAutospacing="1" w:afterAutospacing="1"/>
        <w:ind w:firstLine="709"/>
        <w:contextualSpacing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5. В случае внесения изменений в проектную документацию, влекущих изменение объемов работ, предусмотренных Сметой Договора, общая стоимость соответствующего конструктивного решения (элемента), комплекса (вида) работ определяется исходя из установленной в смете договора цены единицы измерения данного конструктивного решения (элемента), комплекса (вида) работ с учетом изменения объемов работ.</w:t>
      </w:r>
      <w:r>
        <w:rPr>
          <w:sz w:val="24"/>
          <w:szCs w:val="24"/>
        </w:rPr>
        <w:t xml:space="preserve">  </w:t>
      </w:r>
    </w:p>
    <w:p>
      <w:pPr>
        <w:sectPr>
          <w:headerReference w:type="default" r:id="rId6"/>
          <w:headerReference w:type="first" r:id="rId7"/>
          <w:type w:val="nextPage"/>
          <w:pgSz w:w="11906" w:h="16838"/>
          <w:pgMar w:left="709" w:right="567" w:gutter="0" w:header="709" w:top="1134" w:footer="0" w:bottom="1134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Autospacing="1" w:afterAutospacing="1"/>
        <w:ind w:firstLine="709"/>
        <w:contextualSpacing/>
        <w:jc w:val="both"/>
        <w:rPr>
          <w:color w:val="2C2D2E"/>
          <w:sz w:val="24"/>
          <w:szCs w:val="24"/>
          <w:shd w:fill="FFFFFF" w:val="clear"/>
        </w:rPr>
      </w:pPr>
      <w:r>
        <w:rPr>
          <w:color w:val="2C2D2E"/>
          <w:sz w:val="24"/>
          <w:szCs w:val="24"/>
          <w:shd w:fill="FFFFFF" w:val="clear"/>
        </w:rPr>
        <w:t>6. В случае, если заказчиком принято решение о сокращении сроков исполнения договора с перераспределением объемов финансирования с последующих периодов на более ранние периоды без изменения объемов и содержания</w:t>
      </w:r>
      <w:r>
        <w:rPr/>
        <w:t xml:space="preserve"> </w:t>
      </w:r>
      <w:r>
        <w:rPr>
          <w:color w:val="2C2D2E"/>
          <w:sz w:val="24"/>
          <w:szCs w:val="24"/>
          <w:shd w:fill="FFFFFF" w:val="clear"/>
        </w:rPr>
        <w:t>работ, то смета договора не изменяется.</w:t>
      </w:r>
    </w:p>
    <w:p>
      <w:pPr>
        <w:pStyle w:val="Normal"/>
        <w:suppressAutoHyphens w:val="false"/>
        <w:spacing w:before="0" w:after="280"/>
        <w:ind w:firstLine="709" w:left="928" w:right="666"/>
        <w:contextualSpacing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№1 </w:t>
      </w:r>
    </w:p>
    <w:p>
      <w:pPr>
        <w:pStyle w:val="Normal"/>
        <w:widowControl w:val="false"/>
        <w:suppressAutoHyphens w:val="false"/>
        <w:ind w:left="928" w:right="666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к Требованиям к составлению и оформлению</w:t>
      </w:r>
    </w:p>
    <w:p>
      <w:pPr>
        <w:pStyle w:val="Normal"/>
        <w:widowControl w:val="false"/>
        <w:suppressAutoHyphens w:val="false"/>
        <w:ind w:left="928" w:right="666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документации по ценообразованию</w:t>
      </w:r>
    </w:p>
    <w:p>
      <w:pPr>
        <w:pStyle w:val="Normal"/>
        <w:widowControl w:val="false"/>
        <w:suppressAutoHyphens w:val="false"/>
        <w:ind w:left="928" w:right="666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Образец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ind w:left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Смета Договора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ind w:left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ind w:left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ind w:left="567"/>
        <w:jc w:val="center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(наименование объекта)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ind w:left="567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Style w:val="110"/>
        <w:tblW w:w="11692" w:type="dxa"/>
        <w:jc w:val="left"/>
        <w:tblInd w:w="11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5"/>
        <w:gridCol w:w="3905"/>
        <w:gridCol w:w="1561"/>
        <w:gridCol w:w="1416"/>
        <w:gridCol w:w="2835"/>
        <w:gridCol w:w="1349"/>
      </w:tblGrid>
      <w:tr>
        <w:trPr/>
        <w:tc>
          <w:tcPr>
            <w:tcW w:w="62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4"/>
                <w:szCs w:val="24"/>
                <w:lang w:val="ru-RU" w:eastAsia="en-US" w:bidi="ar-SA"/>
              </w:rPr>
              <w:t>N п/п</w:t>
            </w:r>
          </w:p>
        </w:tc>
        <w:tc>
          <w:tcPr>
            <w:tcW w:w="390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4"/>
                <w:szCs w:val="24"/>
                <w:lang w:val="ru-RU" w:eastAsia="en-US" w:bidi="ar-SA"/>
              </w:rPr>
              <w:t>Наименование конструктивных решений (элементов), комплексов (видов) работ, оборудования</w:t>
            </w:r>
            <w:r>
              <w:rPr>
                <w:rStyle w:val="FootnoteReference"/>
                <w:rFonts w:eastAsia="Calibri" w:cs="Times New Roman" w:ascii="Calibri" w:hAnsi="Calibri"/>
                <w:caps/>
                <w:kern w:val="0"/>
                <w:sz w:val="24"/>
                <w:szCs w:val="24"/>
                <w:lang w:val="ru-RU" w:eastAsia="en-US" w:bidi="ar-SA"/>
              </w:rPr>
              <w:footnoteReference w:id="2"/>
            </w:r>
          </w:p>
        </w:tc>
        <w:tc>
          <w:tcPr>
            <w:tcW w:w="1561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rFonts w:eastAsia="Calibri"/>
                <w:b/>
                <w:sz w:val="20"/>
                <w:szCs w:val="20"/>
                <w:lang w:val="en-US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4"/>
                <w:szCs w:val="24"/>
                <w:lang w:val="ru-RU" w:eastAsia="en-US" w:bidi="ar-SA"/>
              </w:rPr>
              <w:t>Единица измерения</w:t>
            </w: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vertAlign w:val="superscript"/>
                <w:lang w:val="en-US" w:eastAsia="en-US" w:bidi="ar-SA"/>
              </w:rPr>
              <w:t>1</w:t>
            </w:r>
          </w:p>
        </w:tc>
        <w:tc>
          <w:tcPr>
            <w:tcW w:w="141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0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4"/>
                <w:szCs w:val="24"/>
                <w:lang w:val="ru-RU" w:eastAsia="en-US" w:bidi="ar-SA"/>
              </w:rPr>
              <w:t>Количество</w:t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0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rFonts w:eastAsia="Calibri"/>
                <w:b/>
                <w:sz w:val="20"/>
                <w:szCs w:val="20"/>
                <w:lang w:val="en-US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4"/>
                <w:szCs w:val="24"/>
                <w:lang w:val="ru-RU" w:eastAsia="en-US" w:bidi="ar-SA"/>
              </w:rPr>
              <w:t>(объем работ)</w:t>
            </w: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vertAlign w:val="superscript"/>
                <w:lang w:val="en-US" w:eastAsia="en-US" w:bidi="ar-SA"/>
              </w:rPr>
              <w:t>1</w:t>
            </w:r>
          </w:p>
        </w:tc>
        <w:tc>
          <w:tcPr>
            <w:tcW w:w="283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90" w:leader="none"/>
                <w:tab w:val="left" w:pos="1200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4"/>
                <w:szCs w:val="24"/>
                <w:lang w:val="ru-RU" w:eastAsia="en-US" w:bidi="ar-SA"/>
              </w:rPr>
              <w:t>Цена на единицу измерения, без НДС руб.</w:t>
            </w:r>
          </w:p>
        </w:tc>
        <w:tc>
          <w:tcPr>
            <w:tcW w:w="134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4"/>
                <w:szCs w:val="24"/>
                <w:lang w:val="ru-RU" w:eastAsia="en-US" w:bidi="ar-SA"/>
              </w:rPr>
              <w:t>Стоимость всего, руб.</w:t>
            </w:r>
            <w:r>
              <w:rPr>
                <w:rStyle w:val="FootnoteReference"/>
                <w:rFonts w:eastAsia="Calibri" w:cs="Times New Roman" w:ascii="Calibri" w:hAnsi="Calibri"/>
                <w:caps/>
                <w:kern w:val="0"/>
                <w:sz w:val="24"/>
                <w:szCs w:val="24"/>
                <w:lang w:val="ru-RU" w:eastAsia="en-US" w:bidi="ar-SA"/>
              </w:rPr>
              <w:footnoteReference w:id="3"/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390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561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41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34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b/>
                <w:caps/>
                <w:kern w:val="0"/>
                <w:sz w:val="20"/>
                <w:szCs w:val="20"/>
                <w:lang w:val="ru-RU" w:eastAsia="en-US" w:bidi="ar-SA"/>
              </w:rPr>
              <w:t>‍</w:t>
            </w:r>
          </w:p>
        </w:tc>
        <w:tc>
          <w:tcPr>
            <w:tcW w:w="390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34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b/>
                <w:caps/>
                <w:kern w:val="0"/>
                <w:sz w:val="20"/>
                <w:szCs w:val="20"/>
                <w:lang w:val="ru-RU" w:eastAsia="en-US" w:bidi="ar-SA"/>
              </w:rPr>
              <w:t>‍</w:t>
            </w:r>
          </w:p>
        </w:tc>
        <w:tc>
          <w:tcPr>
            <w:tcW w:w="390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34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390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b/>
                <w:caps/>
                <w:kern w:val="0"/>
                <w:sz w:val="20"/>
                <w:szCs w:val="20"/>
                <w:lang w:val="ru-RU" w:eastAsia="en-US" w:bidi="ar-SA"/>
              </w:rPr>
              <w:t>Итого:</w:t>
            </w:r>
          </w:p>
        </w:tc>
        <w:tc>
          <w:tcPr>
            <w:tcW w:w="1561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34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390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b/>
                <w:caps/>
                <w:kern w:val="0"/>
                <w:sz w:val="20"/>
                <w:szCs w:val="20"/>
                <w:lang w:val="ru-RU" w:eastAsia="en-US" w:bidi="ar-SA"/>
              </w:rPr>
              <w:t>Сумма  НДС:</w:t>
            </w:r>
          </w:p>
        </w:tc>
        <w:tc>
          <w:tcPr>
            <w:tcW w:w="1561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34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390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b/>
                <w:caps/>
                <w:kern w:val="0"/>
                <w:sz w:val="20"/>
                <w:szCs w:val="20"/>
                <w:lang w:val="ru-RU" w:eastAsia="en-US" w:bidi="ar-SA"/>
              </w:rPr>
              <w:t>Всего с НДС</w:t>
            </w:r>
          </w:p>
        </w:tc>
        <w:tc>
          <w:tcPr>
            <w:tcW w:w="1561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1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34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567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ind w:left="567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hd w:val="clear" w:color="auto" w:fill="FFFFFF"/>
        <w:suppressAutoHyphens w:val="false"/>
        <w:ind w:left="567"/>
        <w:rPr>
          <w:sz w:val="22"/>
          <w:szCs w:val="22"/>
        </w:rPr>
      </w:pPr>
      <w:r>
        <w:rPr>
          <w:b/>
          <w:sz w:val="22"/>
          <w:szCs w:val="22"/>
        </w:rPr>
        <w:t xml:space="preserve">Заказчик:    </w:t>
      </w:r>
      <w:r>
        <w:rPr>
          <w:sz w:val="22"/>
          <w:szCs w:val="22"/>
        </w:rPr>
        <w:t>/должность, организация/_______/подпись/___________/расшифровка подписи/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hd w:val="clear" w:color="auto" w:fill="FFFFFF"/>
        <w:suppressAutoHyphens w:val="false"/>
        <w:ind w:left="567"/>
        <w:rPr>
          <w:sz w:val="22"/>
          <w:szCs w:val="22"/>
        </w:rPr>
      </w:pPr>
      <w:r>
        <w:rPr>
          <w:b/>
          <w:sz w:val="22"/>
          <w:szCs w:val="22"/>
        </w:rPr>
        <w:t xml:space="preserve">Подрядчик: :    </w:t>
      </w:r>
      <w:r>
        <w:rPr>
          <w:sz w:val="22"/>
          <w:szCs w:val="22"/>
        </w:rPr>
        <w:t>/должность, организация/_______/подпись/___________/расшифровка подписи/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uppressAutoHyphens w:val="false"/>
        <w:spacing w:before="0" w:after="0"/>
        <w:ind w:left="928" w:right="666"/>
        <w:contextualSpacing/>
        <w:jc w:val="right"/>
        <w:rPr>
          <w:sz w:val="18"/>
          <w:szCs w:val="18"/>
        </w:rPr>
      </w:pPr>
      <w:bookmarkStart w:id="97" w:name="l537"/>
      <w:bookmarkStart w:id="98" w:name="l536"/>
      <w:bookmarkEnd w:id="97"/>
      <w:bookmarkEnd w:id="98"/>
      <w:r>
        <w:rPr>
          <w:sz w:val="18"/>
          <w:szCs w:val="18"/>
        </w:rPr>
        <w:t xml:space="preserve">Приложение №2 </w:t>
      </w:r>
    </w:p>
    <w:p>
      <w:pPr>
        <w:pStyle w:val="Normal"/>
        <w:widowControl w:val="false"/>
        <w:suppressAutoHyphens w:val="false"/>
        <w:ind w:left="928" w:right="666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к Требованиям к составлению и оформлению</w:t>
      </w:r>
    </w:p>
    <w:p>
      <w:pPr>
        <w:pStyle w:val="Normal"/>
        <w:widowControl w:val="false"/>
        <w:suppressAutoHyphens w:val="false"/>
        <w:ind w:left="928" w:right="666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документации по ценообразованию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Образец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Смета Договора (с учетом изменения)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center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(наименование объекта)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Style w:val="110"/>
        <w:tblW w:w="138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2"/>
        <w:gridCol w:w="3144"/>
        <w:gridCol w:w="874"/>
        <w:gridCol w:w="1629"/>
        <w:gridCol w:w="1496"/>
        <w:gridCol w:w="1629"/>
        <w:gridCol w:w="1493"/>
        <w:gridCol w:w="1629"/>
        <w:gridCol w:w="1478"/>
      </w:tblGrid>
      <w:tr>
        <w:trPr/>
        <w:tc>
          <w:tcPr>
            <w:tcW w:w="502" w:type="dxa"/>
            <w:vMerge w:val="restart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N п/п</w:t>
            </w:r>
          </w:p>
        </w:tc>
        <w:tc>
          <w:tcPr>
            <w:tcW w:w="3144" w:type="dxa"/>
            <w:vMerge w:val="restart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Наименование конструктивных решений (элементов), комплексов (видов) работ, оборудования</w:t>
            </w:r>
            <w:r>
              <w:rPr>
                <w:rStyle w:val="FootnoteReference"/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footnoteReference w:id="4"/>
            </w:r>
          </w:p>
        </w:tc>
        <w:tc>
          <w:tcPr>
            <w:tcW w:w="874" w:type="dxa"/>
            <w:vMerge w:val="restart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rFonts w:eastAsia="Calibri"/>
                <w:b/>
                <w:sz w:val="20"/>
                <w:szCs w:val="20"/>
                <w:lang w:val="en-US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Ед.  изм</w:t>
            </w: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vertAlign w:val="superscript"/>
                <w:lang w:val="en-US" w:eastAsia="en-US" w:bidi="ar-SA"/>
              </w:rPr>
              <w:t>1</w:t>
            </w:r>
          </w:p>
        </w:tc>
        <w:tc>
          <w:tcPr>
            <w:tcW w:w="3125" w:type="dxa"/>
            <w:gridSpan w:val="2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0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Количество</w:t>
            </w:r>
          </w:p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0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rFonts w:eastAsia="Calibri"/>
                <w:b/>
                <w:sz w:val="20"/>
                <w:szCs w:val="20"/>
                <w:lang w:val="en-US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(объем работ)</w:t>
            </w: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vertAlign w:val="superscript"/>
                <w:lang w:val="en-US" w:eastAsia="en-US" w:bidi="ar-SA"/>
              </w:rPr>
              <w:t>1</w:t>
            </w:r>
          </w:p>
        </w:tc>
        <w:tc>
          <w:tcPr>
            <w:tcW w:w="3122" w:type="dxa"/>
            <w:gridSpan w:val="2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0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Цена на единицу измерения, без НДС руб.</w:t>
            </w:r>
          </w:p>
        </w:tc>
        <w:tc>
          <w:tcPr>
            <w:tcW w:w="3107" w:type="dxa"/>
            <w:gridSpan w:val="2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Стоимость всего, руб.</w:t>
            </w:r>
            <w:r>
              <w:rPr>
                <w:rStyle w:val="FootnoteReference"/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footnoteReference w:id="5"/>
            </w:r>
          </w:p>
        </w:tc>
      </w:tr>
      <w:tr>
        <w:trPr/>
        <w:tc>
          <w:tcPr>
            <w:tcW w:w="502" w:type="dxa"/>
            <w:vMerge w:val="continue"/>
            <w:tcBorders/>
            <w:vAlign w:val="center"/>
          </w:tcPr>
          <w:p>
            <w:pPr>
              <w:pStyle w:val="Normal"/>
              <w:keepNext w:val="true"/>
              <w:keepLines/>
              <w:widowControl/>
              <w:suppressAutoHyphens w:val="false"/>
              <w:spacing w:lineRule="auto" w:line="276" w:before="0" w:after="0"/>
              <w:ind w:left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</w:r>
          </w:p>
        </w:tc>
        <w:tc>
          <w:tcPr>
            <w:tcW w:w="3144" w:type="dxa"/>
            <w:vMerge w:val="continue"/>
            <w:tcBorders/>
            <w:vAlign w:val="center"/>
          </w:tcPr>
          <w:p>
            <w:pPr>
              <w:pStyle w:val="Normal"/>
              <w:keepNext w:val="true"/>
              <w:keepLines/>
              <w:widowControl/>
              <w:suppressAutoHyphens w:val="false"/>
              <w:spacing w:lineRule="auto" w:line="276" w:before="0" w:after="0"/>
              <w:ind w:left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</w:r>
          </w:p>
        </w:tc>
        <w:tc>
          <w:tcPr>
            <w:tcW w:w="874" w:type="dxa"/>
            <w:vMerge w:val="continue"/>
            <w:tcBorders/>
            <w:vAlign w:val="center"/>
          </w:tcPr>
          <w:p>
            <w:pPr>
              <w:pStyle w:val="Normal"/>
              <w:keepNext w:val="true"/>
              <w:keepLines/>
              <w:widowControl/>
              <w:suppressAutoHyphens w:val="false"/>
              <w:spacing w:lineRule="auto" w:line="276" w:before="0" w:after="0"/>
              <w:ind w:left="0"/>
              <w:jc w:val="left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caps/>
                <w:sz w:val="20"/>
                <w:szCs w:val="20"/>
                <w:lang w:val="en-US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первоначальный</w:t>
            </w:r>
          </w:p>
        </w:tc>
        <w:tc>
          <w:tcPr>
            <w:tcW w:w="149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С учетом корректировки</w:t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первоначальный</w:t>
            </w:r>
          </w:p>
        </w:tc>
        <w:tc>
          <w:tcPr>
            <w:tcW w:w="1493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С учетом корректировки</w:t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первоначальный</w:t>
            </w:r>
          </w:p>
        </w:tc>
        <w:tc>
          <w:tcPr>
            <w:tcW w:w="1478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caps/>
                <w:kern w:val="0"/>
                <w:sz w:val="20"/>
                <w:szCs w:val="20"/>
                <w:lang w:val="ru-RU" w:eastAsia="en-US" w:bidi="ar-SA"/>
              </w:rPr>
              <w:t>С учетом корректировки</w:t>
            </w:r>
          </w:p>
        </w:tc>
      </w:tr>
      <w:tr>
        <w:trPr/>
        <w:tc>
          <w:tcPr>
            <w:tcW w:w="502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b/>
                <w:caps/>
                <w:kern w:val="0"/>
                <w:sz w:val="20"/>
                <w:szCs w:val="20"/>
                <w:lang w:val="ru-RU" w:eastAsia="en-US" w:bidi="ar-SA"/>
              </w:rPr>
              <w:t>‍</w:t>
            </w:r>
          </w:p>
        </w:tc>
        <w:tc>
          <w:tcPr>
            <w:tcW w:w="3144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874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9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93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</w:tr>
      <w:tr>
        <w:trPr/>
        <w:tc>
          <w:tcPr>
            <w:tcW w:w="502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b/>
                <w:caps/>
                <w:kern w:val="0"/>
                <w:sz w:val="20"/>
                <w:szCs w:val="20"/>
                <w:lang w:val="ru-RU" w:eastAsia="en-US" w:bidi="ar-SA"/>
              </w:rPr>
              <w:t>‍</w:t>
            </w:r>
          </w:p>
        </w:tc>
        <w:tc>
          <w:tcPr>
            <w:tcW w:w="3144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874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9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93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</w:tr>
      <w:tr>
        <w:trPr/>
        <w:tc>
          <w:tcPr>
            <w:tcW w:w="502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b/>
                <w:caps/>
                <w:kern w:val="0"/>
                <w:sz w:val="20"/>
                <w:szCs w:val="20"/>
                <w:lang w:val="ru-RU" w:eastAsia="en-US" w:bidi="ar-SA"/>
              </w:rPr>
              <w:t>‍</w:t>
            </w:r>
          </w:p>
        </w:tc>
        <w:tc>
          <w:tcPr>
            <w:tcW w:w="3144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874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9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93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</w:tr>
      <w:tr>
        <w:trPr/>
        <w:tc>
          <w:tcPr>
            <w:tcW w:w="502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3144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b/>
                <w:caps/>
                <w:kern w:val="0"/>
                <w:sz w:val="20"/>
                <w:szCs w:val="20"/>
                <w:lang w:val="ru-RU" w:eastAsia="en-US" w:bidi="ar-SA"/>
              </w:rPr>
              <w:t>Итого:</w:t>
            </w:r>
          </w:p>
        </w:tc>
        <w:tc>
          <w:tcPr>
            <w:tcW w:w="874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9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93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</w:tr>
      <w:tr>
        <w:trPr/>
        <w:tc>
          <w:tcPr>
            <w:tcW w:w="502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3144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b/>
                <w:caps/>
                <w:kern w:val="0"/>
                <w:sz w:val="20"/>
                <w:szCs w:val="20"/>
                <w:lang w:val="ru-RU" w:eastAsia="en-US" w:bidi="ar-SA"/>
              </w:rPr>
              <w:t>Сумма НДС:</w:t>
            </w:r>
          </w:p>
        </w:tc>
        <w:tc>
          <w:tcPr>
            <w:tcW w:w="874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9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93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</w:tr>
      <w:tr>
        <w:trPr/>
        <w:tc>
          <w:tcPr>
            <w:tcW w:w="502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3144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b/>
                <w:caps/>
                <w:kern w:val="0"/>
                <w:sz w:val="20"/>
                <w:szCs w:val="20"/>
                <w:lang w:val="ru-RU" w:eastAsia="en-US" w:bidi="ar-SA"/>
              </w:rPr>
              <w:t>Всего с НДС</w:t>
            </w:r>
          </w:p>
        </w:tc>
        <w:tc>
          <w:tcPr>
            <w:tcW w:w="874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96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93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629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lineRule="auto" w:line="276" w:before="0" w:after="0"/>
              <w:ind w:left="0"/>
              <w:jc w:val="righ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caps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hd w:val="clear" w:color="auto" w:fill="FFFFFF"/>
        <w:suppressAutoHyphens w:val="false"/>
        <w:rPr>
          <w:sz w:val="22"/>
          <w:szCs w:val="22"/>
        </w:rPr>
      </w:pPr>
      <w:r>
        <w:rPr>
          <w:b/>
          <w:sz w:val="22"/>
          <w:szCs w:val="22"/>
        </w:rPr>
        <w:t xml:space="preserve">Заказчик:    </w:t>
      </w:r>
      <w:r>
        <w:rPr>
          <w:sz w:val="22"/>
          <w:szCs w:val="22"/>
        </w:rPr>
        <w:t>/должность, организация/_______/подпись/___________/расшифровка подписи/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sectPr>
          <w:headerReference w:type="default" r:id="rId8"/>
          <w:headerReference w:type="first" r:id="rId9"/>
          <w:footnotePr>
            <w:numFmt w:val="decimal"/>
            <w:numRestart w:val="eachPage"/>
          </w:footnotePr>
          <w:type w:val="nextPage"/>
          <w:pgSz w:orient="landscape" w:w="16838" w:h="11906"/>
          <w:pgMar w:left="425" w:right="851" w:gutter="0" w:header="709" w:top="1276" w:footer="0" w:bottom="709"/>
          <w:pgNumType w:fmt="decimal"/>
          <w:formProt w:val="false"/>
          <w:textDirection w:val="lrTb"/>
          <w:docGrid w:type="default" w:linePitch="100" w:charSpace="0"/>
        </w:sectPr>
        <w:pStyle w:val="Normal"/>
        <w:shd w:val="clear" w:color="auto" w:fill="FFFFFF"/>
        <w:suppressAutoHyphens w:val="false"/>
        <w:rPr>
          <w:sz w:val="22"/>
          <w:szCs w:val="22"/>
        </w:rPr>
      </w:pPr>
      <w:r>
        <w:rPr>
          <w:b/>
          <w:sz w:val="22"/>
          <w:szCs w:val="22"/>
        </w:rPr>
        <w:t xml:space="preserve">Подрядчик:    </w:t>
      </w:r>
      <w:r>
        <w:rPr>
          <w:sz w:val="22"/>
          <w:szCs w:val="22"/>
        </w:rPr>
        <w:t>/должность, организация/_______/подпись/___________/расшифровка подписи/</w:t>
      </w:r>
      <w:r>
        <w:br w:type="page"/>
      </w:r>
    </w:p>
    <w:p>
      <w:pPr>
        <w:pStyle w:val="Normal"/>
        <w:suppressAutoHyphens w:val="false"/>
        <w:spacing w:before="0" w:after="0"/>
        <w:ind w:left="928" w:right="666"/>
        <w:contextualSpacing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№3 </w:t>
      </w:r>
    </w:p>
    <w:p>
      <w:pPr>
        <w:pStyle w:val="Normal"/>
        <w:widowControl w:val="false"/>
        <w:suppressAutoHyphens w:val="false"/>
        <w:ind w:left="928" w:right="666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к Требованиям к составлению и оформлению</w:t>
      </w:r>
    </w:p>
    <w:p>
      <w:pPr>
        <w:pStyle w:val="Normal"/>
        <w:widowControl w:val="false"/>
        <w:suppressAutoHyphens w:val="false"/>
        <w:ind w:left="928" w:right="666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документации по ценообразованию</w:t>
      </w:r>
    </w:p>
    <w:p>
      <w:pPr>
        <w:pStyle w:val="Normal"/>
        <w:tabs>
          <w:tab w:val="clear" w:pos="708"/>
          <w:tab w:val="left" w:pos="2700" w:leader="none"/>
        </w:tabs>
        <w:suppressAutoHyphens w:val="false"/>
        <w:spacing w:lineRule="auto" w:line="252" w:before="0" w:after="1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rPr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Образец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Ведомость объемов конструктивных решений (элементов) и комплексов (видов) работ, оборудования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center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(наименование объекта)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right"/>
        <w:rPr>
          <w:b/>
          <w:i/>
          <w:i/>
          <w:iCs/>
          <w:sz w:val="22"/>
          <w:szCs w:val="22"/>
          <w:shd w:fill="FFFF99" w:val="clear"/>
        </w:rPr>
      </w:pPr>
      <w:r>
        <w:rPr>
          <w:b/>
          <w:i/>
          <w:iCs/>
          <w:sz w:val="22"/>
          <w:szCs w:val="22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right"/>
        <w:rPr>
          <w:b/>
          <w:i/>
          <w:i/>
          <w:iCs/>
          <w:sz w:val="22"/>
          <w:szCs w:val="22"/>
          <w:shd w:fill="FFFF99" w:val="clear"/>
        </w:rPr>
      </w:pPr>
      <w:r>
        <w:rPr>
          <w:b/>
          <w:i/>
          <w:iCs/>
          <w:sz w:val="22"/>
          <w:szCs w:val="22"/>
          <w:shd w:fill="FFFF99" w:val="clear"/>
        </w:rPr>
      </w:r>
    </w:p>
    <w:tbl>
      <w:tblPr>
        <w:tblStyle w:val="210"/>
        <w:tblW w:w="98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7"/>
        <w:gridCol w:w="3357"/>
        <w:gridCol w:w="2433"/>
        <w:gridCol w:w="1238"/>
        <w:gridCol w:w="2219"/>
      </w:tblGrid>
      <w:tr>
        <w:trPr/>
        <w:tc>
          <w:tcPr>
            <w:tcW w:w="6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Calibri" w:hAnsi="Calibri"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335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0"/>
                <w:lang w:val="ru-RU" w:eastAsia="en-US" w:bidi="ar-SA"/>
              </w:rPr>
              <w:t>Номера сметных расчетов (смет) и позиций в сметных расчетах (сметах), относящиеся к соответствующим конструктивным решениям (элементам), комплексам (видам) работ</w:t>
            </w:r>
          </w:p>
        </w:tc>
        <w:tc>
          <w:tcPr>
            <w:tcW w:w="24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0"/>
                <w:lang w:val="ru-RU" w:eastAsia="en-US" w:bidi="ar-SA"/>
              </w:rPr>
              <w:t>Наименование конструктивных решений (элементов), комплексов (видов) работ, оборудования</w:t>
            </w:r>
            <w:r>
              <w:rPr>
                <w:rStyle w:val="FootnoteReference"/>
                <w:rFonts w:eastAsia="Calibri" w:cs="Times New Roman" w:ascii="Calibri" w:hAnsi="Calibri"/>
                <w:kern w:val="0"/>
                <w:sz w:val="20"/>
                <w:szCs w:val="20"/>
                <w:lang w:val="ru-RU" w:eastAsia="en-US" w:bidi="ar-SA"/>
              </w:rPr>
              <w:footnoteReference w:id="6"/>
            </w:r>
          </w:p>
        </w:tc>
        <w:tc>
          <w:tcPr>
            <w:tcW w:w="12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0"/>
                <w:lang w:val="ru-RU" w:eastAsia="en-US" w:bidi="ar-SA"/>
              </w:rPr>
              <w:t>Единица измерения</w:t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0"/>
                <w:lang w:val="ru-RU" w:eastAsia="en-US" w:bidi="ar-SA"/>
              </w:rPr>
              <w:t>Количество (объем работ)</w:t>
            </w:r>
          </w:p>
        </w:tc>
      </w:tr>
      <w:tr>
        <w:trPr/>
        <w:tc>
          <w:tcPr>
            <w:tcW w:w="6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335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4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2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right"/>
              <w:rPr>
                <w:rFonts w:eastAsia="Calibri"/>
                <w:b/>
                <w:i/>
                <w:i/>
                <w:iCs/>
                <w:sz w:val="20"/>
                <w:szCs w:val="20"/>
                <w:shd w:fill="FFFF99" w:val="clear"/>
              </w:rPr>
            </w:pPr>
            <w:r>
              <w:rPr>
                <w:rFonts w:eastAsia="Calibri" w:cs="Times New Roman" w:ascii="Calibri" w:hAnsi="Calibri"/>
                <w:b/>
                <w:i/>
                <w:iCs/>
                <w:kern w:val="0"/>
                <w:sz w:val="20"/>
                <w:szCs w:val="20"/>
                <w:shd w:fill="FFFF99" w:val="clear"/>
                <w:lang w:val="ru-RU" w:eastAsia="en-US" w:bidi="ar-SA"/>
              </w:rPr>
              <w:t>‍</w:t>
            </w:r>
          </w:p>
        </w:tc>
        <w:tc>
          <w:tcPr>
            <w:tcW w:w="335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right"/>
              <w:rPr>
                <w:rFonts w:eastAsia="Calibri"/>
                <w:b/>
                <w:i/>
                <w:i/>
                <w:iCs/>
                <w:sz w:val="20"/>
                <w:szCs w:val="20"/>
                <w:shd w:fill="FFFF99" w:val="clear"/>
              </w:rPr>
            </w:pPr>
            <w:r>
              <w:rPr>
                <w:rFonts w:eastAsia="Calibri"/>
                <w:b/>
                <w:i/>
                <w:iCs/>
                <w:sz w:val="20"/>
                <w:szCs w:val="20"/>
                <w:shd w:fill="FFFF99" w:val="clear"/>
              </w:rPr>
            </w:r>
          </w:p>
        </w:tc>
        <w:tc>
          <w:tcPr>
            <w:tcW w:w="24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right"/>
              <w:rPr>
                <w:rFonts w:eastAsia="Calibri"/>
                <w:b/>
                <w:i/>
                <w:i/>
                <w:iCs/>
                <w:sz w:val="20"/>
                <w:szCs w:val="20"/>
                <w:shd w:fill="FFFF99" w:val="clear"/>
              </w:rPr>
            </w:pPr>
            <w:r>
              <w:rPr>
                <w:rFonts w:eastAsia="Calibri"/>
                <w:b/>
                <w:i/>
                <w:iCs/>
                <w:sz w:val="20"/>
                <w:szCs w:val="20"/>
                <w:shd w:fill="FFFF99" w:val="clear"/>
              </w:rPr>
            </w:r>
          </w:p>
        </w:tc>
        <w:tc>
          <w:tcPr>
            <w:tcW w:w="12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right"/>
              <w:rPr>
                <w:rFonts w:eastAsia="Calibri"/>
                <w:b/>
                <w:i/>
                <w:i/>
                <w:iCs/>
                <w:sz w:val="20"/>
                <w:szCs w:val="20"/>
                <w:shd w:fill="FFFF99" w:val="clear"/>
              </w:rPr>
            </w:pPr>
            <w:r>
              <w:rPr>
                <w:rFonts w:eastAsia="Calibri"/>
                <w:b/>
                <w:i/>
                <w:iCs/>
                <w:sz w:val="20"/>
                <w:szCs w:val="20"/>
                <w:shd w:fill="FFFF99" w:val="clear"/>
              </w:rPr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right"/>
              <w:rPr>
                <w:rFonts w:eastAsia="Calibri"/>
                <w:b/>
                <w:i/>
                <w:i/>
                <w:iCs/>
                <w:sz w:val="20"/>
                <w:szCs w:val="20"/>
                <w:shd w:fill="FFFF99" w:val="clear"/>
              </w:rPr>
            </w:pPr>
            <w:r>
              <w:rPr>
                <w:rFonts w:eastAsia="Calibri"/>
                <w:b/>
                <w:i/>
                <w:iCs/>
                <w:sz w:val="20"/>
                <w:szCs w:val="20"/>
                <w:shd w:fill="FFFF99" w:val="clear"/>
              </w:rPr>
            </w:r>
          </w:p>
        </w:tc>
      </w:tr>
      <w:tr>
        <w:trPr/>
        <w:tc>
          <w:tcPr>
            <w:tcW w:w="6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right"/>
              <w:rPr>
                <w:rFonts w:eastAsia="Calibri"/>
                <w:b/>
                <w:i/>
                <w:i/>
                <w:iCs/>
                <w:sz w:val="20"/>
                <w:szCs w:val="20"/>
                <w:shd w:fill="FFFF99" w:val="clear"/>
              </w:rPr>
            </w:pPr>
            <w:r>
              <w:rPr>
                <w:rFonts w:eastAsia="Calibri" w:cs="Times New Roman" w:ascii="Calibri" w:hAnsi="Calibri"/>
                <w:b/>
                <w:i/>
                <w:iCs/>
                <w:kern w:val="0"/>
                <w:sz w:val="20"/>
                <w:szCs w:val="20"/>
                <w:shd w:fill="FFFF99" w:val="clear"/>
                <w:lang w:val="ru-RU" w:eastAsia="en-US" w:bidi="ar-SA"/>
              </w:rPr>
              <w:t>‍</w:t>
            </w:r>
          </w:p>
        </w:tc>
        <w:tc>
          <w:tcPr>
            <w:tcW w:w="335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right"/>
              <w:rPr>
                <w:rFonts w:eastAsia="Calibri"/>
                <w:b/>
                <w:i/>
                <w:i/>
                <w:iCs/>
                <w:sz w:val="20"/>
                <w:szCs w:val="20"/>
                <w:shd w:fill="FFFF99" w:val="clear"/>
              </w:rPr>
            </w:pPr>
            <w:r>
              <w:rPr>
                <w:rFonts w:eastAsia="Calibri"/>
                <w:b/>
                <w:i/>
                <w:iCs/>
                <w:sz w:val="20"/>
                <w:szCs w:val="20"/>
                <w:shd w:fill="FFFF99" w:val="clear"/>
              </w:rPr>
            </w:r>
          </w:p>
        </w:tc>
        <w:tc>
          <w:tcPr>
            <w:tcW w:w="24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right"/>
              <w:rPr>
                <w:rFonts w:eastAsia="Calibri"/>
                <w:b/>
                <w:i/>
                <w:i/>
                <w:iCs/>
                <w:sz w:val="20"/>
                <w:szCs w:val="20"/>
                <w:shd w:fill="FFFF99" w:val="clear"/>
              </w:rPr>
            </w:pPr>
            <w:r>
              <w:rPr>
                <w:rFonts w:eastAsia="Calibri"/>
                <w:b/>
                <w:i/>
                <w:iCs/>
                <w:sz w:val="20"/>
                <w:szCs w:val="20"/>
                <w:shd w:fill="FFFF99" w:val="clear"/>
              </w:rPr>
            </w:r>
          </w:p>
        </w:tc>
        <w:tc>
          <w:tcPr>
            <w:tcW w:w="12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right"/>
              <w:rPr>
                <w:rFonts w:eastAsia="Calibri"/>
                <w:b/>
                <w:i/>
                <w:i/>
                <w:iCs/>
                <w:sz w:val="20"/>
                <w:szCs w:val="20"/>
                <w:shd w:fill="FFFF99" w:val="clear"/>
              </w:rPr>
            </w:pPr>
            <w:r>
              <w:rPr>
                <w:rFonts w:eastAsia="Calibri"/>
                <w:b/>
                <w:i/>
                <w:iCs/>
                <w:sz w:val="20"/>
                <w:szCs w:val="20"/>
                <w:shd w:fill="FFFF99" w:val="clear"/>
              </w:rPr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false"/>
              <w:spacing w:before="0" w:after="0"/>
              <w:jc w:val="right"/>
              <w:rPr>
                <w:rFonts w:eastAsia="Calibri"/>
                <w:b/>
                <w:i/>
                <w:i/>
                <w:iCs/>
                <w:sz w:val="20"/>
                <w:szCs w:val="20"/>
                <w:shd w:fill="FFFF99" w:val="clear"/>
              </w:rPr>
            </w:pPr>
            <w:r>
              <w:rPr>
                <w:rFonts w:eastAsia="Calibri"/>
                <w:b/>
                <w:i/>
                <w:iCs/>
                <w:sz w:val="20"/>
                <w:szCs w:val="20"/>
                <w:shd w:fill="FFFF99" w:val="clear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jc w:val="right"/>
        <w:rPr>
          <w:b/>
          <w:i/>
          <w:i/>
          <w:iCs/>
          <w:sz w:val="22"/>
          <w:szCs w:val="22"/>
          <w:shd w:fill="FFFF99" w:val="clear"/>
        </w:rPr>
      </w:pPr>
      <w:r>
        <w:rPr>
          <w:b/>
          <w:i/>
          <w:iCs/>
          <w:sz w:val="22"/>
          <w:szCs w:val="22"/>
          <w:shd w:fill="FFFF99" w:val="clear"/>
        </w:rPr>
      </w:r>
    </w:p>
    <w:p>
      <w:pPr>
        <w:pStyle w:val="Normal"/>
        <w:shd w:val="clear" w:color="auto" w:fill="FFFFFF"/>
        <w:suppressAutoHyphens w:val="false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Составил:    </w:t>
      </w:r>
      <w:r>
        <w:rPr>
          <w:sz w:val="22"/>
          <w:szCs w:val="22"/>
        </w:rPr>
        <w:t>/должность, организация/_______/подпись/___________/расшифровка подписи/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sectPr>
          <w:headerReference w:type="default" r:id="rId10"/>
          <w:headerReference w:type="first" r:id="rId11"/>
          <w:footnotePr>
            <w:numFmt w:val="decimal"/>
            <w:numRestart w:val="eachPage"/>
          </w:footnotePr>
          <w:type w:val="nextPage"/>
          <w:pgSz w:w="11906" w:h="16838"/>
          <w:pgMar w:left="766" w:right="709" w:gutter="0" w:header="709" w:top="1245" w:footer="0" w:bottom="425"/>
          <w:pgNumType w:fmt="decimal"/>
          <w:formProt w:val="false"/>
          <w:textDirection w:val="lrTb"/>
          <w:docGrid w:type="default" w:linePitch="381" w:charSpace="0"/>
        </w:sectPr>
        <w:pStyle w:val="Normal"/>
        <w:rPr>
          <w:rFonts w:cs="Arial"/>
          <w:color w:val="000000"/>
        </w:rPr>
      </w:pPr>
      <w:r>
        <w:rPr>
          <w:b/>
          <w:sz w:val="22"/>
          <w:szCs w:val="22"/>
        </w:rPr>
        <w:t xml:space="preserve">Проверил:     </w:t>
      </w:r>
      <w:r>
        <w:rPr>
          <w:sz w:val="22"/>
          <w:szCs w:val="22"/>
        </w:rPr>
        <w:t>/должность, организация/_______/подпись/___________/расшифровка по</w:t>
      </w:r>
      <w:r>
        <w:rPr>
          <w:rFonts w:cs="Arial"/>
          <w:color w:val="000000"/>
        </w:rPr>
        <w:t xml:space="preserve"> </w:t>
      </w:r>
    </w:p>
    <w:p>
      <w:pPr>
        <w:pStyle w:val="Normal"/>
        <w:suppressAutoHyphens w:val="false"/>
        <w:spacing w:before="0" w:after="0"/>
        <w:ind w:left="928" w:right="666"/>
        <w:contextualSpacing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№4 </w:t>
      </w:r>
    </w:p>
    <w:p>
      <w:pPr>
        <w:pStyle w:val="Normal"/>
        <w:widowControl w:val="false"/>
        <w:suppressAutoHyphens w:val="false"/>
        <w:ind w:left="928" w:right="666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к Требованиям к составлению и оформлению</w:t>
      </w:r>
    </w:p>
    <w:p>
      <w:pPr>
        <w:pStyle w:val="Normal"/>
        <w:widowControl w:val="false"/>
        <w:suppressAutoHyphens w:val="false"/>
        <w:ind w:left="928" w:right="666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документации по ценообразованию</w:t>
      </w:r>
    </w:p>
    <w:p>
      <w:pPr>
        <w:pStyle w:val="Normal"/>
        <w:shd w:val="clear" w:color="auto" w:fill="FFFFFF"/>
        <w:suppressAutoHyphens w:val="false"/>
        <w:spacing w:before="0" w:afterAutospacing="1"/>
        <w:ind w:firstLine="567"/>
        <w:jc w:val="center"/>
        <w:textAlignment w:val="baseline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shd w:val="clear" w:color="auto" w:fill="FFFFFF"/>
        <w:suppressAutoHyphens w:val="false"/>
        <w:spacing w:before="0" w:afterAutospacing="1"/>
        <w:ind w:firstLine="567"/>
        <w:jc w:val="center"/>
        <w:textAlignment w:val="baseline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Пример расчета единого индекса-дефлятора к договору</w:t>
      </w:r>
    </w:p>
    <w:p>
      <w:pPr>
        <w:pStyle w:val="Normal"/>
        <w:tabs>
          <w:tab w:val="clear" w:pos="708"/>
          <w:tab w:val="left" w:pos="1134" w:leader="none"/>
        </w:tabs>
        <w:suppressAutoHyphens w:val="false"/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В соответствии с условиями Договора начало строительства – сентябрь 2024г, окончание декабрь 2025 г. Продолжительность реконструкции / строительства составляет– 16 месяцев.</w:t>
      </w:r>
      <w:r>
        <w:rPr>
          <w:sz w:val="24"/>
          <w:szCs w:val="24"/>
        </w:rPr>
        <w:t xml:space="preserve"> </w:t>
      </w:r>
      <w:r>
        <w:rPr>
          <w:iCs/>
          <w:sz w:val="24"/>
          <w:szCs w:val="24"/>
        </w:rPr>
        <w:t>Сметная документация составлена с применением СНБ – ГЭСН-2020, ФЕР – 2020 (с изм 1-9).</w:t>
      </w:r>
    </w:p>
    <w:p>
      <w:pPr>
        <w:pStyle w:val="Normal"/>
        <w:tabs>
          <w:tab w:val="clear" w:pos="708"/>
          <w:tab w:val="left" w:pos="1134" w:leader="none"/>
        </w:tabs>
        <w:suppressAutoHyphens w:val="false"/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Доля сметной стоимости в 2024 году – 0,25 (4 мес. из 16) </w:t>
      </w:r>
    </w:p>
    <w:p>
      <w:pPr>
        <w:pStyle w:val="Normal"/>
        <w:tabs>
          <w:tab w:val="clear" w:pos="708"/>
          <w:tab w:val="left" w:pos="1134" w:leader="none"/>
        </w:tabs>
        <w:suppressAutoHyphens w:val="false"/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Доля сметной стоимости в 2025 году - 0,75 (12 мес. из 16).</w:t>
      </w:r>
    </w:p>
    <w:p>
      <w:pPr>
        <w:pStyle w:val="Normal"/>
        <w:tabs>
          <w:tab w:val="clear" w:pos="708"/>
          <w:tab w:val="left" w:pos="1134" w:leader="none"/>
        </w:tabs>
        <w:suppressAutoHyphens w:val="false"/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Годовой индекс инфляции по данным Министерства экономического развития (письмо от __.__.20__г №_____ «__________________»): </w:t>
      </w:r>
    </w:p>
    <w:p>
      <w:pPr>
        <w:pStyle w:val="Normal"/>
        <w:tabs>
          <w:tab w:val="clear" w:pos="708"/>
          <w:tab w:val="left" w:pos="1134" w:leader="none"/>
        </w:tabs>
        <w:suppressAutoHyphens w:val="false"/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на 2024г. - 114,6%, </w:t>
      </w:r>
    </w:p>
    <w:p>
      <w:pPr>
        <w:pStyle w:val="Normal"/>
        <w:tabs>
          <w:tab w:val="clear" w:pos="708"/>
          <w:tab w:val="left" w:pos="1134" w:leader="none"/>
        </w:tabs>
        <w:suppressAutoHyphens w:val="false"/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на 2025г. – 107,0%:</w:t>
      </w:r>
    </w:p>
    <w:p>
      <w:pPr>
        <w:pStyle w:val="Normal"/>
        <w:tabs>
          <w:tab w:val="clear" w:pos="708"/>
          <w:tab w:val="left" w:pos="1134" w:leader="none"/>
        </w:tabs>
        <w:suppressAutoHyphens w:val="false"/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Ежемесячный индекс-инфляции: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uppressAutoHyphens w:val="false"/>
        <w:jc w:val="both"/>
        <w:rPr>
          <w:color w:val="000000"/>
          <w:sz w:val="24"/>
          <w:szCs w:val="24"/>
        </w:rPr>
      </w:pPr>
      <w:r>
        <w:rPr/>
        <mc:AlternateContent>
          <mc:Choice Requires="wps">
            <w:drawing>
              <wp:inline distT="0" distB="0" distL="0" distR="0" wp14:anchorId="196A4D0A">
                <wp:extent cx="2303780" cy="228600"/>
                <wp:effectExtent l="0" t="0" r="0" b="0"/>
                <wp:docPr id="1" name="Text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3640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="0" w:after="280"/>
                              <w:rPr/>
                            </w:pPr>
                            <w:r>
                              <w:rPr>
                                <w:color w:val="000000"/>
                              </w:rPr>
                            </w:r>
                            <m:oMath xmlns:m="http://schemas.openxmlformats.org/officeDocument/2006/math">
                              <m:r>
                                <w:rPr>
                                  <w:rFonts w:ascii="Cambria Math" w:hAnsi="Cambria Math"/>
                                </w:rPr>
                                <m:t xml:space="preserve">И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инф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мес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2024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=</m:t>
                              </m:r>
                              <m:rad>
                                <m:deg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12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1.146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/>
                                </w:rPr>
                                <m:t xml:space="preserve">=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1,0114</m:t>
                              </m:r>
                            </m:oMath>
                            <w:r>
                              <w:rPr>
                                <w:iCs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,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3" path="m0,0l-2147483645,0l-2147483645,-2147483646l0,-2147483646xe" stroked="f" o:allowincell="f" style="position:absolute;margin-left:0pt;margin-top:-18.05pt;width:181.35pt;height:17.95pt;mso-wrap-style:square;v-text-anchor:top;mso-position-vertical:top" wp14:anchorId="196A4D0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spacing w:before="0" w:after="280"/>
                        <w:rPr/>
                      </w:pPr>
                      <w:r>
                        <w:rPr>
                          <w:color w:val="000000"/>
                        </w:rPr>
                      </w:r>
                      <m:oMath xmlns:m="http://schemas.openxmlformats.org/officeDocument/2006/math">
                        <m:r>
                          <w:rPr>
                            <w:rFonts w:ascii="Cambria Math" w:hAnsi="Cambria Math"/>
                          </w:rPr>
                          <m:t xml:space="preserve">И</m:t>
                        </m:r>
                        <m:r>
                          <w:rPr>
                            <w:rFonts w:ascii="Cambria Math" w:hAnsi="Cambria Math"/>
                          </w:rPr>
                          <m:t xml:space="preserve">инф</m:t>
                        </m:r>
                        <m:r>
                          <w:rPr>
                            <w:rFonts w:ascii="Cambria Math" w:hAnsi="Cambria Math"/>
                          </w:rPr>
                          <m:t xml:space="preserve">мес</m:t>
                        </m:r>
                        <m:r>
                          <w:rPr>
                            <w:rFonts w:ascii="Cambria Math" w:hAnsi="Cambria Math"/>
                          </w:rPr>
                          <m:t xml:space="preserve">2024</m:t>
                        </m:r>
                        <m:r>
                          <w:rPr>
                            <w:rFonts w:ascii="Cambria Math" w:hAnsi="Cambria Math"/>
                          </w:rPr>
                          <m:t xml:space="preserve">=</m:t>
                        </m:r>
                        <m:rad>
                          <m:deg>
                            <m:r>
                              <w:rPr>
                                <w:rFonts w:ascii="Cambria Math" w:hAnsi="Cambria Math"/>
                              </w:rPr>
                              <m:t xml:space="preserve">12</m:t>
                            </m:r>
                          </m:deg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1.146</m:t>
                            </m:r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 xml:space="preserve">=</m:t>
                        </m:r>
                        <m:r>
                          <w:rPr>
                            <w:rFonts w:ascii="Cambria Math" w:hAnsi="Cambria Math"/>
                          </w:rPr>
                          <m:t xml:space="preserve">1,0114</m:t>
                        </m:r>
                      </m:oMath>
                      <w:r>
                        <w:rPr>
                          <w:iCs/>
                          <w:color w:val="000000"/>
                        </w:rPr>
                        <w:t xml:space="preserve"> </w:t>
                      </w:r>
                      <w:r>
                        <w:rPr>
                          <w:iCs/>
                          <w:color w:val="000000"/>
                          <w:sz w:val="28"/>
                          <w:szCs w:val="28"/>
                        </w:rPr>
                        <w:t xml:space="preserve">,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suppressAutoHyphens w:val="false"/>
        <w:spacing w:beforeAutospacing="1" w:afterAutospacing="1"/>
        <w:jc w:val="both"/>
        <w:rPr>
          <w:iCs/>
          <w:color w:val="000000"/>
          <w:sz w:val="24"/>
          <w:szCs w:val="24"/>
        </w:rPr>
      </w:pPr>
      <w:r>
        <w:rPr/>
      </w:r>
      <m:oMath xmlns:m="http://schemas.openxmlformats.org/officeDocument/2006/math">
        <m:rad>
          <m:deg/>
          <m:e/>
        </m:rad>
      </m:oMath>
      <w:r>
        <w:rPr>
          <w:iCs/>
          <w:color w:val="000000"/>
          <w:sz w:val="24"/>
          <w:szCs w:val="24"/>
        </w:rPr>
        <w:t xml:space="preserve">, </w:t>
      </w:r>
      <w:bookmarkStart w:id="99" w:name="_GoBack"/>
      <w:bookmarkEnd w:id="99"/>
    </w:p>
    <w:p>
      <w:pPr>
        <w:pStyle w:val="Normal"/>
        <w:tabs>
          <w:tab w:val="clear" w:pos="708"/>
          <w:tab w:val="left" w:pos="1134" w:leader="none"/>
        </w:tabs>
        <w:suppressAutoHyphens w:val="false"/>
        <w:spacing w:before="0" w:after="4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Индекс-инфляции на период исполнения договора</w:t>
      </w:r>
    </w:p>
    <w:p>
      <w:pPr>
        <w:pStyle w:val="Normal"/>
        <w:tabs>
          <w:tab w:val="clear" w:pos="708"/>
          <w:tab w:val="left" w:pos="0" w:leader="none"/>
        </w:tabs>
        <w:suppressAutoHyphens w:val="false"/>
        <w:jc w:val="both"/>
        <w:rPr>
          <w:i/>
          <w:i/>
          <w:iCs/>
          <w:sz w:val="24"/>
          <w:szCs w:val="24"/>
        </w:rPr>
      </w:pPr>
      <w:r>
        <w:rPr/>
        <w:t>​</w:t>
      </w:r>
      <w:r>
        <mc:AlternateContent>
          <mc:Choice Requires="wps">
            <w:drawing>
              <wp:anchor behindDoc="0" distT="0" distB="0" distL="0" distR="0" simplePos="0" locked="0" layoutInCell="0" allowOverlap="1" relativeHeight="5" wp14:anchorId="6C0CCBFF">
                <wp:simplePos x="0" y="0"/>
                <wp:positionH relativeFrom="column">
                  <wp:posOffset>41910</wp:posOffset>
                </wp:positionH>
                <wp:positionV relativeFrom="paragraph">
                  <wp:posOffset>8890</wp:posOffset>
                </wp:positionV>
                <wp:extent cx="3253740" cy="403860"/>
                <wp:effectExtent l="0" t="0" r="0" b="0"/>
                <wp:wrapNone/>
                <wp:docPr id="3" name="Text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680" cy="403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="0" w:after="280"/>
                              <w:ind w:left="-567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m:oMathPara xmlns:m="http://schemas.openxmlformats.org/officeDocument/2006/math">
                              <m:oMathParaPr>
                                <m:jc m:val="center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И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инфл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пер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2024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=</m:t>
                                </m:r>
                                <m:d>
                                  <m:dPr>
                                    <m:begChr m:val="("/>
                                    <m:endChr m:val=")"/>
                                  </m:dPr>
                                  <m:e>
                                    <m:f>
                                      <m:num>
                                        <m:sSup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 xml:space="preserve">1,0114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 xml:space="preserve">3</m:t>
                                            </m:r>
                                          </m:sup>
                                        </m:s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−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2</m:t>
                                        </m:r>
                                      </m:den>
                                    </m:f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 xml:space="preserve">+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1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=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1,0173</m:t>
                                </m:r>
                              </m:oMath>
                            </m:oMathPara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4" path="m0,0l-2147483645,0l-2147483645,-2147483646l0,-2147483646xe" stroked="f" o:allowincell="f" style="position:absolute;margin-left:3.3pt;margin-top:0.7pt;width:256.15pt;height:31.75pt;mso-wrap-style:none;v-text-anchor:middle" wp14:anchorId="6C0CCBF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spacing w:before="0" w:after="280"/>
                        <w:ind w:left="-567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  <m:oMathPara xmlns:m="http://schemas.openxmlformats.org/officeDocument/2006/math">
                        <m:oMathParaPr>
                          <m:jc m:val="center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И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инфл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пер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2024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=</m:t>
                          </m:r>
                          <m:d>
                            <m:dPr>
                              <m:begChr m:val="("/>
                              <m:endChr m:val=")"/>
                            </m:dPr>
                            <m:e>
                              <m:f>
                                <m:num>
                                  <m:sSup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1,0114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3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−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2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 xml:space="preserve">+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1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=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1,0173</m:t>
                          </m:r>
                        </m:oMath>
                      </m:oMathPara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​</w:t>
      </w:r>
    </w:p>
    <w:p>
      <w:pPr>
        <w:pStyle w:val="Normal"/>
        <w:tabs>
          <w:tab w:val="clear" w:pos="708"/>
          <w:tab w:val="left" w:pos="0" w:leader="none"/>
        </w:tabs>
        <w:suppressAutoHyphens w:val="false"/>
        <w:spacing w:before="0" w:after="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1134" w:leader="none"/>
        </w:tabs>
        <w:suppressAutoHyphens w:val="false"/>
        <w:ind w:firstLine="567"/>
        <w:jc w:val="both"/>
        <w:rPr>
          <w:i/>
          <w:i/>
          <w:iCs/>
          <w:sz w:val="24"/>
          <w:szCs w:val="24"/>
        </w:rPr>
      </w:pPr>
      <w:r>
        <w:rPr/>
        <w:t>​</w:t>
      </w:r>
      <w:r>
        <mc:AlternateContent>
          <mc:Choice Requires="wps">
            <w:drawing>
              <wp:anchor behindDoc="0" distT="0" distB="0" distL="0" distR="0" simplePos="0" locked="0" layoutInCell="0" allowOverlap="1" relativeHeight="7" wp14:anchorId="54348529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3680460" cy="373380"/>
                <wp:effectExtent l="0" t="0" r="0" b="0"/>
                <wp:wrapNone/>
                <wp:docPr id="5" name="Text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0640" cy="373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="0" w:after="28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m:oMathPara xmlns:m="http://schemas.openxmlformats.org/officeDocument/2006/math">
                              <m:oMathParaPr>
                                <m:jc m:val="center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И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инфл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пер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2025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=</m:t>
                                </m:r>
                                <m:sSup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1,0114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3</m:t>
                                    </m:r>
                                  </m:sup>
                                </m:sSup>
                                <m:d>
                                  <m:dPr>
                                    <m:begChr m:val="("/>
                                    <m:endChr m:val=")"/>
                                  </m:dPr>
                                  <m:e>
                                    <m:f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1,0057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−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1,07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2</m:t>
                                        </m:r>
                                      </m:den>
                                    </m:f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 xml:space="preserve">=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1,0738</m:t>
                                </m:r>
                              </m:oMath>
                            </m:oMathPara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4" path="m0,0l-2147483645,0l-2147483645,-2147483646l0,-2147483646xe" stroked="f" o:allowincell="f" style="position:absolute;margin-left:0pt;margin-top:0.45pt;width:289.75pt;height:29.35pt;mso-wrap-style:none;v-text-anchor:middle;mso-position-horizontal:left;mso-position-horizontal-relative:margin" wp14:anchorId="54348529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spacing w:before="0" w:after="28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  <m:oMathPara xmlns:m="http://schemas.openxmlformats.org/officeDocument/2006/math">
                        <m:oMathParaPr>
                          <m:jc m:val="center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И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инфл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пер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2025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=</m:t>
                          </m:r>
                          <m:sSup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 xml:space="preserve">1,0114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 xml:space="preserve">3</m:t>
                              </m:r>
                            </m:sup>
                          </m:sSup>
                          <m:d>
                            <m:dPr>
                              <m:begChr m:val="("/>
                              <m:endChr m:val=")"/>
                            </m:dPr>
                            <m:e>
                              <m:f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1,0057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−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1,07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2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 xml:space="preserve">=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1,0738</m:t>
                          </m:r>
                        </m:oMath>
                      </m:oMathPara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​</w:t>
      </w:r>
    </w:p>
    <w:p>
      <w:pPr>
        <w:pStyle w:val="Normal"/>
        <w:tabs>
          <w:tab w:val="clear" w:pos="708"/>
          <w:tab w:val="left" w:pos="1134" w:leader="none"/>
        </w:tabs>
        <w:suppressAutoHyphens w:val="false"/>
        <w:ind w:firstLine="567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tabs>
          <w:tab w:val="clear" w:pos="708"/>
          <w:tab w:val="left" w:pos="1134" w:leader="none"/>
        </w:tabs>
        <w:suppressAutoHyphens w:val="false"/>
        <w:ind w:firstLine="567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tabs>
          <w:tab w:val="clear" w:pos="708"/>
          <w:tab w:val="left" w:pos="1134" w:leader="none"/>
        </w:tabs>
        <w:suppressAutoHyphens w:val="false"/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Итого индекс-инфляции на 2024-2025гг. 0,25*1,0173+0,75*1,0738=1,0597</w:t>
      </w:r>
    </w:p>
    <w:p>
      <w:pPr>
        <w:pStyle w:val="Normal"/>
        <w:rPr>
          <w:rFonts w:cs="Arial"/>
          <w:color w:val="000000"/>
        </w:rPr>
      </w:pPr>
      <w:r>
        <w:rPr/>
        <w:drawing>
          <wp:inline distT="0" distB="0" distL="0" distR="0">
            <wp:extent cx="5932170" cy="3152140"/>
            <wp:effectExtent l="0" t="0" r="0" b="0"/>
            <wp:docPr id="7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15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cs="Arial"/>
          <w:color w:val="000000"/>
        </w:rPr>
      </w:pPr>
      <w:r>
        <w:rPr>
          <w:rFonts w:cs="Arial"/>
          <w:color w:val="000000"/>
        </w:rPr>
      </w:r>
    </w:p>
    <w:sectPr>
      <w:headerReference w:type="default" r:id="rId13"/>
      <w:headerReference w:type="first" r:id="rId14"/>
      <w:footnotePr>
        <w:numFmt w:val="decimal"/>
        <w:numRestart w:val="eachPage"/>
      </w:footnotePr>
      <w:type w:val="nextPage"/>
      <w:pgSz w:w="11906" w:h="16838"/>
      <w:pgMar w:left="766" w:right="709" w:gutter="0" w:header="709" w:top="1245" w:footer="0" w:bottom="425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alibri Light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ind w:left="567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Заполняется в соответствии с проектом сметы контракта без изменения содержания</w:t>
      </w:r>
    </w:p>
  </w:footnote>
  <w:footnote w:id="3">
    <w:p>
      <w:pPr>
        <w:pStyle w:val="Normal"/>
        <w:widowControl w:val="false"/>
        <w:shd w:val="clear" w:color="auto" w:fill="FFFFFF"/>
        <w:ind w:left="567"/>
        <w:rPr>
          <w:color w:val="1A1A1A"/>
          <w:sz w:val="20"/>
          <w:szCs w:val="20"/>
        </w:rPr>
      </w:pPr>
      <w:r>
        <w:rPr>
          <w:rStyle w:val="Style"/>
        </w:rPr>
        <w:footnoteRef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Указывается</w:t>
      </w:r>
      <w:r>
        <w:rPr>
          <w:color w:val="1A1A1A"/>
          <w:sz w:val="20"/>
          <w:szCs w:val="20"/>
        </w:rPr>
        <w:t xml:space="preserve"> (в рублях) стоимость всего, определенная как произведение значений граф 4 и 5 сметы контракта. В отношении оборудования указывается стоимость без НДС и стоимость с НДС в формате "стоимость без НДС (стоимость с НДС)".</w:t>
      </w:r>
    </w:p>
    <w:p>
      <w:pPr>
        <w:pStyle w:val="FootnoteText"/>
        <w:widowControl w:val="false"/>
        <w:ind w:left="567"/>
        <w:rPr/>
      </w:pPr>
      <w:r>
        <w:rPr/>
      </w:r>
    </w:p>
  </w:footnote>
  <w:footnote w:id="4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Заполняется в соответствии с проектом сметы контракта без изменения содержания</w:t>
      </w:r>
    </w:p>
  </w:footnote>
  <w:footnote w:id="5">
    <w:p>
      <w:pPr>
        <w:pStyle w:val="Normal"/>
        <w:widowControl w:val="false"/>
        <w:shd w:val="clear" w:color="auto" w:fill="FFFFFF"/>
        <w:rPr/>
      </w:pPr>
      <w:r>
        <w:rPr>
          <w:rStyle w:val="Style"/>
        </w:rPr>
        <w:footnoteRef/>
      </w:r>
      <w:r>
        <w:rPr/>
        <w:t xml:space="preserve"> </w:t>
      </w:r>
      <w:r>
        <w:rPr>
          <w:sz w:val="20"/>
          <w:szCs w:val="20"/>
        </w:rPr>
        <w:t>Указывается</w:t>
      </w:r>
      <w:r>
        <w:rPr>
          <w:color w:val="1A1A1A"/>
          <w:sz w:val="20"/>
          <w:szCs w:val="20"/>
        </w:rPr>
        <w:t xml:space="preserve"> (в рублях) стоимость всего, определенная как произведение значений граф 4 и 5 сметы контракта. В отношении оборудования указывается стоимость без НДС и стоимость с НДС в формате "стоимость без НДС (стоимость с НДС)".</w:t>
      </w:r>
    </w:p>
  </w:footnote>
  <w:footnote w:id="6">
    <w:p>
      <w:pPr>
        <w:pStyle w:val="Normal"/>
        <w:widowControl w:val="false"/>
        <w:shd w:val="clear" w:color="auto" w:fill="FFFFFF"/>
        <w:rPr>
          <w:color w:val="1A1A1A"/>
          <w:sz w:val="20"/>
          <w:szCs w:val="20"/>
        </w:rPr>
      </w:pPr>
      <w:r>
        <w:rPr>
          <w:rStyle w:val="Style"/>
        </w:rPr>
        <w:footnoteRef/>
      </w:r>
      <w:r>
        <w:rPr>
          <w:sz w:val="20"/>
          <w:szCs w:val="20"/>
        </w:rPr>
        <w:t xml:space="preserve"> </w:t>
      </w:r>
      <w:r>
        <w:rPr>
          <w:color w:val="1A1A1A"/>
          <w:sz w:val="20"/>
          <w:szCs w:val="20"/>
        </w:rPr>
        <w:t xml:space="preserve">Наименование оборудования указывается в случае его выделения отдельной строкой (если оборудование в соответствии с законодательством Российской Федерации о бухгалтерском учете подлежит принятию к бухгалтерскому учету в качестве отдельного объекта основных средств. В иных случаях решение о выделении оборудования отдельной строкой принимается заказчиком)  </w:t>
      </w:r>
    </w:p>
    <w:p>
      <w:pPr>
        <w:pStyle w:val="FootnoteText"/>
        <w:widowControl w:val="false"/>
        <w:rPr/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16"/>
        <w:szCs w:val="16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823927558"/>
    </w:sdtPr>
    <w:sdtContent>
      <w:p>
        <w:pPr>
          <w:pStyle w:val="Header"/>
          <w:jc w:val="center"/>
          <w:rPr>
            <w:sz w:val="16"/>
            <w:szCs w:val="16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16"/>
        <w:szCs w:val="16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18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34573781"/>
    </w:sdtPr>
    <w:sdtContent>
      <w:p>
        <w:pPr>
          <w:pStyle w:val="Header"/>
          <w:jc w:val="center"/>
          <w:rPr>
            <w:sz w:val="16"/>
            <w:szCs w:val="16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10</w:t>
        </w:r>
        <w:r>
          <w:rPr/>
          <w:fldChar w:fldCharType="end"/>
        </w:r>
      </w:p>
    </w:sdtContent>
  </w:sdt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23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25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16"/>
        <w:szCs w:val="16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26</w:t>
    </w:r>
    <w:r>
      <w:rPr/>
      <w:fldChar w:fldCharType="end"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16"/>
        <w:szCs w:val="16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27</w:t>
    </w:r>
    <w:r>
      <w:rPr/>
      <w:fldChar w:fldCharType="end"/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eastAsia="Calibri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38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0"/>
  <w:trackRevision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umentProtection w:edit="trackedChanges" w:enforcement="1" w:cryptAlgorithmSid="14" w:cryptSpinCount="100000" w:cryptProviderType="rsaAES" w:cryptAlgorithmClass="hash" w:cryptAlgorithmType="typeAny" w:salt="uIi7Urnf0Y4mLsFoozPJNA==" w:hash="I3VTPcujA85Mmw0A6y+5fRKNbkGWgV0S3Q7KgvnOYPgOZPyH4WhVlb3jafvsoIhOeVUpJd4+x6lqVVm+R45h7A==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f041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493aa3"/>
    <w:pPr>
      <w:tabs>
        <w:tab w:val="clear" w:pos="0"/>
      </w:tabs>
      <w:ind w:hanging="0" w:left="0"/>
      <w:outlineLvl w:val="0"/>
    </w:pPr>
    <w:rPr>
      <w:b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93aa3"/>
    <w:pPr>
      <w:tabs>
        <w:tab w:val="clear" w:pos="708"/>
        <w:tab w:val="left" w:pos="0" w:leader="none"/>
      </w:tabs>
      <w:ind w:hanging="504" w:left="1224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297d32"/>
    <w:pPr>
      <w:ind w:firstLine="709" w:left="0"/>
      <w:outlineLvl w:val="3"/>
    </w:pPr>
    <w:rPr>
      <w:b/>
      <w:bCs/>
      <w:color w:val="000000" w:themeColor="text1"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uiPriority w:val="99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493aa3"/>
    <w:rPr>
      <w:rFonts w:eastAsia="Calibri"/>
      <w:b/>
      <w:sz w:val="24"/>
      <w:szCs w:val="24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93aa3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297d32"/>
    <w:rPr>
      <w:rFonts w:eastAsia="Calibri"/>
      <w:b/>
      <w:bCs/>
      <w:color w:val="000000" w:themeColor="text1"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4f0b32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650926"/>
    <w:rPr>
      <w:color w:val="954F72"/>
      <w:u w:val="single"/>
    </w:rPr>
  </w:style>
  <w:style w:type="character" w:styleId="ConsPlusNormal" w:customStyle="1">
    <w:name w:val="ConsPlusNormal Знак"/>
    <w:link w:val="ConsPlusNormal1"/>
    <w:qFormat/>
    <w:rsid w:val="003f20f5"/>
    <w:rPr>
      <w:rFonts w:ascii="Arial" w:hAnsi="Arial" w:cs="Arial"/>
    </w:rPr>
  </w:style>
  <w:style w:type="character" w:styleId="14" w:customStyle="1">
    <w:name w:val="Заголовок1 Знак"/>
    <w:basedOn w:val="1"/>
    <w:link w:val="111"/>
    <w:qFormat/>
    <w:rsid w:val="00f820bc"/>
    <w:rPr>
      <w:rFonts w:eastAsia="Calibri"/>
      <w:b/>
      <w:sz w:val="28"/>
      <w:szCs w:val="28"/>
      <w:lang w:val="x-none" w:eastAsia="x-non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8201d6"/>
    <w:rPr>
      <w:rFonts w:ascii="Tahoma" w:hAnsi="Tahoma" w:cs="Tahoma"/>
      <w:sz w:val="16"/>
      <w:szCs w:val="16"/>
    </w:rPr>
  </w:style>
  <w:style w:type="character" w:styleId="Linenumber1" w:customStyle="1">
    <w:name w:val="line number1"/>
    <w:qFormat/>
    <w:rPr/>
  </w:style>
  <w:style w:type="character" w:styleId="Style15" w:customStyle="1">
    <w:name w:val="Ссылка указателя"/>
    <w:qFormat/>
    <w:rPr/>
  </w:style>
  <w:style w:type="character" w:styleId="Style16" w:customStyle="1">
    <w:name w:val="Текст Знак"/>
    <w:basedOn w:val="DefaultParagraphFont"/>
    <w:link w:val="PlainText"/>
    <w:uiPriority w:val="99"/>
    <w:semiHidden/>
    <w:qFormat/>
    <w:rsid w:val="005f0f7f"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character" w:styleId="Style17" w:customStyle="1">
    <w:name w:val="Символ нумерации"/>
    <w:qFormat/>
    <w:rPr/>
  </w:style>
  <w:style w:type="character" w:styleId="Linenumber2" w:customStyle="1">
    <w:name w:val="line number2"/>
    <w:qFormat/>
    <w:rPr/>
  </w:style>
  <w:style w:type="character" w:styleId="Linenumber3" w:customStyle="1">
    <w:name w:val="line number3"/>
    <w:qFormat/>
    <w:rPr/>
  </w:style>
  <w:style w:type="character" w:styleId="Linenumber4" w:customStyle="1">
    <w:name w:val="line number4"/>
    <w:qFormat/>
    <w:rPr/>
  </w:style>
  <w:style w:type="character" w:styleId="Linenumber5" w:customStyle="1">
    <w:name w:val="line number5"/>
    <w:qFormat/>
    <w:rPr/>
  </w:style>
  <w:style w:type="character" w:styleId="Linenumber6">
    <w:name w:val="line number6"/>
    <w:qFormat/>
    <w:rPr/>
  </w:style>
  <w:style w:type="character" w:styleId="LineNumber">
    <w:name w:val="Line Number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1111" w:customStyle="1">
    <w:name w:val="index heading1111111111"/>
    <w:basedOn w:val="Title"/>
    <w:qFormat/>
    <w:pPr/>
    <w:rPr/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11111" w:customStyle="1">
    <w:name w:val="index heading11111111111"/>
    <w:basedOn w:val="Title"/>
    <w:qFormat/>
    <w:pPr/>
    <w:rPr/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111111" w:customStyle="1">
    <w:name w:val="index heading111111111111"/>
    <w:basedOn w:val="Title"/>
    <w:qFormat/>
    <w:pPr/>
    <w:rPr/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1111" w:customStyle="1">
    <w:name w:val="index heading1111111111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e2850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8b084c"/>
    <w:pPr>
      <w:tabs>
        <w:tab w:val="clear" w:pos="708"/>
        <w:tab w:val="left" w:pos="1120" w:leader="none"/>
        <w:tab w:val="right" w:pos="9911" w:leader="dot"/>
      </w:tabs>
      <w:ind w:left="567"/>
      <w:jc w:val="both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14"/>
    <w:uiPriority w:val="99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2376ae"/>
    <w:pPr>
      <w:tabs>
        <w:tab w:val="clear" w:pos="708"/>
        <w:tab w:val="left" w:pos="1120" w:leader="none"/>
        <w:tab w:val="right" w:pos="9911" w:leader="dot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111111" w:customStyle="1">
    <w:name w:val="caption111111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" w:customStyle="1">
    <w:name w:val="msonormal"/>
    <w:basedOn w:val="Normal"/>
    <w:qFormat/>
    <w:rsid w:val="00650926"/>
    <w:pPr>
      <w:spacing w:beforeAutospacing="1" w:afterAutospacing="1"/>
    </w:pPr>
    <w:rPr>
      <w:sz w:val="24"/>
      <w:szCs w:val="24"/>
    </w:rPr>
  </w:style>
  <w:style w:type="paragraph" w:styleId="Xl65" w:customStyle="1">
    <w:name w:val="xl65"/>
    <w:basedOn w:val="Normal"/>
    <w:qFormat/>
    <w:rsid w:val="00650926"/>
    <w:pPr>
      <w:spacing w:beforeAutospacing="1" w:afterAutospacing="1"/>
      <w:jc w:val="center"/>
      <w:textAlignment w:val="center"/>
    </w:pPr>
    <w:rPr>
      <w:rFonts w:ascii="Calibri Light" w:hAnsi="Calibri Light" w:cs="Calibri Light"/>
      <w:b/>
      <w:bCs/>
      <w:sz w:val="24"/>
      <w:szCs w:val="24"/>
    </w:rPr>
  </w:style>
  <w:style w:type="paragraph" w:styleId="Xl66" w:customStyle="1">
    <w:name w:val="xl66"/>
    <w:basedOn w:val="Normal"/>
    <w:qFormat/>
    <w:rsid w:val="00650926"/>
    <w:pPr>
      <w:spacing w:beforeAutospacing="1" w:afterAutospacing="1"/>
      <w:textAlignment w:val="center"/>
    </w:pPr>
    <w:rPr>
      <w:rFonts w:ascii="Calibri Light" w:hAnsi="Calibri Light" w:cs="Calibri Light"/>
      <w:b/>
      <w:bCs/>
      <w:sz w:val="24"/>
      <w:szCs w:val="24"/>
    </w:rPr>
  </w:style>
  <w:style w:type="paragraph" w:styleId="Xl67" w:customStyle="1">
    <w:name w:val="xl67"/>
    <w:basedOn w:val="Normal"/>
    <w:qFormat/>
    <w:rsid w:val="00650926"/>
    <w:pPr>
      <w:spacing w:beforeAutospacing="1" w:afterAutospacing="1"/>
    </w:pPr>
    <w:rPr>
      <w:rFonts w:ascii="Calibri Light" w:hAnsi="Calibri Light" w:cs="Calibri Light"/>
      <w:sz w:val="24"/>
      <w:szCs w:val="24"/>
    </w:rPr>
  </w:style>
  <w:style w:type="paragraph" w:styleId="Xl68" w:customStyle="1">
    <w:name w:val="xl68"/>
    <w:basedOn w:val="Normal"/>
    <w:qFormat/>
    <w:rsid w:val="00650926"/>
    <w:pPr>
      <w:spacing w:beforeAutospacing="1" w:afterAutospacing="1"/>
      <w:jc w:val="center"/>
      <w:textAlignment w:val="center"/>
    </w:pPr>
    <w:rPr>
      <w:rFonts w:ascii="Calibri Light" w:hAnsi="Calibri Light" w:cs="Calibri Light"/>
      <w:sz w:val="24"/>
      <w:szCs w:val="24"/>
    </w:rPr>
  </w:style>
  <w:style w:type="paragraph" w:styleId="Xl69" w:customStyle="1">
    <w:name w:val="xl69"/>
    <w:basedOn w:val="Normal"/>
    <w:qFormat/>
    <w:rsid w:val="00650926"/>
    <w:pPr>
      <w:spacing w:beforeAutospacing="1" w:afterAutospacing="1"/>
      <w:textAlignment w:val="center"/>
    </w:pPr>
    <w:rPr>
      <w:rFonts w:ascii="Calibri Light" w:hAnsi="Calibri Light" w:cs="Calibri Light"/>
      <w:sz w:val="24"/>
      <w:szCs w:val="24"/>
    </w:rPr>
  </w:style>
  <w:style w:type="paragraph" w:styleId="Xl70" w:customStyle="1">
    <w:name w:val="xl70"/>
    <w:basedOn w:val="Normal"/>
    <w:qFormat/>
    <w:rsid w:val="00650926"/>
    <w:pPr>
      <w:spacing w:beforeAutospacing="1" w:afterAutospacing="1"/>
      <w:jc w:val="center"/>
      <w:textAlignment w:val="center"/>
    </w:pPr>
    <w:rPr>
      <w:rFonts w:ascii="Calibri Light" w:hAnsi="Calibri Light" w:cs="Calibri Light"/>
      <w:b/>
      <w:bCs/>
      <w:sz w:val="24"/>
      <w:szCs w:val="24"/>
    </w:rPr>
  </w:style>
  <w:style w:type="paragraph" w:styleId="Xl71" w:customStyle="1">
    <w:name w:val="xl71"/>
    <w:basedOn w:val="Normal"/>
    <w:qFormat/>
    <w:rsid w:val="00650926"/>
    <w:pPr>
      <w:spacing w:beforeAutospacing="1" w:afterAutospacing="1"/>
      <w:ind w:firstLine="100"/>
      <w:jc w:val="right"/>
      <w:textAlignment w:val="center"/>
    </w:pPr>
    <w:rPr>
      <w:rFonts w:ascii="Calibri Light" w:hAnsi="Calibri Light" w:cs="Calibri Light"/>
      <w:sz w:val="24"/>
      <w:szCs w:val="24"/>
    </w:rPr>
  </w:style>
  <w:style w:type="paragraph" w:styleId="Xl72" w:customStyle="1">
    <w:name w:val="xl72"/>
    <w:basedOn w:val="Normal"/>
    <w:qFormat/>
    <w:rsid w:val="00650926"/>
    <w:pPr>
      <w:spacing w:beforeAutospacing="1" w:afterAutospacing="1"/>
      <w:ind w:firstLine="100"/>
      <w:jc w:val="right"/>
      <w:textAlignment w:val="center"/>
    </w:pPr>
    <w:rPr>
      <w:rFonts w:ascii="Calibri Light" w:hAnsi="Calibri Light" w:cs="Calibri Light"/>
      <w:b/>
      <w:bCs/>
      <w:sz w:val="24"/>
      <w:szCs w:val="24"/>
    </w:rPr>
  </w:style>
  <w:style w:type="paragraph" w:styleId="Xl73" w:customStyle="1">
    <w:name w:val="xl73"/>
    <w:basedOn w:val="Normal"/>
    <w:qFormat/>
    <w:rsid w:val="00650926"/>
    <w:pPr>
      <w:spacing w:beforeAutospacing="1" w:afterAutospacing="1"/>
      <w:jc w:val="center"/>
      <w:textAlignment w:val="center"/>
    </w:pPr>
    <w:rPr>
      <w:rFonts w:ascii="Calibri Light" w:hAnsi="Calibri Light" w:cs="Calibri Light"/>
      <w:b/>
      <w:bCs/>
      <w:color w:val="FF0000"/>
      <w:sz w:val="24"/>
      <w:szCs w:val="24"/>
    </w:rPr>
  </w:style>
  <w:style w:type="paragraph" w:styleId="Xl74" w:customStyle="1">
    <w:name w:val="xl74"/>
    <w:basedOn w:val="Normal"/>
    <w:qFormat/>
    <w:rsid w:val="00650926"/>
    <w:pPr>
      <w:spacing w:beforeAutospacing="1" w:afterAutospacing="1"/>
      <w:textAlignment w:val="center"/>
    </w:pPr>
    <w:rPr>
      <w:rFonts w:ascii="Calibri Light" w:hAnsi="Calibri Light" w:cs="Calibri Light"/>
      <w:b/>
      <w:bCs/>
      <w:color w:val="FF0000"/>
      <w:sz w:val="24"/>
      <w:szCs w:val="24"/>
    </w:rPr>
  </w:style>
  <w:style w:type="paragraph" w:styleId="Xl75" w:customStyle="1">
    <w:name w:val="xl75"/>
    <w:basedOn w:val="Normal"/>
    <w:qFormat/>
    <w:rsid w:val="00650926"/>
    <w:pPr>
      <w:spacing w:beforeAutospacing="1" w:afterAutospacing="1"/>
      <w:textAlignment w:val="center"/>
    </w:pPr>
    <w:rPr>
      <w:rFonts w:ascii="Calibri Light" w:hAnsi="Calibri Light" w:cs="Calibri Light"/>
      <w:sz w:val="24"/>
      <w:szCs w:val="24"/>
    </w:rPr>
  </w:style>
  <w:style w:type="paragraph" w:styleId="Xl76" w:customStyle="1">
    <w:name w:val="xl76"/>
    <w:basedOn w:val="Normal"/>
    <w:qFormat/>
    <w:rsid w:val="00650926"/>
    <w:pPr>
      <w:spacing w:beforeAutospacing="1" w:afterAutospacing="1"/>
      <w:textAlignment w:val="center"/>
    </w:pPr>
    <w:rPr>
      <w:rFonts w:ascii="Calibri Light" w:hAnsi="Calibri Light" w:cs="Calibri Light"/>
      <w:sz w:val="24"/>
      <w:szCs w:val="24"/>
    </w:rPr>
  </w:style>
  <w:style w:type="paragraph" w:styleId="Xl77" w:customStyle="1">
    <w:name w:val="xl77"/>
    <w:basedOn w:val="Normal"/>
    <w:qFormat/>
    <w:rsid w:val="00d751e9"/>
    <w:pPr>
      <w:spacing w:beforeAutospacing="1" w:afterAutospacing="1"/>
      <w:textAlignment w:val="center"/>
    </w:pPr>
    <w:rPr>
      <w:rFonts w:ascii="Calibri Light" w:hAnsi="Calibri Light" w:cs="Calibri Light"/>
      <w:color w:val="000000"/>
      <w:sz w:val="24"/>
      <w:szCs w:val="24"/>
    </w:rPr>
  </w:style>
  <w:style w:type="paragraph" w:styleId="Xl78" w:customStyle="1">
    <w:name w:val="xl78"/>
    <w:basedOn w:val="Normal"/>
    <w:qFormat/>
    <w:rsid w:val="00d751e9"/>
    <w:pPr>
      <w:spacing w:beforeAutospacing="1" w:afterAutospacing="1"/>
      <w:jc w:val="center"/>
      <w:textAlignment w:val="center"/>
    </w:pPr>
    <w:rPr>
      <w:rFonts w:ascii="Calibri Light" w:hAnsi="Calibri Light" w:cs="Calibri Light"/>
      <w:color w:val="000000"/>
      <w:sz w:val="24"/>
      <w:szCs w:val="24"/>
    </w:rPr>
  </w:style>
  <w:style w:type="paragraph" w:styleId="Xl79" w:customStyle="1">
    <w:name w:val="xl79"/>
    <w:basedOn w:val="Normal"/>
    <w:qFormat/>
    <w:rsid w:val="00d751e9"/>
    <w:pPr>
      <w:spacing w:beforeAutospacing="1" w:afterAutospacing="1"/>
      <w:jc w:val="right"/>
      <w:textAlignment w:val="center"/>
    </w:pPr>
    <w:rPr>
      <w:rFonts w:ascii="Calibri Light" w:hAnsi="Calibri Light" w:cs="Calibri Light"/>
      <w:color w:val="000000"/>
      <w:sz w:val="24"/>
      <w:szCs w:val="24"/>
    </w:rPr>
  </w:style>
  <w:style w:type="paragraph" w:styleId="Xl80" w:customStyle="1">
    <w:name w:val="xl80"/>
    <w:basedOn w:val="Normal"/>
    <w:qFormat/>
    <w:rsid w:val="00d751e9"/>
    <w:pPr>
      <w:spacing w:beforeAutospacing="1" w:afterAutospacing="1"/>
      <w:jc w:val="right"/>
      <w:textAlignment w:val="center"/>
    </w:pPr>
    <w:rPr>
      <w:rFonts w:ascii="Calibri Light" w:hAnsi="Calibri Light" w:cs="Calibri Light"/>
      <w:color w:val="000000"/>
      <w:sz w:val="24"/>
      <w:szCs w:val="24"/>
    </w:rPr>
  </w:style>
  <w:style w:type="paragraph" w:styleId="Xl81" w:customStyle="1">
    <w:name w:val="xl81"/>
    <w:basedOn w:val="Normal"/>
    <w:qFormat/>
    <w:rsid w:val="00d751e9"/>
    <w:pPr>
      <w:spacing w:beforeAutospacing="1" w:afterAutospacing="1"/>
      <w:jc w:val="right"/>
      <w:textAlignment w:val="center"/>
    </w:pPr>
    <w:rPr>
      <w:rFonts w:ascii="Calibri Light" w:hAnsi="Calibri Light" w:cs="Calibri Light"/>
      <w:color w:val="000000"/>
      <w:sz w:val="24"/>
      <w:szCs w:val="24"/>
    </w:rPr>
  </w:style>
  <w:style w:type="paragraph" w:styleId="Xl82" w:customStyle="1">
    <w:name w:val="xl82"/>
    <w:basedOn w:val="Normal"/>
    <w:qFormat/>
    <w:rsid w:val="00d751e9"/>
    <w:pPr>
      <w:spacing w:beforeAutospacing="1" w:afterAutospacing="1"/>
      <w:jc w:val="right"/>
      <w:textAlignment w:val="center"/>
    </w:pPr>
    <w:rPr>
      <w:rFonts w:ascii="Calibri Light" w:hAnsi="Calibri Light" w:cs="Calibri Light"/>
      <w:color w:val="000000"/>
      <w:sz w:val="24"/>
      <w:szCs w:val="24"/>
    </w:rPr>
  </w:style>
  <w:style w:type="paragraph" w:styleId="Xl83" w:customStyle="1">
    <w:name w:val="xl83"/>
    <w:basedOn w:val="Normal"/>
    <w:qFormat/>
    <w:rsid w:val="00d751e9"/>
    <w:pPr>
      <w:spacing w:beforeAutospacing="1" w:afterAutospacing="1"/>
      <w:jc w:val="right"/>
      <w:textAlignment w:val="center"/>
    </w:pPr>
    <w:rPr>
      <w:rFonts w:ascii="Calibri Light" w:hAnsi="Calibri Light" w:cs="Calibri Light"/>
      <w:color w:val="000000"/>
      <w:sz w:val="24"/>
      <w:szCs w:val="24"/>
    </w:rPr>
  </w:style>
  <w:style w:type="paragraph" w:styleId="Xl84" w:customStyle="1">
    <w:name w:val="xl84"/>
    <w:basedOn w:val="Normal"/>
    <w:qFormat/>
    <w:rsid w:val="00d751e9"/>
    <w:pPr>
      <w:spacing w:beforeAutospacing="1" w:afterAutospacing="1"/>
      <w:jc w:val="right"/>
      <w:textAlignment w:val="center"/>
    </w:pPr>
    <w:rPr>
      <w:rFonts w:ascii="Calibri Light" w:hAnsi="Calibri Light" w:cs="Calibri Light"/>
      <w:sz w:val="24"/>
      <w:szCs w:val="24"/>
    </w:rPr>
  </w:style>
  <w:style w:type="paragraph" w:styleId="Xl85" w:customStyle="1">
    <w:name w:val="xl85"/>
    <w:basedOn w:val="Normal"/>
    <w:qFormat/>
    <w:rsid w:val="00d751e9"/>
    <w:pPr>
      <w:spacing w:beforeAutospacing="1" w:afterAutospacing="1"/>
      <w:jc w:val="center"/>
      <w:textAlignment w:val="center"/>
    </w:pPr>
    <w:rPr>
      <w:rFonts w:ascii="Calibri Light" w:hAnsi="Calibri Light" w:cs="Calibri Light"/>
      <w:sz w:val="24"/>
      <w:szCs w:val="24"/>
    </w:rPr>
  </w:style>
  <w:style w:type="paragraph" w:styleId="Xl86" w:customStyle="1">
    <w:name w:val="xl86"/>
    <w:basedOn w:val="Normal"/>
    <w:qFormat/>
    <w:rsid w:val="00d751e9"/>
    <w:pPr>
      <w:spacing w:beforeAutospacing="1" w:afterAutospacing="1"/>
      <w:textAlignment w:val="center"/>
    </w:pPr>
    <w:rPr>
      <w:rFonts w:ascii="Calibri Light" w:hAnsi="Calibri Light" w:cs="Calibri Light"/>
      <w:b/>
      <w:bCs/>
      <w:sz w:val="24"/>
      <w:szCs w:val="24"/>
    </w:rPr>
  </w:style>
  <w:style w:type="paragraph" w:styleId="Xl87" w:customStyle="1">
    <w:name w:val="xl87"/>
    <w:basedOn w:val="Normal"/>
    <w:qFormat/>
    <w:rsid w:val="00d751e9"/>
    <w:pPr>
      <w:spacing w:beforeAutospacing="1" w:afterAutospacing="1"/>
      <w:textAlignment w:val="center"/>
    </w:pPr>
    <w:rPr>
      <w:rFonts w:ascii="Calibri Light" w:hAnsi="Calibri Light" w:cs="Calibri Light"/>
      <w:sz w:val="24"/>
      <w:szCs w:val="24"/>
    </w:rPr>
  </w:style>
  <w:style w:type="paragraph" w:styleId="Xl88" w:customStyle="1">
    <w:name w:val="xl88"/>
    <w:basedOn w:val="Normal"/>
    <w:qFormat/>
    <w:rsid w:val="00d751e9"/>
    <w:pPr>
      <w:spacing w:beforeAutospacing="1" w:afterAutospacing="1"/>
      <w:jc w:val="right"/>
      <w:textAlignment w:val="center"/>
    </w:pPr>
    <w:rPr>
      <w:rFonts w:ascii="Calibri Light" w:hAnsi="Calibri Light" w:cs="Calibri Light"/>
      <w:sz w:val="24"/>
      <w:szCs w:val="24"/>
    </w:rPr>
  </w:style>
  <w:style w:type="paragraph" w:styleId="Xl89" w:customStyle="1">
    <w:name w:val="xl89"/>
    <w:basedOn w:val="Normal"/>
    <w:qFormat/>
    <w:rsid w:val="00d751e9"/>
    <w:pPr>
      <w:spacing w:beforeAutospacing="1" w:afterAutospacing="1"/>
      <w:jc w:val="right"/>
      <w:textAlignment w:val="center"/>
    </w:pPr>
    <w:rPr>
      <w:rFonts w:ascii="Calibri Light" w:hAnsi="Calibri Light" w:cs="Calibri Light"/>
      <w:b/>
      <w:bCs/>
      <w:sz w:val="24"/>
      <w:szCs w:val="24"/>
    </w:rPr>
  </w:style>
  <w:style w:type="paragraph" w:styleId="Style36" w:customStyle="1">
    <w:name w:val="[РГ] Текст"/>
    <w:basedOn w:val="Normal"/>
    <w:qFormat/>
    <w:rsid w:val="00297d32"/>
    <w:pPr>
      <w:ind w:firstLine="709"/>
      <w:jc w:val="both"/>
    </w:pPr>
    <w:rPr>
      <w:color w:val="000000" w:themeColor="text1"/>
      <w:sz w:val="24"/>
      <w:szCs w:val="24"/>
      <w:lang w:eastAsia="x-none"/>
    </w:rPr>
  </w:style>
  <w:style w:type="paragraph" w:styleId="Xl63" w:customStyle="1">
    <w:name w:val="xl63"/>
    <w:basedOn w:val="Normal"/>
    <w:qFormat/>
    <w:rsid w:val="00334a1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styleId="Xl64" w:customStyle="1">
    <w:name w:val="xl64"/>
    <w:basedOn w:val="Normal"/>
    <w:qFormat/>
    <w:rsid w:val="00334a1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styleId="111" w:customStyle="1">
    <w:name w:val="Заголовок1"/>
    <w:basedOn w:val="Heading1"/>
    <w:link w:val="14"/>
    <w:qFormat/>
    <w:rsid w:val="00f820bc"/>
    <w:pPr>
      <w:pageBreakBefore/>
      <w:numPr>
        <w:ilvl w:val="0"/>
        <w:numId w:val="3"/>
      </w:numPr>
      <w:ind w:hanging="0" w:left="0"/>
      <w:jc w:val="center"/>
    </w:pPr>
    <w:rPr>
      <w:sz w:val="28"/>
      <w:szCs w:val="28"/>
    </w:rPr>
  </w:style>
  <w:style w:type="paragraph" w:styleId="Style37" w:customStyle="1">
    <w:name w:val="Содержимое врезки"/>
    <w:basedOn w:val="Normal"/>
    <w:qFormat/>
    <w:pPr/>
    <w:rPr/>
  </w:style>
  <w:style w:type="paragraph" w:styleId="PlainText">
    <w:name w:val="Plain Text"/>
    <w:basedOn w:val="Normal"/>
    <w:link w:val="Style16"/>
    <w:uiPriority w:val="99"/>
    <w:semiHidden/>
    <w:unhideWhenUsed/>
    <w:qFormat/>
    <w:rsid w:val="005f0f7f"/>
    <w:pPr>
      <w:suppressAutoHyphens w:val="false"/>
    </w:pPr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Standard" w:customStyle="1">
    <w:name w:val="Standard"/>
    <w:qFormat/>
    <w:rsid w:val="00702a33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Style3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9" w:customStyle="1">
    <w:name w:val="Заголовок таблицы"/>
    <w:basedOn w:val="Style38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6" w:customStyle="1">
    <w:name w:val="Стиль3"/>
    <w:uiPriority w:val="99"/>
    <w:qFormat/>
    <w:rsid w:val="00c07d98"/>
  </w:style>
  <w:style w:type="numbering" w:styleId="42" w:customStyle="1">
    <w:name w:val="Стиль4"/>
    <w:uiPriority w:val="99"/>
    <w:qFormat/>
    <w:rsid w:val="004325e1"/>
  </w:style>
  <w:style w:type="numbering" w:styleId="13517140451" w:customStyle="1">
    <w:name w:val="13517140451"/>
    <w:qFormat/>
  </w:style>
  <w:style w:type="numbering" w:styleId="123" w:customStyle="1">
    <w:name w:val="Нумерованный 123"/>
    <w:qFormat/>
  </w:style>
  <w:style w:type="numbering" w:styleId="6974179401" w:customStyle="1">
    <w:name w:val="6974179401"/>
    <w:qFormat/>
  </w:style>
  <w:style w:type="numbering" w:styleId="16115482741" w:customStyle="1">
    <w:name w:val="1611548274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e">
    <w:name w:val="Table Grid"/>
    <w:basedOn w:val="a5"/>
    <w:uiPriority w:val="5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e">
    <w:name w:val="Сетка таблицы2"/>
    <w:basedOn w:val="a5"/>
    <w:uiPriority w:val="39"/>
    <w:rsid w:val="0089073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">
    <w:name w:val="Сетка таблицы11"/>
    <w:basedOn w:val="a5"/>
    <w:uiPriority w:val="39"/>
    <w:rsid w:val="003d0c8c"/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">
    <w:name w:val="Сетка таблицы21"/>
    <w:basedOn w:val="a5"/>
    <w:uiPriority w:val="39"/>
    <w:rsid w:val="003d0c8c"/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header" Target="header10.xml"/><Relationship Id="rId12" Type="http://schemas.openxmlformats.org/officeDocument/2006/relationships/image" Target="media/image1.png"/><Relationship Id="rId13" Type="http://schemas.openxmlformats.org/officeDocument/2006/relationships/header" Target="header11.xml"/><Relationship Id="rId14" Type="http://schemas.openxmlformats.org/officeDocument/2006/relationships/header" Target="header12.xml"/><Relationship Id="rId15" Type="http://schemas.openxmlformats.org/officeDocument/2006/relationships/footnotes" Target="footnotes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<Relationship Id="rId20" Type="http://schemas.openxmlformats.org/officeDocument/2006/relationships/customXml" Target="../customXml/item1.xml"/><Relationship Id="rId21" Type="http://schemas.openxmlformats.org/officeDocument/2006/relationships/customXml" Target="../customXml/item2.xml"/><Relationship Id="rId22" Type="http://schemas.openxmlformats.org/officeDocument/2006/relationships/customXml" Target="../customXml/item3.xml"/><Relationship Id="rId23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E6183A76AE1B9479D13E692560BA3A1" ma:contentTypeVersion="1" ma:contentTypeDescription="Создание документа." ma:contentTypeScope="" ma:versionID="fe9656d68f00400e483b82b86049f42a">
  <xsd:schema xmlns:xsd="http://www.w3.org/2001/XMLSchema" xmlns:xs="http://www.w3.org/2001/XMLSchema" xmlns:p="http://schemas.microsoft.com/office/2006/metadata/properties" xmlns:ns2="e20b8c0d-372d-4424-b649-01a7cb84bca0" targetNamespace="http://schemas.microsoft.com/office/2006/metadata/properties" ma:root="true" ma:fieldsID="6ef416ee02a1e34638b763bf9babf4c8" ns2:_="">
    <xsd:import namespace="e20b8c0d-372d-4424-b649-01a7cb84bca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b8c0d-372d-4424-b649-01a7cb84bc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66F25-2648-4CEA-B5A4-9EE9836A1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b8c0d-372d-4424-b649-01a7cb84b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F5566A-8EAA-4943-A9F6-4FC1BA8999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53BC7C-9231-49BB-B0E9-D930CD10AF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195C0B5-E106-449D-97F2-E150346F4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AlterOffice/2026.2.0.0$Linux_X86_64 LibreOffice_project/bc4ef1adf80b36c7a6365f8ed6cbf29021361edd</Application>
  <AppVersion>15.0000</AppVersion>
  <Pages>27</Pages>
  <Words>4862</Words>
  <Characters>35412</Characters>
  <CharactersWithSpaces>39711</CharactersWithSpaces>
  <Paragraphs>620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2026-09-11T05:35:00Z</dcterms:created>
  <dc:creator>Быстров Олег Геннадьевич</dc:creator>
  <dc:description/>
  <dc:language>ru-RU</dc:language>
  <cp:lastModifiedBy>prasolmn@corp.gidroogk.com</cp:lastModifiedBy>
  <cp:lastPrinted>2026-02-18T00:55:00Z</cp:lastPrinted>
  <dcterms:modified xsi:type="dcterms:W3CDTF">2026-09-22T19:38:55Z</dcterms:modified>
  <cp:revision>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0x0101002E6183A76AE1B9479D13E692560BA3A1</vt:lpwstr>
  </property>
  <property fmtid="{D5CDD505-2E9C-101B-9397-08002B2CF9AE}" pid="3" name="_MarkAsFinal">
    <vt:bool>1</vt:bool>
  </property>
</Properties>
</file>