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360" w:after="120"/>
        <w:ind w:left="425" w:hanging="0"/>
        <w:jc w:val="center"/>
        <w:rPr>
          <w:rFonts w:ascii="Times New Roman" w:hAnsi="Times New Roman" w:eastAsia="Calibri"/>
          <w:sz w:val="26"/>
          <w:szCs w:val="26"/>
        </w:rPr>
      </w:pPr>
      <w:r>
        <w:rPr>
          <w:rFonts w:eastAsia="Calibri" w:ascii="Times New Roman" w:hAnsi="Times New Roman"/>
          <w:b/>
          <w:caps/>
          <w:szCs w:val="24"/>
        </w:rPr>
        <w:t>ОБОСНОВАНИЕ начальной (максимальной) цены договора</w:t>
      </w:r>
      <w:r>
        <w:rPr>
          <w:rFonts w:eastAsia="Calibri" w:ascii="Times New Roman" w:hAnsi="Times New Roman"/>
          <w:sz w:val="26"/>
          <w:szCs w:val="26"/>
        </w:rPr>
        <w:t xml:space="preserve"> </w:t>
      </w:r>
    </w:p>
    <w:p>
      <w:pPr>
        <w:pStyle w:val="Normal"/>
        <w:numPr>
          <w:ilvl w:val="0"/>
          <w:numId w:val="2"/>
        </w:numPr>
        <w:spacing w:lineRule="exact" w:line="360" w:before="120" w:after="120"/>
        <w:ind w:left="714" w:hanging="357"/>
        <w:jc w:val="both"/>
        <w:rPr>
          <w:rFonts w:ascii="Times New Roman" w:hAnsi="Times New Roman" w:eastAsia="Calibri"/>
          <w:b/>
          <w:sz w:val="26"/>
          <w:szCs w:val="26"/>
        </w:rPr>
      </w:pPr>
      <w:r>
        <w:rPr>
          <w:rFonts w:eastAsia="Calibri" w:ascii="Times New Roman" w:hAnsi="Times New Roman"/>
          <w:b/>
          <w:sz w:val="26"/>
          <w:szCs w:val="26"/>
        </w:rPr>
        <w:t xml:space="preserve">Общая информация </w:t>
      </w:r>
    </w:p>
    <w:tbl>
      <w:tblPr>
        <w:tblStyle w:val="1"/>
        <w:tblW w:w="10632" w:type="dxa"/>
        <w:jc w:val="left"/>
        <w:tblInd w:w="-28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710"/>
        <w:gridCol w:w="2409"/>
        <w:gridCol w:w="7513"/>
      </w:tblGrid>
      <w:tr>
        <w:trPr/>
        <w:tc>
          <w:tcPr>
            <w:tcW w:w="710" w:type="dxa"/>
            <w:tcBorders/>
          </w:tcPr>
          <w:p>
            <w:pPr>
              <w:pStyle w:val="Normal"/>
              <w:widowControl w:val="false"/>
              <w:spacing w:lineRule="exact" w:line="360" w:before="120" w:after="0"/>
              <w:ind w:hanging="40"/>
              <w:contextualSpacing/>
              <w:jc w:val="both"/>
              <w:rPr>
                <w:rFonts w:ascii="Times New Roman" w:hAnsi="Times New Roman" w:eastAsia="Calibri"/>
                <w:b/>
                <w:szCs w:val="24"/>
              </w:rPr>
            </w:pPr>
            <w:r>
              <w:rPr>
                <w:rFonts w:eastAsia="Calibri" w:ascii="Times New Roman" w:hAnsi="Times New Roman"/>
                <w:b/>
                <w:kern w:val="0"/>
                <w:szCs w:val="24"/>
                <w:lang w:val="en-US" w:eastAsia="en-US" w:bidi="ar-SA"/>
              </w:rPr>
              <w:t xml:space="preserve"> </w:t>
            </w:r>
            <w:r>
              <w:rPr>
                <w:rFonts w:eastAsia="Calibri" w:ascii="Times New Roman" w:hAnsi="Times New Roman"/>
                <w:b/>
                <w:kern w:val="0"/>
                <w:szCs w:val="24"/>
                <w:lang w:val="ru-RU" w:eastAsia="en-US" w:bidi="ar-SA"/>
              </w:rPr>
              <w:t xml:space="preserve">№ </w:t>
            </w:r>
            <w:r>
              <w:rPr>
                <w:rFonts w:eastAsia="Calibri" w:ascii="Times New Roman" w:hAnsi="Times New Roman"/>
                <w:b/>
                <w:kern w:val="0"/>
                <w:szCs w:val="24"/>
                <w:lang w:val="ru-RU" w:eastAsia="en-US" w:bidi="ar-SA"/>
              </w:rPr>
              <w:t>п/п</w:t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 w:val="false"/>
              <w:spacing w:lineRule="exact" w:line="360" w:before="120" w:after="0"/>
              <w:contextualSpacing/>
              <w:jc w:val="both"/>
              <w:rPr>
                <w:rFonts w:ascii="Times New Roman" w:hAnsi="Times New Roman" w:eastAsia="Calibri"/>
                <w:b/>
                <w:szCs w:val="24"/>
              </w:rPr>
            </w:pPr>
            <w:r>
              <w:rPr>
                <w:rFonts w:eastAsia="Calibri" w:ascii="Times New Roman" w:hAnsi="Times New Roman"/>
                <w:b/>
                <w:kern w:val="0"/>
                <w:szCs w:val="24"/>
                <w:lang w:val="ru-RU" w:eastAsia="en-US" w:bidi="ar-SA"/>
              </w:rPr>
              <w:t>Наименование</w:t>
            </w:r>
          </w:p>
        </w:tc>
        <w:tc>
          <w:tcPr>
            <w:tcW w:w="7513" w:type="dxa"/>
            <w:tcBorders/>
          </w:tcPr>
          <w:p>
            <w:pPr>
              <w:pStyle w:val="Normal"/>
              <w:widowControl w:val="false"/>
              <w:spacing w:lineRule="exact" w:line="360" w:before="120" w:after="0"/>
              <w:contextualSpacing/>
              <w:jc w:val="both"/>
              <w:rPr>
                <w:rFonts w:ascii="Times New Roman" w:hAnsi="Times New Roman"/>
                <w:b/>
                <w:i/>
                <w:i/>
                <w:color w:val="000000" w:themeColor="text1"/>
                <w:szCs w:val="24"/>
              </w:rPr>
            </w:pPr>
            <w:r>
              <w:rPr>
                <w:rFonts w:ascii="Times New Roman" w:hAnsi="Times New Roman"/>
                <w:b/>
                <w:i/>
                <w:color w:val="000000" w:themeColor="text1"/>
                <w:kern w:val="0"/>
                <w:szCs w:val="24"/>
                <w:lang w:val="ru-RU" w:eastAsia="en-US" w:bidi="ar-SA"/>
              </w:rPr>
              <w:t>Информация по лоту</w:t>
            </w:r>
          </w:p>
        </w:tc>
      </w:tr>
      <w:tr>
        <w:trPr/>
        <w:tc>
          <w:tcPr>
            <w:tcW w:w="710" w:type="dxa"/>
            <w:tcBorders/>
          </w:tcPr>
          <w:p>
            <w:pPr>
              <w:pStyle w:val="Normal"/>
              <w:widowControl w:val="false"/>
              <w:numPr>
                <w:ilvl w:val="1"/>
                <w:numId w:val="2"/>
              </w:numPr>
              <w:spacing w:lineRule="exact" w:line="360" w:before="120" w:after="120"/>
              <w:ind w:left="0" w:hanging="0"/>
              <w:contextualSpacing/>
              <w:jc w:val="both"/>
              <w:rPr>
                <w:rFonts w:ascii="Times New Roman" w:hAnsi="Times New Roman" w:eastAsia="Calibri"/>
                <w:szCs w:val="24"/>
              </w:rPr>
            </w:pPr>
            <w:r>
              <w:rPr>
                <w:rFonts w:eastAsia="Calibri" w:ascii="Times New Roman" w:hAnsi="Times New Roman"/>
                <w:szCs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 w:val="false"/>
              <w:spacing w:lineRule="exact" w:line="360" w:before="120" w:after="0"/>
              <w:contextualSpacing/>
              <w:jc w:val="both"/>
              <w:rPr>
                <w:rFonts w:ascii="Times New Roman" w:hAnsi="Times New Roman" w:eastAsia="Calibri"/>
                <w:szCs w:val="24"/>
              </w:rPr>
            </w:pPr>
            <w:r>
              <w:rPr>
                <w:rFonts w:eastAsia="Calibri" w:ascii="Times New Roman" w:hAnsi="Times New Roman"/>
                <w:kern w:val="0"/>
                <w:szCs w:val="24"/>
                <w:lang w:val="ru-RU" w:eastAsia="en-US" w:bidi="ar-SA"/>
              </w:rPr>
              <w:t>Наименование лота</w:t>
            </w:r>
          </w:p>
        </w:tc>
        <w:tc>
          <w:tcPr>
            <w:tcW w:w="7513" w:type="dxa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jc w:val="both"/>
              <w:rPr>
                <w:rFonts w:ascii="Times New Roman" w:hAnsi="Times New Roman" w:eastAsia="Calibri"/>
                <w:szCs w:val="24"/>
              </w:rPr>
            </w:pPr>
            <w:r>
              <w:rPr>
                <w:rFonts w:ascii="Times New Roman" w:hAnsi="Times New Roman"/>
                <w:kern w:val="0"/>
                <w:lang w:val="ru-RU" w:eastAsia="en-US" w:bidi="ar-SA"/>
              </w:rPr>
              <w:t>«ОКПД2 42.12.2 Выполнение комплекса строительно-монтажных работ по устройству железнодорожного пути и вспомогательных сооружений в рамках 2-ого этапа Развитие железнодорожного пути необщего пользования СП «Нерюнгринская ГРЭС» АО «ДГК» инвестиционного проекта «Строительство 2-й очереди Нерюнгринской ГРЭС» для нужд филиала ПАО «РусГидро» – «Хабаровский»</w:t>
            </w:r>
          </w:p>
        </w:tc>
      </w:tr>
      <w:tr>
        <w:trPr/>
        <w:tc>
          <w:tcPr>
            <w:tcW w:w="710" w:type="dxa"/>
            <w:tcBorders/>
          </w:tcPr>
          <w:p>
            <w:pPr>
              <w:pStyle w:val="Normal"/>
              <w:widowControl w:val="false"/>
              <w:numPr>
                <w:ilvl w:val="1"/>
                <w:numId w:val="2"/>
              </w:numPr>
              <w:spacing w:lineRule="exact" w:line="360" w:before="120" w:after="120"/>
              <w:ind w:left="0" w:hanging="0"/>
              <w:contextualSpacing/>
              <w:jc w:val="both"/>
              <w:rPr>
                <w:rFonts w:ascii="Times New Roman" w:hAnsi="Times New Roman" w:eastAsia="Calibri"/>
                <w:szCs w:val="24"/>
              </w:rPr>
            </w:pPr>
            <w:r>
              <w:rPr>
                <w:rFonts w:eastAsia="Calibri" w:ascii="Times New Roman" w:hAnsi="Times New Roman"/>
                <w:szCs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 w:val="false"/>
              <w:spacing w:lineRule="exact" w:line="360" w:before="120" w:after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Номер лота</w:t>
            </w:r>
          </w:p>
        </w:tc>
        <w:tc>
          <w:tcPr>
            <w:tcW w:w="7513" w:type="dxa"/>
            <w:tcBorders/>
            <w:vAlign w:val="center"/>
          </w:tcPr>
          <w:p>
            <w:pPr>
              <w:pStyle w:val="Normal"/>
              <w:widowControl w:val="false"/>
              <w:spacing w:lineRule="exact" w:line="360" w:before="60" w:after="6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0063-КС ПИР СМР-2026ХФ</w:t>
            </w:r>
          </w:p>
        </w:tc>
      </w:tr>
      <w:tr>
        <w:trPr/>
        <w:tc>
          <w:tcPr>
            <w:tcW w:w="710" w:type="dxa"/>
            <w:tcBorders/>
          </w:tcPr>
          <w:p>
            <w:pPr>
              <w:pStyle w:val="Normal"/>
              <w:widowControl w:val="false"/>
              <w:numPr>
                <w:ilvl w:val="1"/>
                <w:numId w:val="2"/>
              </w:numPr>
              <w:spacing w:lineRule="exact" w:line="360" w:before="120" w:after="120"/>
              <w:ind w:left="0" w:hanging="0"/>
              <w:contextualSpacing/>
              <w:jc w:val="both"/>
              <w:rPr>
                <w:rFonts w:ascii="Times New Roman" w:hAnsi="Times New Roman" w:eastAsia="Calibri"/>
                <w:szCs w:val="24"/>
              </w:rPr>
            </w:pPr>
            <w:r>
              <w:rPr>
                <w:rFonts w:eastAsia="Calibri" w:ascii="Times New Roman" w:hAnsi="Times New Roman"/>
                <w:szCs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 w:val="false"/>
              <w:spacing w:lineRule="exact" w:line="360" w:before="60" w:after="60"/>
              <w:jc w:val="both"/>
              <w:rPr>
                <w:rFonts w:ascii="Times New Roman" w:hAnsi="Times New Roman" w:eastAsia="Calibri"/>
                <w:szCs w:val="24"/>
              </w:rPr>
            </w:pPr>
            <w:r>
              <w:rPr>
                <w:rFonts w:eastAsia="Calibri" w:ascii="Times New Roman" w:hAnsi="Times New Roman"/>
                <w:kern w:val="0"/>
                <w:szCs w:val="24"/>
                <w:lang w:val="ru-RU" w:eastAsia="en-US" w:bidi="ar-SA"/>
              </w:rPr>
              <w:t>НМЦ лота</w:t>
            </w:r>
          </w:p>
        </w:tc>
        <w:tc>
          <w:tcPr>
            <w:tcW w:w="7513" w:type="dxa"/>
            <w:tcBorders/>
            <w:vAlign w:val="center"/>
          </w:tcPr>
          <w:p>
            <w:pPr>
              <w:pStyle w:val="Normal"/>
              <w:widowControl w:val="false"/>
              <w:spacing w:lineRule="exact" w:line="360" w:before="60" w:after="60"/>
              <w:jc w:val="both"/>
              <w:rPr>
                <w:rFonts w:ascii="Times New Roman" w:hAnsi="Times New Roman" w:eastAsia="Calibri"/>
                <w:szCs w:val="24"/>
              </w:rPr>
            </w:pPr>
            <w:r>
              <w:rPr>
                <w:rFonts w:eastAsia="Times New Roman" w:ascii="Times New Roman" w:hAnsi="Times New Roman"/>
                <w:i/>
                <w:kern w:val="0"/>
                <w:szCs w:val="24"/>
                <w:lang w:val="ru-RU" w:eastAsia="ru-RU" w:bidi="ar-SA"/>
              </w:rPr>
              <w:t>10 628 392 142,5</w:t>
            </w:r>
            <w:r>
              <w:rPr>
                <w:rFonts w:eastAsia="Times New Roman" w:ascii="Times New Roman" w:hAnsi="Times New Roman"/>
                <w:i/>
                <w:kern w:val="0"/>
                <w:szCs w:val="24"/>
                <w:lang w:val="ru-RU" w:eastAsia="ru-RU" w:bidi="ar-SA"/>
              </w:rPr>
              <w:t>2</w:t>
            </w:r>
            <w:r>
              <w:rPr>
                <w:rFonts w:ascii="Times New Roman" w:hAnsi="Times New Roman"/>
                <w:i/>
                <w:kern w:val="0"/>
                <w:sz w:val="22"/>
                <w:szCs w:val="22"/>
                <w:lang w:val="ru-RU" w:eastAsia="en-US" w:bidi="ar-SA"/>
              </w:rPr>
              <w:t xml:space="preserve"> </w:t>
            </w:r>
            <w:r>
              <w:rPr>
                <w:rFonts w:ascii="Times New Roman" w:hAnsi="Times New Roman"/>
                <w:i/>
                <w:color w:val="000000" w:themeColor="text1"/>
                <w:kern w:val="0"/>
                <w:szCs w:val="24"/>
                <w:lang w:val="ru-RU" w:eastAsia="en-US" w:bidi="ar-SA"/>
              </w:rPr>
              <w:t>руб. без учета НДС</w:t>
            </w:r>
          </w:p>
        </w:tc>
      </w:tr>
    </w:tbl>
    <w:p>
      <w:pPr>
        <w:pStyle w:val="Normal"/>
        <w:spacing w:lineRule="exact" w:line="360" w:before="120" w:after="120"/>
        <w:ind w:left="714" w:hanging="0"/>
        <w:jc w:val="both"/>
        <w:rPr>
          <w:rFonts w:ascii="Times New Roman" w:hAnsi="Times New Roman" w:eastAsia="Calibri"/>
          <w:b/>
          <w:sz w:val="26"/>
          <w:szCs w:val="26"/>
        </w:rPr>
      </w:pPr>
      <w:r>
        <w:rPr>
          <w:rFonts w:eastAsia="Calibri" w:ascii="Times New Roman" w:hAnsi="Times New Roman"/>
          <w:b/>
          <w:sz w:val="26"/>
          <w:szCs w:val="26"/>
        </w:rPr>
      </w:r>
    </w:p>
    <w:p>
      <w:pPr>
        <w:pStyle w:val="ListParagraph"/>
        <w:numPr>
          <w:ilvl w:val="0"/>
          <w:numId w:val="2"/>
        </w:numPr>
        <w:spacing w:before="120" w:after="120"/>
        <w:contextualSpacing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 xml:space="preserve"> </w:t>
      </w:r>
      <w:r>
        <w:rPr>
          <w:rFonts w:ascii="Times New Roman" w:hAnsi="Times New Roman"/>
          <w:b/>
          <w:sz w:val="26"/>
        </w:rPr>
        <w:t>Использованный метод (методы) расчета НМЦ / цены единицы товара, работы, услуги:</w:t>
      </w:r>
    </w:p>
    <w:tbl>
      <w:tblPr>
        <w:tblW w:w="10910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3539"/>
        <w:gridCol w:w="1441"/>
        <w:gridCol w:w="2100"/>
        <w:gridCol w:w="2129"/>
        <w:gridCol w:w="1701"/>
      </w:tblGrid>
      <w:tr>
        <w:trPr>
          <w:trHeight w:val="70" w:hRule="atLeast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7E6E6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Cs/>
                <w:color w:val="000000"/>
                <w:kern w:val="2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2"/>
                <w:szCs w:val="24"/>
                <w14:ligatures w14:val="standardContextual"/>
              </w:rPr>
              <w:t>Наименование товара/ работы/ услуги в составе лота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7E6E6" w:val="clear"/>
          </w:tcPr>
          <w:p>
            <w:pPr>
              <w:pStyle w:val="Normal"/>
              <w:widowControl w:val="false"/>
              <w:ind w:firstLine="2"/>
              <w:jc w:val="center"/>
              <w:rPr>
                <w:rFonts w:ascii="Times New Roman" w:hAnsi="Times New Roman"/>
                <w:b/>
                <w:bCs/>
                <w:color w:val="000000"/>
                <w:kern w:val="2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2"/>
                <w:szCs w:val="24"/>
                <w14:ligatures w14:val="standardContextual"/>
              </w:rPr>
              <w:t>Наименование источника ценовой информации (ИЦИ)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7E6E6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Cs/>
                <w:color w:val="000000"/>
                <w:kern w:val="2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2"/>
                <w:szCs w:val="24"/>
                <w14:ligatures w14:val="standardContextual"/>
              </w:rPr>
              <w:t>Цена из соответствующего ИЦИ, в руб. без НДС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7E6E6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Cs/>
                <w:color w:val="000000"/>
                <w:kern w:val="2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2"/>
                <w:szCs w:val="24"/>
                <w14:ligatures w14:val="standardContextual"/>
              </w:rPr>
              <w:t>Цена итоговая, в руб. без НДС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7E6E6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Cs/>
                <w:color w:val="000000"/>
                <w:kern w:val="2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2"/>
                <w:szCs w:val="24"/>
                <w14:ligatures w14:val="standardContextual"/>
              </w:rPr>
              <w:t>Комментарии</w:t>
            </w:r>
          </w:p>
        </w:tc>
      </w:tr>
      <w:tr>
        <w:trPr>
          <w:trHeight w:val="1248" w:hRule="atLeast"/>
        </w:trPr>
        <w:tc>
          <w:tcPr>
            <w:tcW w:w="35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60" w:before="60" w:after="60"/>
              <w:jc w:val="center"/>
              <w:rPr>
                <w:rFonts w:ascii="Times New Roman" w:hAnsi="Times New Roman" w:eastAsia="Calibri"/>
                <w:szCs w:val="24"/>
              </w:rPr>
            </w:pPr>
            <w:r>
              <w:rPr>
                <w:rFonts w:ascii="Times New Roman" w:hAnsi="Times New Roman"/>
              </w:rPr>
              <w:t>«ОКПД2 42.12.2 Выполнение комплекса строительно-монтажных работ по устройству железнодорожного пути и вспомогательных сооружений в рамках 2-ого этапа Развитие железнодорожного пути необщего пользования СП «Нерюнгринская ГРЭС» АО «ДГК» инвестиционного проекта «Строительство 2-й очереди Нерюнгринской ГРЭС» для нужд филиала ПАО «РусГидро» – «Хабаровский»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60" w:before="60" w:after="60"/>
              <w:jc w:val="center"/>
              <w:rPr>
                <w:rFonts w:ascii="Times New Roman" w:hAnsi="Times New Roman" w:eastAsia="Calibri"/>
                <w:szCs w:val="24"/>
              </w:rPr>
            </w:pPr>
            <w:r>
              <w:rPr>
                <w:rFonts w:eastAsia="Calibri" w:ascii="Times New Roman" w:hAnsi="Times New Roman"/>
                <w:szCs w:val="24"/>
              </w:rPr>
              <w:t>ТКП 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60" w:before="60" w:after="60"/>
              <w:jc w:val="center"/>
              <w:rPr>
                <w:rFonts w:ascii="Times New Roman" w:hAnsi="Times New Roman" w:eastAsia="Calibri"/>
                <w:szCs w:val="24"/>
              </w:rPr>
            </w:pPr>
            <w:r>
              <w:rPr>
                <w:rFonts w:eastAsia="Times New Roman" w:ascii="Times New Roman" w:hAnsi="Times New Roman"/>
                <w:szCs w:val="24"/>
                <w:lang w:eastAsia="ru-RU"/>
              </w:rPr>
              <w:t>10 628 392 142,5</w:t>
            </w:r>
            <w:r>
              <w:rPr>
                <w:rFonts w:eastAsia="Calibri" w:ascii="Times New Roman" w:hAnsi="Times New Roman"/>
                <w:szCs w:val="24"/>
                <w:lang w:eastAsia="ru-RU"/>
              </w:rPr>
              <w:t>2</w:t>
            </w:r>
          </w:p>
        </w:tc>
        <w:tc>
          <w:tcPr>
            <w:tcW w:w="21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60" w:before="60" w:after="60"/>
              <w:jc w:val="center"/>
              <w:rPr>
                <w:rFonts w:ascii="Times New Roman" w:hAnsi="Times New Roman" w:eastAsia="Calibri"/>
                <w:szCs w:val="24"/>
              </w:rPr>
            </w:pPr>
            <w:r>
              <w:rPr>
                <w:rFonts w:eastAsia="Times New Roman" w:ascii="Times New Roman" w:hAnsi="Times New Roman"/>
                <w:szCs w:val="24"/>
                <w:lang w:eastAsia="ru-RU"/>
              </w:rPr>
              <w:t>10 628 3</w:t>
            </w:r>
            <w:bookmarkStart w:id="0" w:name="_GoBack"/>
            <w:bookmarkEnd w:id="0"/>
            <w:r>
              <w:rPr>
                <w:rFonts w:eastAsia="Times New Roman" w:ascii="Times New Roman" w:hAnsi="Times New Roman"/>
                <w:szCs w:val="24"/>
                <w:lang w:eastAsia="ru-RU"/>
              </w:rPr>
              <w:t>92 142,5</w:t>
            </w:r>
            <w:r>
              <w:rPr>
                <w:rFonts w:eastAsia="Calibri" w:ascii="Times New Roman" w:hAnsi="Times New Roman"/>
                <w:szCs w:val="24"/>
                <w:lang w:eastAsia="ru-RU"/>
              </w:rPr>
              <w:t>2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60" w:before="60" w:after="60"/>
              <w:ind w:left="24" w:hanging="0"/>
              <w:jc w:val="center"/>
              <w:rPr>
                <w:rFonts w:ascii="Times New Roman" w:hAnsi="Times New Roman" w:eastAsia="Calibri"/>
                <w:szCs w:val="24"/>
              </w:rPr>
            </w:pPr>
            <w:r>
              <w:rPr>
                <w:rFonts w:eastAsia="Calibri" w:ascii="Times New Roman" w:hAnsi="Times New Roman"/>
                <w:szCs w:val="24"/>
              </w:rPr>
              <w:t>Минимальное значение полученных  ТКП</w:t>
            </w:r>
          </w:p>
        </w:tc>
      </w:tr>
      <w:tr>
        <w:trPr>
          <w:trHeight w:val="2130" w:hRule="atLeast"/>
        </w:trPr>
        <w:tc>
          <w:tcPr>
            <w:tcW w:w="353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bCs/>
                <w:color w:val="000000"/>
                <w:kern w:val="2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bCs/>
                <w:color w:val="000000"/>
                <w:kern w:val="2"/>
                <w:szCs w:val="24"/>
                <w14:ligatures w14:val="standardContextual"/>
              </w:rPr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firstLine="2"/>
              <w:jc w:val="center"/>
              <w:rPr>
                <w:rFonts w:ascii="Times New Roman" w:hAnsi="Times New Roman"/>
                <w:bCs/>
                <w:color w:val="000000"/>
                <w:kern w:val="2"/>
                <w:szCs w:val="24"/>
                <w:lang w:val="en-US"/>
                <w14:ligatures w14:val="standardContextual"/>
              </w:rPr>
            </w:pPr>
            <w:r>
              <w:rPr>
                <w:rFonts w:ascii="Times New Roman" w:hAnsi="Times New Roman"/>
                <w:bCs/>
                <w:color w:val="000000"/>
                <w:kern w:val="2"/>
                <w:szCs w:val="24"/>
                <w:lang w:val="en-US"/>
                <w14:ligatures w14:val="standardContextual"/>
              </w:rPr>
              <w:t>ТКП 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Cs/>
                <w:color w:val="000000"/>
                <w:kern w:val="2"/>
                <w:szCs w:val="24"/>
                <w14:ligatures w14:val="standardContextual"/>
              </w:rPr>
            </w:pPr>
            <w:r>
              <w:rPr>
                <w:rFonts w:eastAsia="Times New Roman" w:ascii="Times New Roman" w:hAnsi="Times New Roman"/>
                <w:szCs w:val="24"/>
                <w:lang w:eastAsia="ru-RU"/>
              </w:rPr>
              <w:t>11 428 277 191,39</w:t>
            </w:r>
          </w:p>
        </w:tc>
        <w:tc>
          <w:tcPr>
            <w:tcW w:w="212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bCs/>
                <w:color w:val="000000"/>
                <w:kern w:val="2"/>
                <w:szCs w:val="24"/>
                <w:lang w:val="en-US"/>
                <w14:ligatures w14:val="standardContextual"/>
              </w:rPr>
            </w:pPr>
            <w:r>
              <w:rPr>
                <w:rFonts w:ascii="Times New Roman" w:hAnsi="Times New Roman"/>
                <w:bCs/>
                <w:color w:val="000000"/>
                <w:kern w:val="2"/>
                <w:szCs w:val="24"/>
                <w:lang w:val="en-US"/>
                <w14:ligatures w14:val="standardContextual"/>
              </w:rPr>
            </w:r>
          </w:p>
        </w:tc>
        <w:tc>
          <w:tcPr>
            <w:tcW w:w="170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bCs/>
                <w:color w:val="000000"/>
                <w:kern w:val="2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bCs/>
                <w:color w:val="000000"/>
                <w:kern w:val="2"/>
                <w:szCs w:val="24"/>
                <w14:ligatures w14:val="standardContextual"/>
              </w:rPr>
            </w:r>
          </w:p>
        </w:tc>
      </w:tr>
      <w:tr>
        <w:trPr>
          <w:trHeight w:val="1905" w:hRule="atLeast"/>
        </w:trPr>
        <w:tc>
          <w:tcPr>
            <w:tcW w:w="353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bCs/>
                <w:color w:val="000000"/>
                <w:kern w:val="2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bCs/>
                <w:color w:val="000000"/>
                <w:kern w:val="2"/>
                <w:szCs w:val="24"/>
                <w14:ligatures w14:val="standardContextual"/>
              </w:rPr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firstLine="2"/>
              <w:jc w:val="center"/>
              <w:rPr>
                <w:rFonts w:ascii="Times New Roman" w:hAnsi="Times New Roman"/>
                <w:bCs/>
                <w:color w:val="000000"/>
                <w:kern w:val="2"/>
                <w:szCs w:val="24"/>
                <w:lang w:val="en-US"/>
                <w14:ligatures w14:val="standardContextual"/>
              </w:rPr>
            </w:pPr>
            <w:r>
              <w:rPr>
                <w:rFonts w:ascii="Times New Roman" w:hAnsi="Times New Roman"/>
                <w:bCs/>
                <w:color w:val="000000"/>
                <w:kern w:val="2"/>
                <w:szCs w:val="24"/>
                <w:lang w:val="en-US"/>
                <w14:ligatures w14:val="standardContextual"/>
              </w:rPr>
              <w:t>ТКП 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60" w:before="60" w:after="60"/>
              <w:jc w:val="center"/>
              <w:rPr>
                <w:rFonts w:ascii="Times New Roman" w:hAnsi="Times New Roman"/>
                <w:bCs/>
                <w:color w:val="000000"/>
                <w:kern w:val="2"/>
                <w:szCs w:val="24"/>
                <w14:ligatures w14:val="standardContextual"/>
              </w:rPr>
            </w:pPr>
            <w:r>
              <w:rPr>
                <w:rFonts w:eastAsia="Times New Roman" w:ascii="Times New Roman" w:hAnsi="Times New Roman"/>
                <w:szCs w:val="24"/>
                <w:lang w:eastAsia="ru-RU"/>
              </w:rPr>
              <w:t>11 823 613 964,45</w:t>
            </w:r>
          </w:p>
        </w:tc>
        <w:tc>
          <w:tcPr>
            <w:tcW w:w="212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bCs/>
                <w:color w:val="000000"/>
                <w:kern w:val="2"/>
                <w:szCs w:val="24"/>
                <w:lang w:val="en-US"/>
                <w14:ligatures w14:val="standardContextual"/>
              </w:rPr>
            </w:pPr>
            <w:r>
              <w:rPr>
                <w:rFonts w:ascii="Times New Roman" w:hAnsi="Times New Roman"/>
                <w:bCs/>
                <w:color w:val="000000"/>
                <w:kern w:val="2"/>
                <w:szCs w:val="24"/>
                <w:lang w:val="en-US"/>
                <w14:ligatures w14:val="standardContextual"/>
              </w:rPr>
            </w:r>
          </w:p>
        </w:tc>
        <w:tc>
          <w:tcPr>
            <w:tcW w:w="170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bCs/>
                <w:color w:val="000000"/>
                <w:kern w:val="2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bCs/>
                <w:color w:val="000000"/>
                <w:kern w:val="2"/>
                <w:szCs w:val="24"/>
                <w14:ligatures w14:val="standardContextual"/>
              </w:rPr>
            </w:r>
          </w:p>
        </w:tc>
      </w:tr>
    </w:tbl>
    <w:p>
      <w:pPr>
        <w:pStyle w:val="Normal"/>
        <w:spacing w:lineRule="exact" w:line="360" w:before="120" w:after="120"/>
        <w:ind w:left="714" w:hanging="0"/>
        <w:jc w:val="both"/>
        <w:rPr>
          <w:rFonts w:ascii="Times New Roman" w:hAnsi="Times New Roman" w:eastAsia="Calibri"/>
          <w:sz w:val="26"/>
          <w:szCs w:val="26"/>
        </w:rPr>
      </w:pPr>
      <w:r>
        <w:rPr>
          <w:rFonts w:eastAsia="Calibri" w:ascii="Times New Roman" w:hAnsi="Times New Roman"/>
          <w:sz w:val="26"/>
          <w:szCs w:val="26"/>
        </w:rPr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992" w:right="567" w:gutter="0" w:header="0" w:top="992" w:footer="0" w:bottom="992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Geneva CY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287d15"/>
    <w:pPr>
      <w:widowControl/>
      <w:suppressAutoHyphens w:val="true"/>
      <w:bidi w:val="0"/>
      <w:spacing w:lineRule="auto" w:line="240" w:before="0" w:after="0"/>
      <w:jc w:val="left"/>
    </w:pPr>
    <w:rPr>
      <w:rFonts w:ascii="Geneva CY" w:hAnsi="Geneva CY" w:eastAsia="Geneva" w:cs="Times New Roman"/>
      <w:color w:val="auto"/>
      <w:kern w:val="0"/>
      <w:sz w:val="24"/>
      <w:szCs w:val="20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9" w:customStyle="1">
    <w:name w:val="Абзац списка Знак"/>
    <w:link w:val="ListParagraph"/>
    <w:uiPriority w:val="34"/>
    <w:qFormat/>
    <w:locked/>
    <w:rsid w:val="00287d15"/>
    <w:rPr>
      <w:rFonts w:ascii="Geneva CY" w:hAnsi="Geneva CY" w:eastAsia="Geneva" w:cs="Times New Roman"/>
      <w:sz w:val="24"/>
      <w:szCs w:val="20"/>
    </w:rPr>
  </w:style>
  <w:style w:type="paragraph" w:styleId="Style10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1">
    <w:name w:val="Указатель"/>
    <w:basedOn w:val="Normal"/>
    <w:qFormat/>
    <w:pPr>
      <w:suppressLineNumbers/>
    </w:pPr>
    <w:rPr>
      <w:rFonts w:cs="Arial Unicode MS"/>
    </w:rPr>
  </w:style>
  <w:style w:type="paragraph" w:styleId="ListParagraph">
    <w:name w:val="List Paragraph"/>
    <w:basedOn w:val="Normal"/>
    <w:link w:val="Style9"/>
    <w:uiPriority w:val="34"/>
    <w:qFormat/>
    <w:rsid w:val="00287d15"/>
    <w:pPr>
      <w:spacing w:before="0" w:after="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uiPriority w:val="59"/>
    <w:rsid w:val="00287d15"/>
    <w:pPr>
      <w:spacing w:after="0" w:line="240" w:lineRule="auto"/>
      <w:jc w:val="both"/>
    </w:pPr>
    <w:rPr>
      <w:sz w:val="26"/>
      <w:szCs w:val="26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Application>AlterOffice/3.4.0.9$Linux_X86_64 LibreOffice_project/b8daf9e823b1a5463a2f48435ddc2e8696e7d4fc</Application>
  <AppVersion>15.0000</AppVersion>
  <Pages>2</Pages>
  <Words>179</Words>
  <Characters>1145</Characters>
  <CharactersWithSpaces>1300</CharactersWithSpaces>
  <Paragraphs>29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2025-07-23T07:28:00Z</dcterms:created>
  <dc:creator>Беспалов Петр Сергеевич</dc:creator>
  <dc:description/>
  <dc:language>ru-RU</dc:language>
  <cp:lastModifiedBy>batsaginmmi@corp.gidroogk.com</cp:lastModifiedBy>
  <dcterms:modified xsi:type="dcterms:W3CDTF">2026-08-14T15:48:24Z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