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color w:val="auto"/>
        </w:rPr>
      </w:pPr>
      <w:r>
        <w:rPr>
          <w:b/>
          <w:bCs/>
          <w:color w:val="auto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color w:val="auto"/>
        </w:rPr>
      </w:pPr>
      <w:r>
        <w:rPr>
          <w:b/>
          <w:bCs/>
          <w:color w:val="auto"/>
          <w:sz w:val="24"/>
          <w:szCs w:val="24"/>
        </w:rPr>
        <w:t>Д</w:t>
      </w:r>
      <w:r>
        <w:rPr>
          <w:b/>
          <w:bCs/>
          <w:color w:val="auto"/>
          <w:sz w:val="24"/>
          <w:szCs w:val="24"/>
        </w:rPr>
        <w:t xml:space="preserve">иректор Центрального </w:t>
      </w:r>
    </w:p>
    <w:p>
      <w:pPr>
        <w:pStyle w:val="Normal"/>
        <w:jc w:val="right"/>
        <w:rPr>
          <w:color w:val="auto"/>
        </w:rPr>
      </w:pPr>
      <w:r>
        <w:rPr>
          <w:b/>
          <w:bCs/>
          <w:color w:val="auto"/>
          <w:sz w:val="24"/>
          <w:szCs w:val="24"/>
        </w:rPr>
        <w:t>филиала АО «ТК РусГидро»</w:t>
      </w:r>
    </w:p>
    <w:p>
      <w:pPr>
        <w:pStyle w:val="Normal"/>
        <w:keepNext w:val="true"/>
        <w:keepLines/>
        <w:jc w:val="right"/>
        <w:rPr>
          <w:color w:val="auto"/>
        </w:rPr>
      </w:pPr>
      <w:r>
        <w:rPr>
          <w:b/>
          <w:bCs/>
          <w:color w:val="auto"/>
          <w:sz w:val="24"/>
          <w:szCs w:val="24"/>
        </w:rPr>
        <w:t>________________</w:t>
      </w:r>
      <w:r>
        <w:rPr>
          <w:b/>
          <w:bCs/>
          <w:color w:val="auto"/>
          <w:sz w:val="24"/>
          <w:szCs w:val="24"/>
        </w:rPr>
        <w:t>М.В. нешев</w:t>
      </w:r>
    </w:p>
    <w:p>
      <w:pPr>
        <w:pStyle w:val="Normal"/>
        <w:keepNext w:val="true"/>
        <w:keepLines/>
        <w:jc w:val="right"/>
        <w:rPr>
          <w:color w:val="auto"/>
        </w:rPr>
      </w:pPr>
      <w:r>
        <w:rPr>
          <w:b/>
          <w:bCs/>
          <w:color w:val="auto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color w:val="auto"/>
        </w:rPr>
      </w:pPr>
      <w:r>
        <w:rPr>
          <w:rFonts w:eastAsia="Calibri"/>
          <w:b/>
          <w:color w:val="auto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color w:val="auto"/>
          <w:sz w:val="24"/>
          <w:szCs w:val="24"/>
        </w:rPr>
      </w:pPr>
      <w:r>
        <w:rPr>
          <w:rFonts w:eastAsia="Calibri"/>
          <w:b/>
          <w:color w:val="auto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color w:val="auto"/>
          <w:sz w:val="24"/>
          <w:szCs w:val="24"/>
        </w:rPr>
      </w:pPr>
      <w:r>
        <w:rPr>
          <w:rFonts w:eastAsia="Calibri"/>
          <w:b/>
          <w:color w:val="auto"/>
          <w:sz w:val="24"/>
          <w:szCs w:val="24"/>
        </w:rPr>
      </w:r>
    </w:p>
    <w:p>
      <w:pPr>
        <w:pStyle w:val="Normal"/>
        <w:spacing w:before="240" w:after="0"/>
        <w:contextualSpacing/>
        <w:jc w:val="center"/>
        <w:rPr>
          <w:color w:val="auto"/>
        </w:rPr>
      </w:pPr>
      <w:r>
        <w:rPr>
          <w:rFonts w:eastAsia="Calibri"/>
          <w:b/>
          <w:color w:val="auto"/>
          <w:sz w:val="24"/>
          <w:szCs w:val="24"/>
        </w:rPr>
        <w:t>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</w:r>
    </w:p>
    <w:p>
      <w:pPr>
        <w:pStyle w:val="Normal"/>
        <w:jc w:val="center"/>
        <w:rPr>
          <w:rFonts w:eastAsia="Calibri"/>
          <w:b/>
          <w:color w:val="auto"/>
          <w:sz w:val="24"/>
          <w:szCs w:val="24"/>
        </w:rPr>
      </w:pPr>
      <w:r>
        <w:rPr>
          <w:rFonts w:eastAsia="Calibri"/>
          <w:b/>
          <w:color w:val="auto"/>
          <w:sz w:val="24"/>
          <w:szCs w:val="24"/>
        </w:rPr>
      </w:r>
    </w:p>
    <w:p>
      <w:pPr>
        <w:pStyle w:val="Normal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color w:val="auto"/>
        </w:rPr>
      </w:pPr>
      <w:r>
        <w:rPr>
          <w:rFonts w:eastAsia="Calibri"/>
          <w:b/>
          <w:color w:val="auto"/>
          <w:u w:val="single"/>
        </w:rPr>
        <w:t xml:space="preserve">ЛОТ </w:t>
      </w:r>
      <w:r>
        <w:rPr>
          <w:rFonts w:eastAsia="Calibri"/>
          <w:b/>
          <w:color w:val="auto"/>
          <w:u w:val="single"/>
        </w:rPr>
        <w:t>______________________________</w:t>
      </w:r>
    </w:p>
    <w:p>
      <w:pPr>
        <w:pStyle w:val="Normal"/>
        <w:keepNext w:val="true"/>
        <w:keepLines/>
        <w:jc w:val="center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  <w:r>
        <w:br w:type="page"/>
      </w:r>
    </w:p>
    <w:p>
      <w:pPr>
        <w:pStyle w:val="Normal"/>
        <w:jc w:val="center"/>
        <w:rPr>
          <w:color w:val="auto"/>
        </w:rPr>
      </w:pPr>
      <w:r>
        <w:rPr>
          <w:b/>
          <w:color w:val="auto"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jc w:val="both"/>
            <w:rPr/>
          </w:pPr>
          <w:r>
            <w:fldChar w:fldCharType="begin"/>
          </w:r>
          <w:r>
            <w:rPr>
              <w:webHidden/>
              <w:rStyle w:val="Style23"/>
              <w:vanish w:val="false"/>
              <w:color w:val="auto"/>
            </w:rPr>
            <w:instrText xml:space="preserve"> TOC \z \o "1-4" \u \h</w:instrText>
          </w:r>
          <w:r>
            <w:rPr>
              <w:webHidden/>
              <w:rStyle w:val="Style23"/>
              <w:vanish w:val="false"/>
              <w:color w:val="auto"/>
            </w:rPr>
            <w:fldChar w:fldCharType="separate"/>
          </w:r>
          <w:hyperlink w:anchor="_Toc5464369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  <w:color w:val="auto"/>
              </w:rPr>
              <w:t>1.Общие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/>
          </w:pPr>
          <w:hyperlink w:anchor="_Toc54643695">
            <w:r>
              <w:rPr>
                <w:webHidden/>
                <w:rStyle w:val="Style23"/>
                <w:iCs/>
                <w:vanish w:val="false"/>
                <w:color w:val="auto"/>
                <w:sz w:val="24"/>
                <w:szCs w:val="24"/>
              </w:rPr>
              <w:t>1.1.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/>
          </w:pPr>
          <w:hyperlink w:anchor="_Toc54643696">
            <w:r>
              <w:rPr>
                <w:webHidden/>
                <w:rStyle w:val="Style23"/>
                <w:iCs/>
                <w:vanish w:val="false"/>
                <w:color w:val="auto"/>
                <w:sz w:val="24"/>
                <w:szCs w:val="24"/>
              </w:rPr>
              <w:t>1.2.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/>
          </w:pPr>
          <w:hyperlink w:anchor="_Toc54643697">
            <w:r>
              <w:rPr>
                <w:webHidden/>
                <w:rStyle w:val="Style23"/>
                <w:iCs/>
                <w:vanish w:val="false"/>
                <w:color w:val="auto"/>
                <w:sz w:val="24"/>
                <w:szCs w:val="24"/>
              </w:rPr>
              <w:t>1.3.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  <w:color w:val="auto"/>
              </w:rPr>
              <w:t>Таблица 1. Перечень техники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02">
            <w:r>
              <w:rPr>
                <w:webHidden/>
                <w:rStyle w:val="Style23"/>
                <w:vanish w:val="false"/>
                <w:color w:val="auto"/>
              </w:rPr>
              <w:t>2.</w:t>
            </w:r>
            <w:r>
              <w:rPr>
                <w:rStyle w:val="Style23"/>
                <w:iCs/>
                <w:color w:val="auto"/>
              </w:rPr>
              <w:t>Требования к оказываемым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jc w:val="both"/>
            <w:rPr/>
          </w:pPr>
          <w:hyperlink w:anchor="_Toc54643703">
            <w:r>
              <w:rPr>
                <w:webHidden/>
                <w:rStyle w:val="Style23"/>
                <w:iCs/>
                <w:vanish w:val="false"/>
                <w:color w:val="auto"/>
                <w:sz w:val="24"/>
                <w:szCs w:val="24"/>
              </w:rPr>
              <w:t>2.1.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/>
          </w:pPr>
          <w:hyperlink w:anchor="_Toc54643704">
            <w:r>
              <w:rPr>
                <w:webHidden/>
                <w:rStyle w:val="Style23"/>
                <w:vanish w:val="false"/>
                <w:color w:val="auto"/>
                <w:sz w:val="24"/>
                <w:szCs w:val="24"/>
              </w:rPr>
              <w:t>2.1.1.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3"/>
                <w:vanish w:val="false"/>
                <w:color w:val="auto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jc w:val="both"/>
            <w:rPr/>
          </w:pPr>
          <w:hyperlink w:anchor="_Toc54643706">
            <w:r>
              <w:rPr>
                <w:webHidden/>
                <w:rStyle w:val="Style23"/>
                <w:vanish w:val="false"/>
                <w:color w:val="auto"/>
                <w:sz w:val="24"/>
                <w:szCs w:val="24"/>
              </w:rPr>
              <w:t>2.1.2.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07">
            <w:r>
              <w:rPr>
                <w:webHidden/>
                <w:rStyle w:val="Style23"/>
                <w:vanish w:val="false"/>
                <w:color w:val="auto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  <w:color w:val="auto"/>
            </w:rPr>
            <w:t>5</w:t>
          </w:r>
        </w:p>
        <w:p>
          <w:pPr>
            <w:pStyle w:val="TOC4"/>
            <w:jc w:val="both"/>
            <w:rPr/>
          </w:pPr>
          <w:hyperlink w:anchor="_Toc54643708">
            <w:r>
              <w:rPr>
                <w:webHidden/>
                <w:rStyle w:val="Style23"/>
                <w:iCs/>
                <w:vanish w:val="false"/>
                <w:color w:val="auto"/>
                <w:sz w:val="24"/>
                <w:szCs w:val="24"/>
              </w:rPr>
              <w:t>2.2.</w:t>
            </w:r>
            <w:r>
              <w:rPr>
                <w:rStyle w:val="Style23"/>
                <w:rFonts w:eastAsia="" w:cs="" w:ascii="Calibri" w:hAnsi="Calibri" w:asciiTheme="minorHAnsi" w:cstheme="minorBidi" w:eastAsiaTheme="minorEastAsia" w:hAnsiTheme="minorHAnsi"/>
                <w:color w:val="auto"/>
                <w:sz w:val="24"/>
                <w:szCs w:val="24"/>
              </w:rPr>
              <w:tab/>
            </w:r>
            <w:r>
              <w:rPr>
                <w:rStyle w:val="Style23"/>
                <w:color w:val="auto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09">
            <w:r>
              <w:rPr>
                <w:webHidden/>
                <w:rStyle w:val="Style23"/>
                <w:vanish w:val="false"/>
                <w:color w:val="auto"/>
              </w:rPr>
              <w:t>Таблица 4. Требования к качеству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lang w:val="en-US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/>
          </w:pPr>
          <w:hyperlink w:anchor="_Toc54643712">
            <w:r>
              <w:rPr>
                <w:webHidden/>
                <w:rStyle w:val="Style23"/>
                <w:vanish w:val="false"/>
                <w:color w:val="auto"/>
              </w:rPr>
              <w:t>3.</w:t>
            </w:r>
            <w:r>
              <w:rPr>
                <w:rStyle w:val="Style23"/>
                <w:iCs/>
                <w:color w:val="auto"/>
              </w:rPr>
              <w:t>Требования к документации по ценообразованию на этапе закупки</w:t>
            </w:r>
            <w:r>
              <w:rPr>
                <w:rStyle w:val="Style23"/>
                <w:vanish w:val="false"/>
                <w:color w:val="auto"/>
              </w:rPr>
              <w:t>…………..……..….….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3"/>
                <w:vanish w:val="false"/>
                <w:color w:val="auto"/>
                <w:lang w:val="en-US"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jc w:val="both"/>
            <w:rPr>
              <w:color w:val="auto"/>
            </w:rPr>
          </w:pPr>
          <w:r>
            <w:rPr>
              <w:iCs/>
              <w:color w:val="auto"/>
              <w:u w:val="none"/>
            </w:rPr>
            <w:t>4. Приложение к Техническим требованиям…………………………………………………….</w:t>
          </w:r>
          <w:r>
            <w:rPr>
              <w:iCs/>
              <w:color w:val="auto"/>
              <w:u w:val="none"/>
              <w:lang w:val="en-US"/>
            </w:rPr>
            <w:t>10</w:t>
          </w:r>
          <w:r>
            <w:rPr>
              <w:u w:val="none"/>
              <w:iCs/>
              <w:color w:val="auto"/>
              <w:lang w:val="en-US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jc w:val="both"/>
        <w:rPr>
          <w:b w:val="false"/>
          <w:i/>
          <w:i/>
          <w:color w:val="auto"/>
        </w:rPr>
      </w:pPr>
      <w:r>
        <w:rPr>
          <w:b w:val="false"/>
          <w:i/>
          <w:color w:val="auto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color w:val="auto"/>
          <w:sz w:val="24"/>
          <w:szCs w:val="24"/>
        </w:rPr>
      </w:pPr>
      <w:r>
        <w:rPr>
          <w:rFonts w:eastAsia="Calibri"/>
          <w:b/>
          <w:i/>
          <w:color w:val="auto"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olor w:val="auto"/>
        </w:rPr>
      </w:pPr>
      <w:bookmarkStart w:id="0" w:name="_Toc54643694"/>
      <w:r>
        <w:rPr>
          <w:color w:val="auto"/>
          <w:sz w:val="24"/>
          <w:szCs w:val="24"/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>
          <w:color w:val="auto"/>
        </w:rPr>
      </w:pPr>
      <w:bookmarkStart w:id="1" w:name="_Toc46743505"/>
      <w:bookmarkStart w:id="2" w:name="_Toc54643695"/>
      <w:r>
        <w:rPr>
          <w:color w:val="auto"/>
        </w:rPr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389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ПТБ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Правила техники безопасности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bCs/>
                <w:color w:val="auto"/>
                <w:sz w:val="24"/>
                <w:szCs w:val="24"/>
              </w:rPr>
              <w:t>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Текущий ремонт</w:t>
            </w:r>
          </w:p>
        </w:tc>
      </w:tr>
    </w:tbl>
    <w:p>
      <w:pPr>
        <w:pStyle w:val="Normal"/>
        <w:keepNext w:val="true"/>
        <w:keepLines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Heading4"/>
        <w:pageBreakBefore w:val="false"/>
        <w:numPr>
          <w:ilvl w:val="1"/>
          <w:numId w:val="3"/>
        </w:numPr>
        <w:rPr>
          <w:color w:val="auto"/>
        </w:rPr>
      </w:pPr>
      <w:bookmarkStart w:id="3" w:name="_Toc46743506"/>
      <w:bookmarkStart w:id="4" w:name="_Toc54643696"/>
      <w:r>
        <w:rPr>
          <w:color w:val="auto"/>
        </w:rPr>
        <w:t>Наименование закупаем</w:t>
      </w:r>
      <w:bookmarkEnd w:id="3"/>
      <w:bookmarkEnd w:id="4"/>
      <w:r>
        <w:rPr>
          <w:color w:val="auto"/>
          <w:lang w:val="ru-RU"/>
        </w:rPr>
        <w:t>ых услуг</w:t>
      </w:r>
    </w:p>
    <w:p>
      <w:pPr>
        <w:pStyle w:val="Normal"/>
        <w:spacing w:before="240" w:after="0"/>
        <w:contextualSpacing/>
        <w:jc w:val="both"/>
        <w:rPr>
          <w:color w:val="auto"/>
        </w:rPr>
      </w:pPr>
      <w:r>
        <w:rPr>
          <w:color w:val="auto"/>
          <w:sz w:val="24"/>
          <w:szCs w:val="24"/>
        </w:rPr>
        <w:t>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</w:r>
      <w:bookmarkStart w:id="5" w:name="_Toc54643697"/>
      <w:bookmarkStart w:id="6" w:name="_Toc46743507"/>
    </w:p>
    <w:p>
      <w:pPr>
        <w:pStyle w:val="Heading4"/>
        <w:numPr>
          <w:ilvl w:val="1"/>
          <w:numId w:val="3"/>
        </w:numPr>
        <w:rPr>
          <w:color w:val="auto"/>
        </w:rPr>
      </w:pPr>
      <w:r>
        <w:rPr>
          <w:color w:val="auto"/>
        </w:rPr>
        <w:t xml:space="preserve">Цель </w:t>
      </w:r>
      <w:bookmarkEnd w:id="6"/>
      <w:r>
        <w:rPr>
          <w:color w:val="auto"/>
        </w:rPr>
        <w:t xml:space="preserve">оказания услуг </w:t>
      </w:r>
      <w:bookmarkEnd w:id="5"/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bookmarkStart w:id="7" w:name="_Toc54643699"/>
      <w:bookmarkEnd w:id="7"/>
      <w:r>
        <w:rPr>
          <w:color w:val="auto"/>
          <w:sz w:val="24"/>
          <w:szCs w:val="24"/>
        </w:rPr>
        <w:t xml:space="preserve">Содержание </w:t>
      </w:r>
      <w:r>
        <w:rPr>
          <w:color w:val="auto"/>
          <w:sz w:val="24"/>
        </w:rPr>
        <w:t xml:space="preserve">катеров </w:t>
      </w:r>
      <w:r>
        <w:rPr>
          <w:rFonts w:eastAsia="Calibri"/>
          <w:bCs/>
          <w:color w:val="auto"/>
          <w:sz w:val="24"/>
          <w:szCs w:val="24"/>
          <w:lang w:eastAsia="en-US"/>
        </w:rPr>
        <w:t>марки СВП-700</w:t>
      </w:r>
      <w:r>
        <w:rPr>
          <w:bCs/>
          <w:color w:val="auto"/>
          <w:sz w:val="24"/>
          <w:szCs w:val="24"/>
        </w:rPr>
        <w:t>,</w:t>
      </w:r>
      <w:r>
        <w:rPr>
          <w:b/>
          <w:bCs/>
          <w:color w:val="auto"/>
          <w:sz w:val="24"/>
          <w:szCs w:val="24"/>
        </w:rPr>
        <w:t xml:space="preserve"> </w:t>
      </w:r>
      <w:r>
        <w:rPr>
          <w:bCs/>
          <w:color w:val="auto"/>
          <w:sz w:val="24"/>
          <w:szCs w:val="24"/>
        </w:rPr>
        <w:t xml:space="preserve">КС-701, лодки моторной Навигатор-380 </w:t>
      </w:r>
      <w:r>
        <w:rPr>
          <w:rFonts w:eastAsia="Calibri"/>
          <w:bCs/>
          <w:color w:val="auto"/>
          <w:sz w:val="24"/>
          <w:szCs w:val="24"/>
          <w:lang w:eastAsia="en-US"/>
        </w:rPr>
        <w:t>с лодочным мотором ТАХАТСУ 30 л.с.</w:t>
      </w:r>
      <w:r>
        <w:rPr>
          <w:color w:val="auto"/>
          <w:sz w:val="24"/>
          <w:szCs w:val="24"/>
        </w:rPr>
        <w:t xml:space="preserve"> Верхневолжского транспортного участка Центрального филиала АО «ТК РусГидро» в технически исправном состоянии, проведение своевременного и качественного технического обслуживания и текущего ремонта. 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>
          <w:b/>
          <w:bCs/>
          <w:color w:val="auto"/>
          <w:sz w:val="24"/>
          <w:szCs w:val="24"/>
        </w:rPr>
        <w:t>Таблица 1. Перечень объектов заказчика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46"/>
        <w:gridCol w:w="2059"/>
        <w:gridCol w:w="2700"/>
        <w:gridCol w:w="3123"/>
        <w:gridCol w:w="1493"/>
      </w:tblGrid>
      <w:tr>
        <w:trPr/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№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Наименование объекта</w:t>
            </w:r>
          </w:p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Расположение объекта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(место оказания услуг)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Наименование основного средства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(в отношении которого оказываются услуги)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" w:right="0" w:hanging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5</w:t>
            </w:r>
          </w:p>
        </w:tc>
      </w:tr>
      <w:tr>
        <w:trPr/>
        <w:tc>
          <w:tcPr>
            <w:tcW w:w="54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Центрального филиала АО «ТК РусГидро»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Верхневолжский транспорный участок</w:t>
            </w:r>
          </w:p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" w:right="0" w:hanging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152917, Российская Федерация, Ярославская обл., г. Рыбинск, ул. Вяземского д.31.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" w:right="0" w:hanging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>152615, Российская Федерация, Ярославская обл., г. Углич, ул. Спасская, д.33.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КС-701 рег.№ РЯР 02-55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КС-701 рег.№ РЯР 02-56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СВП 700 рег.№ РЯР 02-57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СВП 700 рег.№ РЯР 02-58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70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Моторная лодка Навигатор -380 с лодочным мотором ТАХАТСУ 30 л.с. РЯР 02-54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2010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1757" w:hRule="atLeast"/>
        </w:trPr>
        <w:tc>
          <w:tcPr>
            <w:tcW w:w="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Центрального филиала АО «ТК РусГидро»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Нижегородский транспорный участок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ru-RU"/>
              </w:rPr>
              <w:t xml:space="preserve">606520, </w:t>
            </w:r>
            <w:r>
              <w:rPr>
                <w:color w:val="auto"/>
                <w:sz w:val="24"/>
                <w:szCs w:val="24"/>
              </w:rPr>
              <w:t>Российская Федерация, Нижегородская обл., Городецкий р-он г. Заволжье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СВП 700 рег.№ РГХ 00-44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5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20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Центрального филиала АО «ТК РусГидро»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Чебоксарский транспорный участок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Российская Федерация, Чувашская Республика, г. Новочебоксарск, ул.</w:t>
            </w:r>
          </w:p>
          <w:p>
            <w:pPr>
              <w:pStyle w:val="Style48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Набережная, 34.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u w:val="none"/>
                <w:em w:val="none"/>
              </w:rPr>
              <w:t>СВП 700 рег.№ РЧФ 50-10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2015 г.в.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widowControl w:val="false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</w:p>
    <w:p>
      <w:pPr>
        <w:pStyle w:val="ListParagraph"/>
        <w:widowControl/>
        <w:numPr>
          <w:ilvl w:val="0"/>
          <w:numId w:val="10"/>
        </w:numPr>
        <w:tabs>
          <w:tab w:val="clear" w:pos="708"/>
          <w:tab w:val="left" w:pos="513" w:leader="none"/>
        </w:tabs>
        <w:suppressAutoHyphens w:val="true"/>
        <w:bidi w:val="0"/>
        <w:spacing w:before="0" w:after="0"/>
        <w:ind w:left="737" w:right="0" w:hanging="737"/>
        <w:contextualSpacing/>
        <w:jc w:val="both"/>
        <w:rPr>
          <w:color w:val="auto"/>
        </w:rPr>
      </w:pPr>
      <w:bookmarkStart w:id="8" w:name="_Toc50125126"/>
      <w:bookmarkStart w:id="9" w:name="_Toc51339695"/>
      <w:bookmarkStart w:id="10" w:name="_Toc546436991"/>
      <w:bookmarkStart w:id="11" w:name="_Toc54643705"/>
      <w:bookmarkEnd w:id="8"/>
      <w:bookmarkEnd w:id="9"/>
      <w:bookmarkEnd w:id="10"/>
      <w:bookmarkEnd w:id="11"/>
      <w:r>
        <w:rPr>
          <w:b/>
          <w:color w:val="auto"/>
        </w:rPr>
        <w:t xml:space="preserve">Требования к </w:t>
      </w:r>
      <w:r>
        <w:rPr>
          <w:b/>
          <w:color w:val="auto"/>
        </w:rPr>
        <w:t>продукции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>
          <w:color w:val="auto"/>
          <w:sz w:val="24"/>
          <w:szCs w:val="24"/>
          <w:lang w:val="en-US"/>
        </w:rPr>
        <w:t>2.1.</w:t>
        <w:tab/>
        <w:t>Требования к объемам и срокам оказания услуг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>
          <w:color w:val="auto"/>
          <w:sz w:val="24"/>
          <w:szCs w:val="24"/>
          <w:lang w:val="en-US"/>
        </w:rPr>
        <w:t>2.1.1.</w:t>
        <w:tab/>
        <w:t>Требования к перечню и объему услуг: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>
          <w:color w:val="auto"/>
          <w:sz w:val="24"/>
          <w:szCs w:val="24"/>
          <w:lang w:val="en-US"/>
        </w:rPr>
        <w:t>Фактический объем услуг по Договору определяется Заказчиком, исходя из его потребностей в соответствии с приложением № 1 к Техническому требованию.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>
          <w:b/>
          <w:bCs/>
          <w:color w:val="auto"/>
          <w:sz w:val="24"/>
          <w:szCs w:val="24"/>
          <w:lang w:val="en-US"/>
        </w:rPr>
        <w:t>Таблица 2. Перечень и объем оказываемых услуг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/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/>
      </w:r>
    </w:p>
    <w:tbl>
      <w:tblPr>
        <w:tblW w:w="105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17"/>
        <w:gridCol w:w="4301"/>
        <w:gridCol w:w="857"/>
        <w:gridCol w:w="961"/>
        <w:gridCol w:w="1535"/>
        <w:gridCol w:w="1247"/>
        <w:gridCol w:w="1033"/>
      </w:tblGrid>
      <w:tr>
        <w:trPr>
          <w:trHeight w:val="204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28" w:before="0" w:after="160"/>
              <w:ind w:right="2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3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3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Рег</w:t>
            </w:r>
            <w:r>
              <w:rPr>
                <w:color w:val="000000"/>
                <w:sz w:val="22"/>
                <w:szCs w:val="22"/>
                <w:lang w:val="en-GB"/>
              </w:rPr>
              <w:t xml:space="preserve">.номер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/>
            </w:pPr>
            <w:r>
              <w:rPr>
                <w:color w:val="000000"/>
                <w:sz w:val="22"/>
                <w:szCs w:val="22"/>
                <w:lang w:val="en-GB"/>
              </w:rPr>
              <w:t xml:space="preserve">Марка 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Год выпуска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57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СО – при подготовке катера к навигации, расконсервация после зимнего хранения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РЯР 02-55 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КС-701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ТО-1 с периодичностью 200 м/ч,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 в конце навигации (консервация судна для хранения в зимний период)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СО – при подготовке катера к навигации, расконсервация после зимнего хранения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РЯР 02-56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КС-701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ТО-1 с периодичностью 200 м/ч,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 в конце навигации (консервация судна для хранения в зимний период)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СО – при подготовке катера к навигации, расконсервация после зимнего хранения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РЯР 02-57 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ТО-1 с периодичностью 200 м/ч,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 в конце навигации (консервация судна для хранения в зимний период)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СО, проводимое при переходе к эксплуатации в осенне зимний период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РЯР 02-58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ТО-1, проводимое с интервалом 100м/ч,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РГХ 0044 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СО, проводимое при переходе к весеннее летней эксплуатации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 -2, проводимое с интервалом 100 м/ч от ТО-1, текущий ремонт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СО, проводимое при переходе к эксплуатации в осенне-зимний период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СО, проводимое при переходе к весеннее летней эксплуатации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РЧФ 50-10 </w:t>
            </w:r>
          </w:p>
        </w:tc>
        <w:tc>
          <w:tcPr>
            <w:tcW w:w="12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ТО-1, проводимое с интервалом 100 м/ч,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СО, проводимое при переходе к эксплуатации в осенне зимний период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2" w:hRule="atLeast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ТО -2, проводимое один раз в год или при наработке 100 м/ч, проводимое при переходе к весенне-летней эксплуатации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РЯР 02-54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Моторная лодка </w:t>
            </w:r>
            <w:r>
              <w:rPr>
                <w:color w:val="auto"/>
                <w:sz w:val="24"/>
                <w:szCs w:val="24"/>
              </w:rPr>
              <w:t xml:space="preserve">Навигатор - 380 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</w:tr>
      <w:tr>
        <w:trPr>
          <w:trHeight w:val="512" w:hRule="atLeast"/>
        </w:trPr>
        <w:tc>
          <w:tcPr>
            <w:tcW w:w="6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комплекта гибкого ограждения</w:t>
            </w:r>
          </w:p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(носовое, кормовое, борта надувные, дополнительный баллон, скег со сменной подошвой)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СВП-700 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</w:t>
            </w:r>
          </w:p>
        </w:tc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РЯР 02-55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КС-701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РЯР 02-56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КС-701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РЯР 02-57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РЯР 02-58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РГХ 0044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РЧФ 50-10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СВП-700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</w:tr>
      <w:tr>
        <w:trPr>
          <w:trHeight w:val="512" w:hRule="atLeast"/>
        </w:trPr>
        <w:tc>
          <w:tcPr>
            <w:tcW w:w="6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5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РЯР 02-54 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48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Моторная лодка </w:t>
            </w:r>
            <w:r>
              <w:rPr>
                <w:color w:val="auto"/>
                <w:sz w:val="24"/>
                <w:szCs w:val="24"/>
              </w:rPr>
              <w:t xml:space="preserve">Навигатор - 380 </w:t>
            </w:r>
          </w:p>
        </w:tc>
        <w:tc>
          <w:tcPr>
            <w:tcW w:w="1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66" w:right="-6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jc w:val="both"/>
        <w:rPr>
          <w:color w:val="auto"/>
        </w:rPr>
      </w:pPr>
      <w:r>
        <w:rPr/>
      </w:r>
    </w:p>
    <w:p>
      <w:pPr>
        <w:pStyle w:val="Heading4"/>
        <w:numPr>
          <w:ilvl w:val="0"/>
          <w:numId w:val="0"/>
        </w:numPr>
        <w:ind w:left="432" w:hanging="432"/>
        <w:rPr>
          <w:color w:val="auto"/>
        </w:rPr>
      </w:pPr>
      <w:bookmarkStart w:id="12" w:name="_Toc54643706"/>
      <w:bookmarkStart w:id="13" w:name="_Toc51339696"/>
      <w:r>
        <w:rPr>
          <w:color w:val="auto"/>
          <w:lang w:val="ru-RU"/>
        </w:rPr>
        <w:t>2.1.</w:t>
      </w:r>
      <w:r>
        <w:rPr>
          <w:color w:val="auto"/>
          <w:lang w:val="ru-RU"/>
        </w:rPr>
        <w:t xml:space="preserve">2. </w:t>
      </w:r>
      <w:r>
        <w:rPr>
          <w:color w:val="auto"/>
          <w:lang w:val="ru-RU"/>
        </w:rPr>
        <w:t xml:space="preserve">Требования </w:t>
      </w:r>
      <w:bookmarkEnd w:id="13"/>
      <w:r>
        <w:rPr>
          <w:color w:val="auto"/>
          <w:lang w:val="ru-RU"/>
        </w:rPr>
        <w:t>к срокам оказания услуг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color w:val="auto"/>
        </w:rPr>
      </w:pPr>
      <w:bookmarkStart w:id="14" w:name="_Toc50125127"/>
      <w:bookmarkStart w:id="15" w:name="_Toc501251261"/>
      <w:bookmarkStart w:id="16" w:name="_Toc51339697"/>
      <w:bookmarkStart w:id="17" w:name="_Toc54643707"/>
      <w:bookmarkEnd w:id="15"/>
      <w:r>
        <w:rPr>
          <w:color w:val="auto"/>
          <w:sz w:val="24"/>
          <w:szCs w:val="24"/>
        </w:rPr>
        <w:t xml:space="preserve">Таблица </w:t>
      </w:r>
      <w:r>
        <w:rPr>
          <w:color w:val="auto"/>
          <w:sz w:val="24"/>
          <w:szCs w:val="24"/>
          <w:lang w:val="ru-RU"/>
        </w:rPr>
        <w:t>3</w:t>
      </w:r>
      <w:r>
        <w:rPr>
          <w:color w:val="auto"/>
          <w:sz w:val="24"/>
          <w:szCs w:val="24"/>
        </w:rPr>
        <w:t xml:space="preserve">. </w:t>
      </w:r>
      <w:bookmarkStart w:id="18" w:name="_Hlk50465284"/>
      <w:r>
        <w:rPr>
          <w:color w:val="auto"/>
          <w:sz w:val="24"/>
          <w:szCs w:val="24"/>
        </w:rPr>
        <w:t xml:space="preserve">Требования </w:t>
      </w:r>
      <w:r>
        <w:rPr>
          <w:color w:val="auto"/>
          <w:sz w:val="24"/>
          <w:szCs w:val="24"/>
          <w:lang w:val="ru-RU"/>
        </w:rPr>
        <w:t>к</w:t>
      </w:r>
      <w:r>
        <w:rPr>
          <w:color w:val="auto"/>
          <w:sz w:val="24"/>
          <w:szCs w:val="24"/>
        </w:rPr>
        <w:t xml:space="preserve"> срокам </w:t>
      </w:r>
      <w:bookmarkEnd w:id="14"/>
      <w:bookmarkEnd w:id="16"/>
      <w:bookmarkEnd w:id="18"/>
      <w:r>
        <w:rPr>
          <w:color w:val="auto"/>
          <w:sz w:val="24"/>
          <w:szCs w:val="24"/>
          <w:lang w:val="ru-RU"/>
        </w:rPr>
        <w:t>оказания услуг</w:t>
      </w:r>
      <w:bookmarkEnd w:id="17"/>
    </w:p>
    <w:tbl>
      <w:tblPr>
        <w:tblW w:w="1002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89"/>
        <w:gridCol w:w="3961"/>
        <w:gridCol w:w="2495"/>
        <w:gridCol w:w="2880"/>
      </w:tblGrid>
      <w:tr>
        <w:trPr>
          <w:trHeight w:val="696" w:hRule="atLeast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№ </w:t>
            </w:r>
            <w:r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>Требования к окончанию срока оказания услуг</w:t>
            </w:r>
          </w:p>
        </w:tc>
      </w:tr>
      <w:tr>
        <w:trPr>
          <w:trHeight w:val="296" w:hRule="atLeast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4</w:t>
            </w:r>
          </w:p>
        </w:tc>
      </w:tr>
      <w:tr>
        <w:trPr>
          <w:trHeight w:val="1394" w:hRule="atLeast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x-none"/>
              </w:rPr>
              <w:t>Срок действия договора: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x-none"/>
              </w:rPr>
              <w:t>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x-none"/>
              </w:rPr>
              <w:t>С даты заключения договора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auto"/>
              </w:rPr>
            </w:pPr>
            <w:bookmarkStart w:id="19" w:name="_Toc46743510"/>
            <w:r>
              <w:rPr>
                <w:rFonts w:eastAsia="MS Mincho"/>
                <w:color w:val="auto"/>
                <w:sz w:val="24"/>
                <w:szCs w:val="24"/>
                <w:lang w:eastAsia="ja-JP"/>
              </w:rPr>
              <w:t>Действует 12 месяцев с  даты заключения или до исчерпания предельной стоимости договора, в зависимости от того, что наступит раньше.</w:t>
            </w:r>
            <w:bookmarkEnd w:id="19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  <w:numId w:val="0"/>
        </w:numPr>
        <w:ind w:left="432" w:hanging="432"/>
        <w:rPr>
          <w:color w:val="auto"/>
        </w:rPr>
      </w:pPr>
      <w:bookmarkStart w:id="20" w:name="_Toc54643709"/>
      <w:bookmarkStart w:id="21" w:name="_Toc51339698"/>
      <w:bookmarkStart w:id="22" w:name="_Toc54643708"/>
      <w:bookmarkStart w:id="23" w:name="_Toc46743511"/>
      <w:r>
        <w:rPr>
          <w:color w:val="auto"/>
          <w:lang w:val="ru-RU"/>
        </w:rPr>
        <w:t>2.2.</w:t>
      </w:r>
      <w:r>
        <w:rPr>
          <w:color w:val="auto"/>
        </w:rPr>
        <w:t xml:space="preserve">Требования к </w:t>
      </w:r>
      <w:bookmarkEnd w:id="23"/>
      <w:r>
        <w:rPr>
          <w:color w:val="auto"/>
          <w:lang w:val="ru-RU"/>
        </w:rPr>
        <w:t>качеству услуг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color w:val="auto"/>
        </w:rPr>
      </w:pPr>
      <w:r>
        <w:rPr>
          <w:color w:val="auto"/>
          <w:sz w:val="24"/>
          <w:szCs w:val="24"/>
        </w:rPr>
        <w:t>Таблица </w:t>
      </w:r>
      <w:r>
        <w:rPr>
          <w:color w:val="auto"/>
          <w:sz w:val="24"/>
          <w:szCs w:val="24"/>
          <w:lang w:val="ru-RU"/>
        </w:rPr>
        <w:t>4</w:t>
      </w:r>
      <w:r>
        <w:rPr>
          <w:color w:val="auto"/>
          <w:sz w:val="24"/>
          <w:szCs w:val="24"/>
        </w:rPr>
        <w:t xml:space="preserve">. Требования к </w:t>
      </w:r>
      <w:bookmarkEnd w:id="21"/>
      <w:r>
        <w:rPr>
          <w:color w:val="auto"/>
          <w:sz w:val="24"/>
          <w:szCs w:val="24"/>
          <w:lang w:val="ru-RU"/>
        </w:rPr>
        <w:t>качеству услуг</w:t>
      </w:r>
      <w:bookmarkEnd w:id="20"/>
      <w:r>
        <w:rPr>
          <w:color w:val="auto"/>
          <w:sz w:val="24"/>
          <w:szCs w:val="24"/>
        </w:rPr>
        <w:t xml:space="preserve"> </w:t>
      </w:r>
    </w:p>
    <w:p>
      <w:pPr>
        <w:pStyle w:val="Normal"/>
        <w:rPr>
          <w:color w:val="auto"/>
        </w:rPr>
      </w:pPr>
      <w:r>
        <w:rPr>
          <w:b/>
          <w:bCs/>
          <w:color w:val="auto"/>
          <w:sz w:val="24"/>
          <w:szCs w:val="24"/>
        </w:rPr>
        <w:t>Наименование услуг</w:t>
      </w:r>
      <w:r>
        <w:rPr>
          <w:b/>
          <w:bCs/>
          <w:color w:val="000000"/>
          <w:sz w:val="24"/>
          <w:szCs w:val="24"/>
          <w:shd w:fill="auto" w:val="clear"/>
        </w:rPr>
        <w:t xml:space="preserve">: </w:t>
      </w:r>
      <w:r>
        <w:rPr>
          <w:rFonts w:eastAsia="Calibri"/>
          <w:b/>
          <w:bCs/>
          <w:i/>
          <w:iCs/>
          <w:color w:val="000000"/>
          <w:sz w:val="24"/>
          <w:szCs w:val="24"/>
          <w:shd w:fill="auto" w:val="clear"/>
          <w:lang w:eastAsia="x-none"/>
        </w:rPr>
        <w:t>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</w:r>
    </w:p>
    <w:tbl>
      <w:tblPr>
        <w:tblStyle w:val="af1"/>
        <w:tblW w:w="1541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5"/>
        <w:gridCol w:w="7705"/>
        <w:gridCol w:w="3516"/>
        <w:gridCol w:w="3350"/>
      </w:tblGrid>
      <w:tr>
        <w:trPr/>
        <w:tc>
          <w:tcPr>
            <w:tcW w:w="8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77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86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77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35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bookmarkStart w:id="24" w:name="_Toc53499667"/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3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516" w:type="dxa"/>
            <w:vMerge w:val="restart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b w:val="false"/>
                <w:bCs w:val="false"/>
                <w:i/>
                <w:iCs/>
                <w:color w:val="auto"/>
                <w:sz w:val="24"/>
                <w:szCs w:val="24"/>
              </w:rPr>
              <w:t>Участник должен представить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3350" w:type="dxa"/>
            <w:vMerge w:val="restart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Исполнитель, выполняющий работы и оказывающий услуги по техническому обслуживанию и ремонту водного транспорта, обязан обеспечивать их проведение в соответствии с установленными нормами и правилами процедуры технического обслуживания и ремонта водного транспорта, установленными заводом-изготовителем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сохранность и комплектность водного транспорта Заказчика на период выполнения работ.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устанавливать на водный транспорт Заказчика только новые оригинальные запасные части и расходные материалы для судов, в соответствии с каталожными номерами завода изготовителя. Запасные части, используемые Исполнителем, должны быть сертифицированы. Исполнитель по требованию Заказчика обязан предъявить сертификаты.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>
          <w:trHeight w:val="306" w:hRule="atLeast"/>
        </w:trPr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извещать Заказчика о возникновении в ходе выполнения работ новых обстоятельств технического состояния ремонтируемого водного транспорта, которые могут привести к снижению безопасности его эксплуатации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После окончания работ оплата за парковку транспортного средства на территории Исполнителя не начисляется.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1.1.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Отходы, образовавшиеся в результате оказания Услуг являются собственностью Исполнителя. 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Услуги оказываются по заявкам в период с момента подписания договора.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1.2.2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Срок исполнения по конкретной заявке согласовываются сторонами в заказ-наряде, но не должен превышать 4 (Четырех) рабочих дней.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1.2.3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При оформлении Расчета стоимости услуг кроме стоимости каждой отдельной позиции по виду работ, также указывать норматив трудозатрат в нормо-часах по каждой позиции по виду работ, наименование работы, количество работ, стоимость нормо-часа, код работы.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1.2.4</w:t>
            </w:r>
          </w:p>
        </w:tc>
        <w:tc>
          <w:tcPr>
            <w:tcW w:w="7705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Техническое обслуживание проводится согласно Регламента технического обслуживания соответствующего водного транспорта по Приложению №2 к настоящим Техническим требованиям.</w:t>
            </w:r>
          </w:p>
        </w:tc>
        <w:tc>
          <w:tcPr>
            <w:tcW w:w="351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1.2.5</w:t>
            </w:r>
          </w:p>
        </w:tc>
        <w:tc>
          <w:tcPr>
            <w:tcW w:w="7705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Качество выполняемых работ должно соответствовать требованиям ГОСТ Р 56243-2014 «Внутренний водный транспорт. Система управления безопасностью судов. Требования по обеспечению надежности механизмов», технической документации на водное транспортное средство, требованиям завода изготовителя и других нормативных документов действующих на территории РФ, которые регламентируют выполнение данного вида работ.</w:t>
            </w:r>
          </w:p>
        </w:tc>
        <w:tc>
          <w:tcPr>
            <w:tcW w:w="351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  <w:tc>
          <w:tcPr>
            <w:tcW w:w="77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77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оказать услуги с надлежащей эффективностью и на высоком профессиональном уровне, с использованием современного, безопасного, эффективного оборудования, техники, инструментов, материалов и методов.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устанавливать водный транспорт Заказчика только новые запасные части в соответствии с каталожными номерами завода изготовителя. Запасные части, используемые Исполнителем, должны быть сертифицированы. Исполнитель по требованию Заказчика обязан предъявить сертификаты соответствия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1.3.3.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наличие на складе запчастей, материалов и комплектующих для ремонта и технического обслуживания водного транспорта.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гарантийным обязательствам оказываемых услуг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1.4.1.</w:t>
            </w:r>
          </w:p>
        </w:tc>
        <w:tc>
          <w:tcPr>
            <w:tcW w:w="770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Гарантийные обязательства на выполненные работы должны составлять не менее двенадцати месяцев или 100 м/ч. наработки (в зависимости, что наступит раньше) с даты подписания акта выполненных работ. Гарантия на замененные в процессе обслуживания или ремонта детали и механизмы должна составлять не менее установленной заводом изготовителем, но не менее 6 месяцев.  Перед подписанием акта выполненных работ проводятся приемо-сдаточные ходовые испытания. Результаты проведения приемо-сдаточных ходовых испытаний отражаются в акте выполненных работ.</w:t>
            </w:r>
          </w:p>
        </w:tc>
        <w:tc>
          <w:tcPr>
            <w:tcW w:w="35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color w:val="auto"/>
                <w:sz w:val="24"/>
                <w:szCs w:val="24"/>
              </w:rPr>
            </w:pPr>
            <w:r>
              <w:rPr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350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ind w:left="142" w:hanging="0"/>
        <w:rPr>
          <w:color w:val="auto"/>
        </w:rPr>
      </w:pPr>
      <w:bookmarkStart w:id="25" w:name="_Toc54643710"/>
      <w:bookmarkStart w:id="26" w:name="_Toc53393312"/>
      <w:bookmarkStart w:id="27" w:name="_Toc53395937"/>
      <w:bookmarkStart w:id="28" w:name="_Toc46743519"/>
      <w:bookmarkStart w:id="29" w:name="_Toc51339699"/>
      <w:bookmarkEnd w:id="28"/>
      <w:bookmarkEnd w:id="29"/>
      <w:r>
        <w:rPr>
          <w:color w:val="auto"/>
          <w:sz w:val="24"/>
          <w:szCs w:val="24"/>
          <w:lang w:val="ru-RU"/>
        </w:rPr>
        <w:t>3. Требования к документации по ценообразованию</w:t>
      </w:r>
      <w:bookmarkEnd w:id="26"/>
      <w:bookmarkEnd w:id="27"/>
      <w:r>
        <w:rPr>
          <w:color w:val="auto"/>
          <w:sz w:val="24"/>
          <w:szCs w:val="24"/>
          <w:lang w:val="ru-RU"/>
        </w:rPr>
        <w:t xml:space="preserve"> на этапе закупки</w:t>
      </w:r>
      <w:bookmarkEnd w:id="25"/>
    </w:p>
    <w:p>
      <w:pPr>
        <w:pStyle w:val="Normal"/>
        <w:numPr>
          <w:ilvl w:val="0"/>
          <w:numId w:val="0"/>
        </w:numPr>
        <w:ind w:left="142" w:hanging="0"/>
        <w:rPr>
          <w:color w:val="auto"/>
        </w:rPr>
      </w:pPr>
      <w:r>
        <w:rPr/>
      </w:r>
    </w:p>
    <w:p>
      <w:pPr>
        <w:pStyle w:val="Normal"/>
        <w:numPr>
          <w:ilvl w:val="1"/>
        </w:numPr>
        <w:spacing w:before="60" w:after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color w:val="auto"/>
          <w:sz w:val="24"/>
          <w:szCs w:val="24"/>
          <w:lang w:eastAsia="x-none"/>
        </w:rPr>
        <w:tab/>
        <w:t>3.1. В обоснование стоимости своей заявки Участник предоставляет Коммерческое    предложение.</w:t>
      </w:r>
    </w:p>
    <w:p>
      <w:pPr>
        <w:pStyle w:val="Normal"/>
        <w:spacing w:before="60" w:after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color w:val="auto"/>
          <w:sz w:val="24"/>
          <w:szCs w:val="24"/>
          <w:lang w:eastAsia="x-none"/>
        </w:rPr>
        <w:tab/>
        <w:t>3.2.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>
      <w:pPr>
        <w:pStyle w:val="Normal"/>
        <w:spacing w:before="60" w:after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color w:val="auto"/>
          <w:sz w:val="24"/>
          <w:szCs w:val="24"/>
          <w:lang w:eastAsia="x-none"/>
        </w:rPr>
        <w:tab/>
        <w:t>3.3. Дополнительные документы по ценообразованию в состав заявки Участника не включаются.</w:t>
      </w:r>
    </w:p>
    <w:p>
      <w:pPr>
        <w:pStyle w:val="Normal"/>
        <w:spacing w:before="60" w:after="0"/>
        <w:jc w:val="both"/>
        <w:rPr>
          <w:i w:val="false"/>
          <w:i w:val="false"/>
          <w:iCs w:val="false"/>
          <w:sz w:val="24"/>
          <w:szCs w:val="24"/>
        </w:rPr>
      </w:pPr>
      <w:r>
        <w:rPr>
          <w:b w:val="false"/>
          <w:bCs/>
          <w:i w:val="false"/>
          <w:iCs w:val="false"/>
          <w:color w:val="auto"/>
          <w:sz w:val="24"/>
          <w:szCs w:val="24"/>
          <w:lang w:eastAsia="x-none"/>
        </w:rPr>
        <w:tab/>
        <w:t>3.4. Цена остается фиксированной и не подлежит изменению и на все время действия договора.</w:t>
      </w:r>
    </w:p>
    <w:p>
      <w:pPr>
        <w:pStyle w:val="Normal"/>
        <w:spacing w:before="60" w:after="0"/>
        <w:jc w:val="both"/>
        <w:rPr>
          <w:rFonts w:ascii="Times New Roman" w:hAnsi="Times New Roman"/>
          <w:i w:val="false"/>
          <w:i w:val="false"/>
          <w:iCs w:val="false"/>
          <w:color w:val="auto"/>
          <w:sz w:val="24"/>
          <w:szCs w:val="24"/>
        </w:rPr>
      </w:pPr>
      <w:r>
        <w:rPr>
          <w:i w:val="false"/>
          <w:iCs w:val="false"/>
          <w:color w:val="auto"/>
          <w:sz w:val="24"/>
          <w:szCs w:val="24"/>
        </w:rPr>
      </w:r>
    </w:p>
    <w:p>
      <w:pPr>
        <w:pStyle w:val="Heading1"/>
        <w:keepLines/>
        <w:numPr>
          <w:ilvl w:val="0"/>
          <w:numId w:val="11"/>
        </w:numPr>
        <w:ind w:left="284" w:hanging="360"/>
        <w:jc w:val="center"/>
        <w:rPr>
          <w:color w:val="auto"/>
        </w:rPr>
      </w:pPr>
      <w:r>
        <w:rPr>
          <w:color w:val="auto"/>
        </w:rPr>
        <w:t>Приложени</w:t>
      </w:r>
      <w:r>
        <w:rPr>
          <w:color w:val="auto"/>
          <w:lang w:val="ru-RU"/>
        </w:rPr>
        <w:t>я</w:t>
      </w:r>
    </w:p>
    <w:p>
      <w:pPr>
        <w:pStyle w:val="Normal"/>
        <w:spacing w:before="0" w:after="0"/>
        <w:contextualSpacing/>
        <w:jc w:val="both"/>
        <w:rPr>
          <w:color w:val="auto"/>
        </w:rPr>
      </w:pPr>
      <w:r>
        <w:rPr>
          <w:color w:val="auto"/>
          <w:sz w:val="24"/>
          <w:szCs w:val="24"/>
        </w:rPr>
        <w:t>Приложение №</w:t>
      </w:r>
      <w:r>
        <w:rPr>
          <w:color w:val="auto"/>
          <w:sz w:val="24"/>
          <w:szCs w:val="24"/>
        </w:rPr>
        <w:t>1</w:t>
      </w:r>
      <w:r>
        <w:rPr>
          <w:color w:val="auto"/>
          <w:sz w:val="24"/>
          <w:szCs w:val="24"/>
        </w:rPr>
        <w:t xml:space="preserve"> – Регламент технического обслуживания </w:t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  <w:bookmarkStart w:id="30" w:name="_GoBack"/>
      <w:bookmarkStart w:id="31" w:name="_GoBack"/>
      <w:bookmarkEnd w:id="31"/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>Начальник Нижегородского транспортного участка</w:t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 xml:space="preserve">Центрального филиала АО «ТК РусГидро» </w:t>
        <w:tab/>
        <w:tab/>
        <w:tab/>
        <w:tab/>
        <w:tab/>
        <w:t>Есин А.Н.</w:t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>Начальник Верхневолжского транспортного участка</w:t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 xml:space="preserve">Центрального филиала АО «ТК РусГидро» </w:t>
        <w:tab/>
        <w:tab/>
        <w:tab/>
        <w:tab/>
        <w:tab/>
        <w:t>Фиялковский Д.И.</w:t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>Начальник Чебоксарского транспортного участка</w:t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 xml:space="preserve">Центрального филиала АО «ТК РусГидро» </w:t>
        <w:tab/>
        <w:tab/>
        <w:tab/>
        <w:tab/>
        <w:tab/>
        <w:t>Катанаев Е.И.</w:t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</w:p>
    <w:p>
      <w:p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>Руководитель ГКЭО и РТС</w:t>
        <w:tab/>
        <w:tab/>
        <w:tab/>
        <w:tab/>
        <w:tab/>
        <w:tab/>
        <w:tab/>
        <w:tab/>
        <w:t>Пышкин А.Н.</w:t>
      </w:r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737" w:footer="0" w:bottom="1135"/>
          <w:pgNumType w:fmt="decimal"/>
          <w:formProt w:val="false"/>
          <w:textDirection w:val="lrTb"/>
          <w:docGrid w:type="default" w:linePitch="381" w:charSpace="0"/>
        </w:sectPr>
        <w:pStyle w:val="Normal"/>
        <w:rPr>
          <w:color w:val="auto"/>
        </w:rPr>
      </w:pPr>
      <w:r>
        <w:rPr>
          <w:color w:val="auto"/>
          <w:sz w:val="24"/>
          <w:szCs w:val="24"/>
          <w:lang w:eastAsia="x-none"/>
        </w:rPr>
        <w:t>Центрального филиала АО «ТК РусГидро»</w:t>
      </w:r>
    </w:p>
    <w:p>
      <w:pPr>
        <w:pStyle w:val="Normal"/>
        <w:spacing w:before="240" w:after="0"/>
        <w:ind w:left="284" w:hanging="0"/>
        <w:contextualSpacing/>
        <w:jc w:val="right"/>
        <w:rPr>
          <w:color w:val="auto"/>
        </w:rPr>
      </w:pPr>
      <w:r>
        <w:rPr>
          <w:color w:val="auto"/>
          <w:sz w:val="24"/>
          <w:szCs w:val="24"/>
        </w:rPr>
        <w:t>Приложение №</w:t>
      </w:r>
      <w:r>
        <w:rPr>
          <w:color w:val="auto"/>
          <w:sz w:val="24"/>
          <w:szCs w:val="24"/>
        </w:rPr>
        <w:t>1</w:t>
      </w:r>
      <w:r>
        <w:rPr>
          <w:color w:val="auto"/>
          <w:sz w:val="24"/>
          <w:szCs w:val="24"/>
        </w:rPr>
        <w:t xml:space="preserve"> </w:t>
      </w:r>
    </w:p>
    <w:p>
      <w:pPr>
        <w:pStyle w:val="Normal"/>
        <w:spacing w:before="240" w:after="0"/>
        <w:ind w:left="284" w:hanging="0"/>
        <w:contextualSpacing/>
        <w:jc w:val="right"/>
        <w:rPr>
          <w:color w:val="auto"/>
        </w:rPr>
      </w:pPr>
      <w:r>
        <w:rPr>
          <w:color w:val="auto"/>
          <w:sz w:val="24"/>
          <w:szCs w:val="24"/>
        </w:rPr>
        <w:t>К техническим требованиям</w:t>
      </w:r>
    </w:p>
    <w:p>
      <w:pPr>
        <w:pStyle w:val="Normal"/>
        <w:spacing w:before="240" w:after="0"/>
        <w:ind w:left="284" w:hanging="0"/>
        <w:contextualSpacing/>
        <w:jc w:val="right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Normal"/>
        <w:spacing w:before="240" w:after="0"/>
        <w:ind w:left="284" w:hanging="0"/>
        <w:contextualSpacing/>
        <w:jc w:val="right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Normal"/>
        <w:jc w:val="center"/>
        <w:rPr>
          <w:color w:val="auto"/>
        </w:rPr>
      </w:pPr>
      <w:r>
        <w:rPr>
          <w:b/>
          <w:color w:val="auto"/>
          <w:sz w:val="24"/>
          <w:szCs w:val="24"/>
        </w:rPr>
        <w:t>РЕГЛАМЕНТ ТЕХНИЧЕСКОГО ОБСЛУЖИВАНИЯ</w:t>
      </w:r>
    </w:p>
    <w:p>
      <w:pPr>
        <w:pStyle w:val="Normal"/>
        <w:rPr>
          <w:color w:val="auto"/>
          <w:sz w:val="24"/>
          <w:szCs w:val="24"/>
          <w:lang w:eastAsia="x-none"/>
        </w:rPr>
      </w:pPr>
      <w:r>
        <w:rPr>
          <w:color w:val="auto"/>
          <w:sz w:val="24"/>
          <w:szCs w:val="24"/>
          <w:lang w:eastAsia="x-none"/>
        </w:rPr>
      </w:r>
    </w:p>
    <w:tbl>
      <w:tblPr>
        <w:tblW w:w="14452" w:type="dxa"/>
        <w:jc w:val="left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452"/>
      </w:tblGrid>
      <w:tr>
        <w:trPr>
          <w:trHeight w:val="1813" w:hRule="atLeast"/>
        </w:trPr>
        <w:tc>
          <w:tcPr>
            <w:tcW w:w="1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>КАТЕР МАРС-700 Г/Н 02-57 РЯР: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весеннее летней эксплуатации</w:t>
            </w:r>
            <w:r>
              <w:rPr>
                <w:color w:val="auto"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ТО-1, проводимое с интервалом 100 м/ч,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эксплуатации в осенне зимний период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состояния подшипников роторов, при необходимости -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 Проверка нанос-форсунок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состония подшипников роторов, при необходимости — замена.</w:t>
            </w:r>
          </w:p>
          <w:p>
            <w:pPr>
              <w:pStyle w:val="Normal"/>
              <w:widowControl w:val="false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>КАТЕР МАРС-700 Г/Н 02-58 РЯР: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весеннее летней эксплуатации: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механизма^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ТО-1, проводимое с интервалом 100 м/ч,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Проверка состояния подшипников роторов, при необходимости -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 Проверка нанос-форсунок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эксплуатации в осенне зимний период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состония подшипников роторов, при необходимости — замена.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>КАТЕР МАРС-700 Г/Н РГХ 0044: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весеннее летней эксплуатации: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механизма^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ТО-1, проводимое с интервалом 100 м/ч,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Проверка состояния подшипников роторов, при необходимости -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нанос-форсунок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эксплуатации в осенне зимний период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состония подшипников роторов, при необходимости —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нанос-форсунок</w:t>
            </w:r>
          </w:p>
          <w:p>
            <w:pPr>
              <w:pStyle w:val="19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Замена комплекта гибкого ограждения</w:t>
            </w:r>
          </w:p>
          <w:p>
            <w:pPr>
              <w:pStyle w:val="19"/>
              <w:widowControl w:val="false"/>
              <w:suppressAutoHyphens w:val="true"/>
              <w:spacing w:before="0" w:after="0"/>
              <w:jc w:val="left"/>
              <w:rPr>
                <w:color w:val="auto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(носовое, кормовое, борта надувные, дополнительный баллон, скег со сменной подошвой)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>КАТЕР МАРС-700 Г/Н РЧФ 50-10: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весеннее летней эксплуатации: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механизма^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ТО-1, проводимое с интервалом 100 м/ч,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Проверка состояния подшипников роторов, при необходимости -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 Проверка нанос-форсунок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СО, проводимое при переходе к эксплуатации в осенне зимний период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 антифриза.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 Шприцовка карданного вала и подшипников роторов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ТО -2, проводимое с интервалом 100 м/ч от ТО-1, текущий ремонт (устранение неисправностей, выявленных в ходе работы катера)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топливных фильтров,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электрооборудования, рулевого механизма, трансмиссии, натяжку и состояние ремней, гибкого ограждения.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состония подшипников роторов, при необходимости —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Чистка клапана турбокомпрессора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натяжки ремня ГРМ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нанос-форсунок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rStyle w:val="11pt0pt"/>
                <w:color w:val="auto"/>
                <w:sz w:val="22"/>
                <w:szCs w:val="22"/>
                <w:u w:val="single"/>
              </w:rPr>
              <w:t>КАТЕР КС-701 РЯР 02-55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 - при подготовке катера к навигации, расконсервация после зимнего хранения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Слив консерванта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топливного фильтра, антифриза. Замена масла охлаждения опорного подшипника Проверка всех систем судна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О-1 с периодичностью 200 м/ч,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топливного фильтра.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опорного подшипника и подшипника скольжения водомета, при необходимости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Диагностика двигателя.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систем судна.</w:t>
            </w:r>
          </w:p>
          <w:p>
            <w:pPr>
              <w:pStyle w:val="Normal"/>
              <w:widowControl w:val="false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 в конце навигации (консервация судна для хранения в зимний период)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Согласно технического регламента завода изготовителя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11pt0pt"/>
                <w:color w:val="auto"/>
                <w:sz w:val="22"/>
                <w:szCs w:val="22"/>
                <w:u w:val="single"/>
              </w:rPr>
              <w:t>КАТЕР КС-701 РЯР 02-56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 - при подготовке катера к навигации, расконсервация после зимнего хранения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Слив консерванта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топливного фильтра, антифриза. Замена масла охлаждения опорного подшипника Проверка всех систем судна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О-1 с периодичностью 200 м/ч,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Замена масла двигателя, масляного фильтра, воздушного фильтра, топливного фильтра.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опорного подшипника и подшипника скольжения водомета, при необходимости замена.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Диагностика двигателя.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Проверка систем судна.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</w:rPr>
              <w:t>СО в конце навигации (консервация судна для хранения в зимний период)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Согласно технического регламента завода изготовителя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b/>
                <w:color w:val="auto"/>
                <w:sz w:val="22"/>
                <w:szCs w:val="22"/>
                <w:u w:val="single"/>
              </w:rPr>
              <w:t>Лодка Навигатор 380 РЯР 02-54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ТО -2, проводимое один раз в год или при наработке 100 м/ч, проводимое при переходе к весенне-летней эксплуатации</w:t>
            </w:r>
          </w:p>
          <w:p>
            <w:pPr>
              <w:pStyle w:val="Normal"/>
              <w:widowControl w:val="false"/>
              <w:bidi w:val="0"/>
              <w:jc w:val="left"/>
              <w:rPr>
                <w:color w:val="auto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</w:rPr>
              <w:t>Замена масла двигателя и фильтров</w:t>
            </w:r>
          </w:p>
        </w:tc>
      </w:tr>
    </w:tbl>
    <w:p>
      <w:pPr>
        <w:pStyle w:val="Normal"/>
        <w:spacing w:before="240" w:after="0"/>
        <w:ind w:left="284" w:hanging="0"/>
        <w:contextualSpacing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</w:r>
    </w:p>
    <w:p>
      <w:pPr>
        <w:pStyle w:val="Normal"/>
        <w:jc w:val="center"/>
        <w:rPr>
          <w:b/>
          <w:color w:val="auto"/>
          <w:sz w:val="24"/>
          <w:szCs w:val="24"/>
          <w:lang w:eastAsia="x-none"/>
        </w:rPr>
      </w:pPr>
      <w:r>
        <w:rPr>
          <w:b/>
          <w:color w:val="auto"/>
          <w:sz w:val="24"/>
          <w:szCs w:val="24"/>
          <w:lang w:eastAsia="x-none"/>
        </w:rPr>
      </w:r>
    </w:p>
    <w:p>
      <w:pPr>
        <w:pStyle w:val="Normal"/>
        <w:jc w:val="center"/>
        <w:rPr>
          <w:b/>
          <w:color w:val="auto"/>
          <w:sz w:val="24"/>
          <w:szCs w:val="24"/>
          <w:lang w:eastAsia="x-none"/>
        </w:rPr>
      </w:pPr>
      <w:r>
        <w:rPr>
          <w:b/>
          <w:color w:val="auto"/>
          <w:sz w:val="24"/>
          <w:szCs w:val="24"/>
          <w:lang w:eastAsia="x-none"/>
        </w:rPr>
      </w:r>
    </w:p>
    <w:p>
      <w:pPr>
        <w:pStyle w:val="Normal"/>
        <w:jc w:val="center"/>
        <w:rPr>
          <w:b/>
          <w:color w:val="auto"/>
          <w:sz w:val="24"/>
          <w:szCs w:val="24"/>
          <w:lang w:eastAsia="x-none"/>
        </w:rPr>
      </w:pPr>
      <w:r>
        <w:rPr>
          <w:b/>
          <w:color w:val="auto"/>
          <w:sz w:val="24"/>
          <w:szCs w:val="24"/>
          <w:lang w:eastAsia="x-none"/>
        </w:rPr>
      </w:r>
    </w:p>
    <w:p>
      <w:pPr>
        <w:pStyle w:val="Normal"/>
        <w:jc w:val="center"/>
        <w:rPr>
          <w:b/>
          <w:color w:val="auto"/>
          <w:sz w:val="24"/>
          <w:szCs w:val="24"/>
          <w:lang w:eastAsia="x-none"/>
        </w:rPr>
      </w:pPr>
      <w:r>
        <w:rPr>
          <w:b/>
          <w:color w:val="auto"/>
          <w:sz w:val="24"/>
          <w:szCs w:val="24"/>
          <w:lang w:eastAsia="x-none"/>
        </w:rPr>
      </w:r>
    </w:p>
    <w:p>
      <w:pPr>
        <w:pStyle w:val="Normal"/>
        <w:jc w:val="center"/>
        <w:rPr>
          <w:color w:val="auto"/>
        </w:rPr>
      </w:pPr>
      <w:r>
        <w:rPr/>
      </w:r>
    </w:p>
    <w:sectPr>
      <w:headerReference w:type="default" r:id="rId9"/>
      <w:headerReference w:type="first" r:id="rId10"/>
      <w:type w:val="nextPage"/>
      <w:pgSz w:orient="landscape" w:w="16838" w:h="11906"/>
      <w:pgMar w:left="1135" w:right="709" w:gutter="0" w:header="680" w:top="1134" w:footer="0" w:bottom="426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40" w:hanging="480"/>
      </w:pPr>
      <w:rPr/>
    </w:lvl>
    <w:lvl w:ilvl="2">
      <w:start w:val="2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/>
    </w:lvl>
  </w:abstractNum>
  <w:abstractNum w:abstractNumId="11">
    <w:lvl w:ilvl="0">
      <w:start w:val="4"/>
      <w:numFmt w:val="decimal"/>
      <w:lvlText w:val="%1."/>
      <w:lvlJc w:val="left"/>
      <w:pPr>
        <w:tabs>
          <w:tab w:val="num" w:pos="0"/>
        </w:tabs>
        <w:ind w:left="5038" w:hanging="360"/>
      </w:pPr>
      <w:rPr>
        <w:i w:val="false"/>
        <w:i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75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647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719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791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863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935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1007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10798" w:hanging="1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unhideWhenUsed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5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6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2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11pt0pt" w:customStyle="1">
    <w:name w:val="Основной текст + 11 pt;Не полужирный;Интервал 0 pt"/>
    <w:qFormat/>
    <w:rsid w:val="0096238d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"/>
      <w:w w:val="100"/>
      <w:sz w:val="22"/>
      <w:szCs w:val="22"/>
      <w:u w:val="none"/>
      <w:shd w:fill="FFFFFF" w:val="clear"/>
      <w:lang w:val="ru-RU"/>
    </w:rPr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1" w:customStyle="1">
    <w:name w:val="Раздел регламента"/>
    <w:basedOn w:val="Normal"/>
    <w:qFormat/>
    <w:rsid w:val="00e228fa"/>
    <w:pPr/>
    <w:rPr/>
  </w:style>
  <w:style w:type="paragraph" w:styleId="Style3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8" w:customStyle="1">
    <w:name w:val="Подподпункт"/>
    <w:basedOn w:val="Style3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  <w:suppressAutoHyphens w:val="true"/>
    </w:pPr>
    <w:rPr>
      <w:color w:val="000000"/>
      <w:kern w:val="2"/>
      <w:sz w:val="24"/>
      <w:szCs w:val="24"/>
    </w:rPr>
  </w:style>
  <w:style w:type="paragraph" w:styleId="Style42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overflowPunct w:val="true"/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8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8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8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4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5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6" w:customStyle="1">
    <w:name w:val="Пункты"/>
    <w:basedOn w:val="Heading2"/>
    <w:link w:val="Style20"/>
    <w:qFormat/>
    <w:rsid w:val="00c97f55"/>
    <w:pPr>
      <w:numPr>
        <w:ilvl w:val="1"/>
        <w:numId w:val="9"/>
      </w:numPr>
      <w:tabs>
        <w:tab w:val="clear" w:pos="708"/>
        <w:tab w:val="left" w:pos="1134" w:leader="none"/>
      </w:tabs>
      <w:spacing w:before="120" w:after="0"/>
      <w:ind w:lef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Title">
    <w:name w:val="Title"/>
    <w:basedOn w:val="Normal"/>
    <w:next w:val="Normal"/>
    <w:link w:val="Style22"/>
    <w:uiPriority w:val="10"/>
    <w:qFormat/>
    <w:rsid w:val="00c97f55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Style47">
    <w:name w:val="Содержимое врезки"/>
    <w:basedOn w:val="Normal"/>
    <w:qFormat/>
    <w:pPr/>
    <w:rPr/>
  </w:style>
  <w:style w:type="paragraph" w:styleId="19">
    <w:name w:val="Обычный1"/>
    <w:qFormat/>
    <w:pPr>
      <w:widowControl w:val="false"/>
      <w:suppressAutoHyphens w:val="true"/>
      <w:bidi w:val="0"/>
      <w:snapToGrid w:val="false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c97f55"/>
  </w:style>
  <w:style w:type="numbering" w:styleId="112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1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1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0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c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3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0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0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0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2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0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2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0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0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0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1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1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1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1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1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0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0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0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0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2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1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1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0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591E9-7AF1-4317-A5D8-1616EBEC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Application>AlterOffice/3.4.0.9$Linux_X86_64 LibreOffice_project/b8daf9e823b1a5463a2f48435ddc2e8696e7d4fc</Application>
  <AppVersion>15.0000</AppVersion>
  <Pages>13</Pages>
  <Words>2489</Words>
  <Characters>17342</Characters>
  <CharactersWithSpaces>19516</CharactersWithSpaces>
  <Paragraphs>374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2023-09-06T15:50:00Z</dcterms:created>
  <dc:creator>Быстров Олег Геннадьевич</dc:creator>
  <dc:description/>
  <dc:language>ru-RU</dc:language>
  <cp:lastModifiedBy>tolpyginanv@corp.gidroogk.com</cp:lastModifiedBy>
  <cp:lastPrinted>2026-05-21T16:29:08Z</cp:lastPrinted>
  <dcterms:modified xsi:type="dcterms:W3CDTF">2026-09-25T13:17:32Z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