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5.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docx" ContentType="application/vnd.openxmlformats-officedocument.wordprocessingml.document"/>
  <Override PartName="/word/embeddings/oleObject4.xlsx" ContentType="application/vnd.openxmlformats-officedocument.spreadsheetml.sheet"/>
  <Override PartName="/word/embeddings/oleObject5.docx" ContentType="application/vnd.openxmlformats-officedocument.wordprocessingml.document"/>
  <Override PartName="/word/media/image1.wmf" ContentType="image/x-wmf"/>
  <Override PartName="/word/media/image2.wmf" ContentType="image/x-wmf"/>
  <Override PartName="/word/media/image3.wmf" ContentType="image/x-wmf"/>
  <Override PartName="/word/media/image4.wmf" ContentType="image/x-wmf"/>
  <Override PartName="/word/media/image5.wmf" ContentType="image/x-wmf"/>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13.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header8.xml" ContentType="application/vnd.openxmlformats-officedocument.wordprocessingml.header+xml"/>
  <Override PartName="/word/header11.xml" ContentType="application/vnd.openxmlformats-officedocument.wordprocessingml.head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8"/>
        <w:keepNext w:val="true"/>
        <w:widowControl/>
        <w:bidi w:val="0"/>
        <w:spacing w:before="120" w:after="0"/>
        <w:ind w:hanging="0" w:left="5386" w:right="0"/>
        <w:jc w:val="both"/>
        <w:rPr/>
      </w:pPr>
      <w:r>
        <w:rPr/>
        <w:t>«УТВЕРЖДАЮ»</w:t>
      </w:r>
    </w:p>
    <w:p>
      <w:pPr>
        <w:pStyle w:val="Style28"/>
        <w:keepNext w:val="true"/>
        <w:widowControl/>
        <w:bidi w:val="0"/>
        <w:spacing w:before="120" w:after="0"/>
        <w:ind w:hanging="0" w:left="5386" w:right="0"/>
        <w:jc w:val="both"/>
        <w:rPr/>
      </w:pPr>
      <w:r>
        <w:rPr/>
        <w:t>Председатель закупочной комиссии</w:t>
      </w:r>
    </w:p>
    <w:p>
      <w:pPr>
        <w:pStyle w:val="Style28"/>
        <w:keepNext w:val="true"/>
        <w:widowControl/>
        <w:bidi w:val="0"/>
        <w:spacing w:before="120" w:after="0"/>
        <w:ind w:hanging="0" w:left="5386" w:right="0"/>
        <w:jc w:val="both"/>
        <w:rPr/>
      </w:pPr>
      <w:r>
        <w:rPr/>
      </w:r>
    </w:p>
    <w:p>
      <w:pPr>
        <w:pStyle w:val="Style28"/>
        <w:keepNext w:val="true"/>
        <w:widowControl/>
        <w:bidi w:val="0"/>
        <w:spacing w:before="120" w:after="0"/>
        <w:ind w:hanging="0" w:left="5386" w:right="0"/>
        <w:jc w:val="both"/>
        <w:rPr/>
      </w:pPr>
      <w:r>
        <w:rPr/>
        <w:t>___________________</w:t>
      </w:r>
      <w:r>
        <w:rPr>
          <w:b/>
          <w:bCs/>
          <w:shd w:fill="FFFFFF" w:val="clear"/>
        </w:rPr>
        <w:t xml:space="preserve"> </w:t>
      </w:r>
    </w:p>
    <w:p>
      <w:pPr>
        <w:pStyle w:val="Style28"/>
        <w:keepNext w:val="true"/>
        <w:widowControl/>
        <w:bidi w:val="0"/>
        <w:spacing w:before="120" w:after="0"/>
        <w:ind w:hanging="0" w:left="5386" w:right="0"/>
        <w:jc w:val="both"/>
        <w:rPr/>
      </w:pPr>
      <w:r>
        <w:rPr/>
        <w:t>«28» сентября 2026 год</w:t>
      </w:r>
    </w:p>
    <w:p>
      <w:pPr>
        <w:pStyle w:val="Style28"/>
        <w:rPr/>
      </w:pPr>
      <w:r>
        <w:rPr/>
      </w:r>
    </w:p>
    <w:p>
      <w:pPr>
        <w:pStyle w:val="Style28"/>
        <w:rPr/>
      </w:pPr>
      <w:r>
        <w:rPr/>
      </w:r>
    </w:p>
    <w:p>
      <w:pPr>
        <w:pStyle w:val="Style28"/>
        <w:rPr/>
      </w:pPr>
      <w:r>
        <w:rPr/>
      </w:r>
    </w:p>
    <w:p>
      <w:pPr>
        <w:pStyle w:val="Style28"/>
        <w:rPr/>
      </w:pPr>
      <w:r>
        <w:rPr/>
      </w:r>
    </w:p>
    <w:p>
      <w:pPr>
        <w:pStyle w:val="Style28"/>
        <w:rPr/>
      </w:pPr>
      <w:r>
        <w:rPr/>
      </w:r>
    </w:p>
    <w:p>
      <w:pPr>
        <w:pStyle w:val="Style28"/>
        <w:keepNext w:val="true"/>
        <w:numPr>
          <w:ilvl w:val="0"/>
          <w:numId w:val="0"/>
        </w:numPr>
        <w:ind w:hanging="0" w:left="0"/>
        <w:jc w:val="center"/>
        <w:outlineLvl w:val="2"/>
        <w:rPr>
          <w:b/>
          <w:bCs/>
          <w:caps/>
        </w:rPr>
      </w:pPr>
      <w:r>
        <w:rPr>
          <w:b/>
          <w:bCs/>
          <w:caps/>
        </w:rPr>
        <w:t>Документация о закупке</w:t>
      </w:r>
    </w:p>
    <w:p>
      <w:pPr>
        <w:pStyle w:val="Style28"/>
        <w:keepNext w:val="true"/>
        <w:spacing w:before="240" w:after="0"/>
        <w:jc w:val="center"/>
        <w:rPr/>
      </w:pPr>
      <w:r>
        <w:rPr>
          <w:sz w:val="26"/>
          <w:szCs w:val="26"/>
        </w:rPr>
        <w:t>Запрос предложений в электронной форме,</w:t>
        <w:br/>
        <w:t>участниками которого могут быть только субъекты МСП,</w:t>
        <w:br/>
        <w:t xml:space="preserve">на право заключения договора на </w:t>
      </w:r>
      <w:r>
        <w:rPr>
          <w:rStyle w:val="Style8"/>
          <w:i w:val="false"/>
          <w:iCs w:val="false"/>
          <w:sz w:val="26"/>
          <w:szCs w:val="26"/>
          <w:shd w:fill="FFFFFF" w:val="clear"/>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8"/>
        <w:keepNext w:val="true"/>
        <w:spacing w:before="240" w:after="0"/>
        <w:jc w:val="center"/>
        <w:rPr/>
      </w:pPr>
      <w:r>
        <w:rPr/>
        <w:t>(Лот № </w:t>
      </w:r>
      <w:r>
        <w:rPr>
          <w:rStyle w:val="Style8"/>
          <w:i w:val="false"/>
          <w:iCs w:val="false"/>
          <w:shd w:fill="FFFFFF" w:val="clear"/>
        </w:rPr>
        <w:t>17401-РЕМ ПРОД-2027-ДРСК-АЭС</w:t>
      </w:r>
      <w:r>
        <w:rPr/>
        <w:t>)</w:t>
      </w:r>
    </w:p>
    <w:p>
      <w:pPr>
        <w:pStyle w:val="Style27"/>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"[РГ] Перечисление,5,[РГ] Подпункт,4,[РГ] Пункт,3,[РГ] Подраздел,2,[РГ] Раздел,1,[РГ] Раздел,1,[РГ] Раздел,1,[РГ] Раздел,1,[РГ] Раздел,1,[РГ] Раздел,1,[РГ] Раздел,1,[РГ] Подраздел,2,[РГ] Подраздел,2,[РГ] Подраздел,2,[РГ] Подраздел,2,[РГ] Подраздел,2,[РГ] Подраздел,2,[РГ] Пункт,3,[РГ] Пункт,3,[РГ] Пункт,3,[РГ] Пункт,3,[РГ] Пункт,3,[РГ] Подпункт,4,[РГ] Подпункт,4,[РГ] Подпункт,4,[РГ] Подпункт,4,[РГ] Подпункт,4,[РГ] Перечисление,5,[РГ] Перечисление,5,[РГ] Перечисление,5,[РГ] Перечисление,5,[РГ] Перечисление,5"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28"/>
        <w:jc w:val="both"/>
        <w:rPr/>
      </w:pPr>
      <w:r>
        <w:rPr/>
      </w:r>
    </w:p>
    <w:p>
      <w:pPr>
        <w:pStyle w:val="Style28"/>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28"/>
        <w:numPr>
          <w:ilvl w:val="0"/>
          <w:numId w:val="9"/>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28"/>
        <w:numPr>
          <w:ilvl w:val="0"/>
          <w:numId w:val="9"/>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28"/>
        <w:numPr>
          <w:ilvl w:val="0"/>
          <w:numId w:val="9"/>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8"/>
        <w:numPr>
          <w:ilvl w:val="0"/>
          <w:numId w:val="9"/>
        </w:numPr>
        <w:spacing w:before="60" w:after="0"/>
        <w:ind w:hanging="284" w:left="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numPr>
          <w:ilvl w:val="0"/>
          <w:numId w:val="0"/>
        </w:numPr>
        <w:ind w:hanging="0" w:left="0"/>
        <w:outlineLvl w:val="0"/>
        <w:rPr/>
      </w:pPr>
      <w:bookmarkStart w:id="0" w:name="_Toc228877668"/>
      <w:r>
        <w:rPr/>
        <w:t>Сокращения</w:t>
      </w:r>
      <w:bookmarkEnd w:id="0"/>
    </w:p>
    <w:p>
      <w:pPr>
        <w:pStyle w:val="Style28"/>
        <w:ind w:firstLine="567"/>
        <w:rPr/>
      </w:pPr>
      <w:r>
        <w:rPr>
          <w:b/>
          <w:bCs/>
        </w:rPr>
        <w:t>ГК РФ</w:t>
      </w:r>
      <w:r>
        <w:rPr/>
        <w:t xml:space="preserve"> – Гражданской кодекс Российской Федерации.</w:t>
      </w:r>
    </w:p>
    <w:p>
      <w:pPr>
        <w:pStyle w:val="Style28"/>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28"/>
        <w:ind w:firstLine="567"/>
        <w:rPr/>
      </w:pPr>
      <w:r>
        <w:rPr>
          <w:b/>
          <w:bCs/>
        </w:rPr>
        <w:t>ЕАЭС</w:t>
      </w:r>
      <w:r>
        <w:rPr/>
        <w:t xml:space="preserve"> – Евразийский экономический союз.</w:t>
      </w:r>
    </w:p>
    <w:p>
      <w:pPr>
        <w:pStyle w:val="Style28"/>
        <w:ind w:firstLine="567"/>
        <w:rPr/>
      </w:pPr>
      <w:r>
        <w:rPr>
          <w:b/>
          <w:bCs/>
        </w:rPr>
        <w:t>ЕГРИП</w:t>
      </w:r>
      <w:r>
        <w:rPr/>
        <w:t xml:space="preserve"> – Единый государственный реестр индивидуальных предпринимателей.</w:t>
      </w:r>
    </w:p>
    <w:p>
      <w:pPr>
        <w:pStyle w:val="Style28"/>
        <w:ind w:firstLine="567"/>
        <w:rPr/>
      </w:pPr>
      <w:r>
        <w:rPr>
          <w:b/>
          <w:bCs/>
        </w:rPr>
        <w:t>ЕГРЮЛ</w:t>
      </w:r>
      <w:r>
        <w:rPr/>
        <w:t xml:space="preserve"> – Единый государственный реестр юридических лиц.</w:t>
      </w:r>
    </w:p>
    <w:p>
      <w:pPr>
        <w:pStyle w:val="Style28"/>
        <w:ind w:firstLine="567"/>
        <w:rPr/>
      </w:pPr>
      <w:r>
        <w:rPr>
          <w:b/>
          <w:bCs/>
        </w:rPr>
        <w:t>ЕИС</w:t>
      </w:r>
      <w:r>
        <w:rPr/>
        <w:t xml:space="preserve"> – Единая информационная система в сфере закупок.</w:t>
      </w:r>
    </w:p>
    <w:p>
      <w:pPr>
        <w:pStyle w:val="Style28"/>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28"/>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28"/>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28"/>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28"/>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28"/>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28"/>
        <w:ind w:firstLine="567"/>
        <w:rPr/>
      </w:pPr>
      <w:r>
        <w:rPr>
          <w:b/>
          <w:bCs/>
        </w:rPr>
        <w:t>Извещение</w:t>
      </w:r>
      <w:r>
        <w:rPr/>
        <w:t xml:space="preserve"> – извещение о проведении настоящей закупки.</w:t>
      </w:r>
    </w:p>
    <w:p>
      <w:pPr>
        <w:pStyle w:val="Style28"/>
        <w:ind w:firstLine="567"/>
        <w:rPr/>
      </w:pPr>
      <w:r>
        <w:rPr>
          <w:b/>
          <w:bCs/>
        </w:rPr>
        <w:t>ИНН</w:t>
      </w:r>
      <w:r>
        <w:rPr/>
        <w:t xml:space="preserve"> – идентификационный номер налогоплательщика.</w:t>
      </w:r>
    </w:p>
    <w:p>
      <w:pPr>
        <w:pStyle w:val="Style28"/>
        <w:ind w:firstLine="567"/>
        <w:rPr/>
      </w:pPr>
      <w:r>
        <w:rPr>
          <w:b/>
          <w:bCs/>
        </w:rPr>
        <w:t>ИФНС</w:t>
      </w:r>
      <w:r>
        <w:rPr/>
        <w:t xml:space="preserve"> – инспекция Федеральной налоговой службы Российской Федерации.</w:t>
      </w:r>
    </w:p>
    <w:p>
      <w:pPr>
        <w:pStyle w:val="Style28"/>
        <w:ind w:firstLine="567"/>
        <w:rPr/>
      </w:pPr>
      <w:r>
        <w:rPr>
          <w:b/>
          <w:bCs/>
        </w:rPr>
        <w:t>МТР</w:t>
      </w:r>
      <w:r>
        <w:rPr/>
        <w:t xml:space="preserve"> – материально-технические ресурсы.</w:t>
      </w:r>
    </w:p>
    <w:p>
      <w:pPr>
        <w:pStyle w:val="Style28"/>
        <w:ind w:firstLine="567"/>
        <w:rPr/>
      </w:pPr>
      <w:r>
        <w:rPr>
          <w:b/>
          <w:bCs/>
        </w:rPr>
        <w:t>НДС</w:t>
      </w:r>
      <w:r>
        <w:rPr/>
        <w:t xml:space="preserve"> – налог на добавленную стоимость.</w:t>
      </w:r>
    </w:p>
    <w:p>
      <w:pPr>
        <w:pStyle w:val="Style28"/>
        <w:ind w:firstLine="567"/>
        <w:rPr/>
      </w:pPr>
      <w:r>
        <w:rPr>
          <w:b/>
          <w:bCs/>
        </w:rPr>
        <w:t>НМЦ</w:t>
      </w:r>
      <w:r>
        <w:rPr/>
        <w:t xml:space="preserve"> – начальная (максимальная) цена договора.</w:t>
      </w:r>
    </w:p>
    <w:p>
      <w:pPr>
        <w:pStyle w:val="Style28"/>
        <w:ind w:firstLine="567"/>
        <w:rPr/>
      </w:pPr>
      <w:r>
        <w:rPr>
          <w:b/>
          <w:bCs/>
        </w:rPr>
        <w:t>Оператор ЭП</w:t>
      </w:r>
      <w:r>
        <w:rPr/>
        <w:t xml:space="preserve"> – оператор электронной площадки.</w:t>
      </w:r>
    </w:p>
    <w:p>
      <w:pPr>
        <w:pStyle w:val="Style28"/>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28"/>
        <w:ind w:firstLine="567"/>
        <w:rPr/>
      </w:pPr>
      <w:r>
        <w:rPr>
          <w:b/>
          <w:bCs/>
        </w:rPr>
        <w:t>Положение о закупке</w:t>
      </w:r>
      <w:r>
        <w:rPr/>
        <w:t xml:space="preserve"> – Единое Положение о закупке продукции для нужд Группы РусГидро.</w:t>
      </w:r>
    </w:p>
    <w:p>
      <w:pPr>
        <w:pStyle w:val="Style28"/>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28"/>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28"/>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28"/>
        <w:ind w:firstLine="567"/>
        <w:rPr/>
      </w:pPr>
      <w:r>
        <w:rPr/>
      </w:r>
    </w:p>
    <w:p>
      <w:pPr>
        <w:pStyle w:val="Style28"/>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28"/>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28"/>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28"/>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28"/>
        <w:ind w:firstLine="567"/>
        <w:rPr/>
      </w:pPr>
      <w:r>
        <w:rPr>
          <w:b/>
          <w:bCs/>
        </w:rPr>
        <w:t>Субъект МСП</w:t>
      </w:r>
      <w:r>
        <w:rPr/>
        <w:t xml:space="preserve"> – субъект малого и среднего предпринимательства.</w:t>
      </w:r>
    </w:p>
    <w:p>
      <w:pPr>
        <w:pStyle w:val="Style28"/>
        <w:ind w:firstLine="567"/>
        <w:rPr/>
      </w:pPr>
      <w:r>
        <w:rPr>
          <w:b/>
          <w:bCs/>
        </w:rPr>
        <w:t>ЭП</w:t>
      </w:r>
      <w:r>
        <w:rPr/>
        <w:t xml:space="preserve"> – электронная площадка.</w:t>
      </w:r>
    </w:p>
    <w:p>
      <w:pPr>
        <w:pStyle w:val="Style27"/>
        <w:numPr>
          <w:ilvl w:val="0"/>
          <w:numId w:val="0"/>
        </w:numPr>
        <w:ind w:hanging="0" w:left="0"/>
        <w:outlineLvl w:val="0"/>
        <w:rPr/>
      </w:pPr>
      <w:bookmarkStart w:id="1" w:name="_Toc228877669"/>
      <w:r>
        <w:rPr/>
        <w:t>Термины и определения</w:t>
      </w:r>
      <w:bookmarkEnd w:id="1"/>
    </w:p>
    <w:p>
      <w:pPr>
        <w:pStyle w:val="Style28"/>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28"/>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28"/>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28"/>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28"/>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28"/>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28"/>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28"/>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28"/>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28"/>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28"/>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28"/>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28"/>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28"/>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28"/>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28"/>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28"/>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28"/>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28"/>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28"/>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28"/>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28"/>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28"/>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28"/>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28"/>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28"/>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28"/>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28"/>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28"/>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28"/>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28"/>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28"/>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2"/>
        <w:rPr/>
      </w:pPr>
      <w:bookmarkStart w:id="3" w:name="_Toc228877670"/>
      <w:bookmarkStart w:id="4" w:name="_Ref125359988"/>
      <w:r>
        <w:rPr/>
        <w:t>Основные сведения о закупке</w:t>
      </w:r>
      <w:bookmarkEnd w:id="3"/>
      <w:bookmarkEnd w:id="4"/>
    </w:p>
    <w:p>
      <w:pPr>
        <w:pStyle w:val="Style23"/>
        <w:rPr/>
      </w:pPr>
      <w:bookmarkStart w:id="5" w:name="_Toc228877671"/>
      <w:r>
        <w:rPr/>
        <w:t>Статус настоящего раздела</w:t>
      </w:r>
      <w:bookmarkEnd w:id="5"/>
    </w:p>
    <w:p>
      <w:pPr>
        <w:pStyle w:val="Style24"/>
        <w:rPr/>
      </w:pPr>
      <w:r>
        <w:rPr/>
        <w:t>В настоящем разделе содержатся основные сведения о предмете, способе и иных ключевых условиях проводимой закупки.</w:t>
      </w:r>
    </w:p>
    <w:p>
      <w:pPr>
        <w:pStyle w:val="Style24"/>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4"/>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3"/>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6"/>
        <w:gridCol w:w="2973"/>
        <w:gridCol w:w="5813"/>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973"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пункта</w:t>
            </w:r>
          </w:p>
        </w:tc>
        <w:tc>
          <w:tcPr>
            <w:tcW w:w="5813"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Содержание пункта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Способ закупки: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Предмет Договора</w:t>
              <w:br/>
              <w:t>(в том числе номер лота):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Лот № </w:t>
            </w:r>
            <w:r>
              <w:rPr>
                <w:rStyle w:val="Style8"/>
                <w:rFonts w:eastAsia="Calibri" w:cs=""/>
                <w:i w:val="false"/>
                <w:iCs w:val="false"/>
                <w:kern w:val="0"/>
                <w:sz w:val="26"/>
                <w:szCs w:val="22"/>
                <w:shd w:fill="FFFFFF" w:val="clear"/>
                <w:lang w:val="ru-RU" w:eastAsia="en-US" w:bidi="ar-SA"/>
              </w:rPr>
              <w:t>17401-РЕМ ПРОД-2027-ДРСК-АЭС</w:t>
            </w:r>
            <w:r>
              <w:rPr>
                <w:rFonts w:eastAsia="Calibri" w:cs=""/>
                <w:i w:val="false"/>
                <w:iCs w:val="false"/>
                <w:kern w:val="0"/>
                <w:sz w:val="26"/>
                <w:szCs w:val="22"/>
                <w:shd w:fill="FFFFFF" w:val="clear"/>
                <w:lang w:val="ru-RU" w:eastAsia="en-US" w:bidi="ar-SA"/>
              </w:rPr>
              <w:t xml:space="preserve">: </w:t>
            </w:r>
            <w:r>
              <w:rPr>
                <w:rStyle w:val="Style8"/>
                <w:rFonts w:eastAsia="Calibri" w:cs=""/>
                <w:i w:val="false"/>
                <w:iCs w:val="false"/>
                <w:kern w:val="0"/>
                <w:sz w:val="26"/>
                <w:szCs w:val="26"/>
                <w:shd w:fill="FFFFFF" w:val="clear"/>
                <w:lang w:eastAsia="en-US" w:bidi="ar-SA"/>
              </w:rPr>
              <w:t>ОКПД2 42.22.22.140 Выполнение работ по ремонту на объектах: ВЛ 10 кВ №10 ПС Иннокентьевка, ВЛ 10 кВ №10 ПС Архара, ВЛ 10 кВ №2 ПС Иннокентьевка, ВЛ 10 кВ №12 ПС Спасск, ВЛ 10 кВ №14 ПС Набережная, ВЛ 10 кВ №14 ПС Отважное, ВЛ 10 кВ №8 ПС Спасск, ВЛ 10 кВ №11 ПС Спасск, ВЛ 10 кВ №1 ПС Архара структурного подразделения "Восточные электрические сети" в рамках выполнения годовой программы ремонтов основных производственных фондов 2027 года для нужд филиала "Амурские электрические сети"</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Описание</w:t>
              <w:br/>
              <w:t>предмета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6"/>
                  <w:szCs w:val="22"/>
                  <w:lang w:val="ru-RU" w:eastAsia="en-US" w:bidi="ar-SA"/>
                </w:rPr>
                <w:t>Технических требованиях (Приложении № 1)</w:t>
              </w:r>
            </w:hyperlink>
            <w:r>
              <w:rPr>
                <w:rFonts w:eastAsia="Calibri" w:cs=""/>
                <w:kern w:val="0"/>
                <w:sz w:val="26"/>
                <w:szCs w:val="22"/>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Многолотовая закупка: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Нет.</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Наименование и адрес ЭП, на которой проводится закупка:</w:t>
            </w:r>
          </w:p>
        </w:tc>
        <w:tc>
          <w:tcPr>
            <w:tcW w:w="5813" w:type="dxa"/>
            <w:tcBorders/>
          </w:tcPr>
          <w:p>
            <w:pPr>
              <w:pStyle w:val="Normal"/>
              <w:widowControl w:val="false"/>
              <w:suppressAutoHyphens w:val="true"/>
              <w:spacing w:before="0" w:after="0"/>
              <w:rPr/>
            </w:pPr>
            <w:r>
              <w:rPr/>
              <w:t xml:space="preserve">Электронная (торговая) площадка: </w:t>
            </w:r>
            <w:hyperlink r:id="rId2">
              <w:r>
                <w:rPr/>
                <w:t>https://tender.lot-online.ru</w:t>
              </w:r>
            </w:hyperlink>
            <w:r>
              <w:rPr/>
              <w:t>.</w:t>
            </w:r>
          </w:p>
          <w:p>
            <w:pPr>
              <w:pStyle w:val="Normal"/>
              <w:widowControl w:val="false"/>
              <w:suppressAutoHyphens w:val="true"/>
              <w:spacing w:before="0" w:after="0"/>
              <w:ind w:hanging="0" w:left="38"/>
              <w:rPr/>
            </w:pPr>
            <w:r>
              <w:rPr>
                <w:rStyle w:val="Style8"/>
                <w:rFonts w:eastAsia="Calibri" w:cs=""/>
                <w:i w:val="false"/>
                <w:iCs w:val="false"/>
                <w:kern w:val="0"/>
                <w:sz w:val="26"/>
                <w:szCs w:val="22"/>
                <w:shd w:fill="auto" w:val="clear"/>
                <w:lang w:val="ru-RU" w:eastAsia="en-US" w:bidi="ar-SA"/>
              </w:rPr>
              <w:t xml:space="preserve">Регламент ЭТП, в соответствии с которым проводится закупка, размещен по адресу: </w:t>
            </w:r>
            <w:hyperlink r:id="rId3" w:tgtFrame="https://tender.lot-online.ru/app/EtpDocList/page">
              <w:r>
                <w:rPr>
                  <w:rFonts w:eastAsia="Calibri" w:cs=""/>
                  <w:i w:val="false"/>
                  <w:iCs w:val="false"/>
                  <w:kern w:val="0"/>
                  <w:sz w:val="26"/>
                  <w:szCs w:val="22"/>
                  <w:shd w:fill="auto" w:val="clear"/>
                  <w:lang w:val="ru-RU" w:eastAsia="en-US" w:bidi="ar-SA"/>
                </w:rPr>
                <w:t>https://tender.lot-online.ru/app/EtpDocList/page</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8"/>
              <w:widowControl/>
              <w:suppressAutoHyphens w:val="true"/>
              <w:spacing w:before="60" w:after="60"/>
              <w:rPr/>
            </w:pPr>
            <w:r>
              <w:rPr>
                <w:rFonts w:eastAsia="Calibri" w:cs=""/>
                <w:kern w:val="0"/>
                <w:sz w:val="26"/>
                <w:szCs w:val="22"/>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6"/>
                  <w:szCs w:val="22"/>
                  <w:lang w:val="ru-RU" w:eastAsia="en-US" w:bidi="ar-SA"/>
                </w:rPr>
                <w:t>Проекта Договора (Приложение № 2)</w:t>
              </w:r>
            </w:hyperlink>
            <w:r>
              <w:rPr>
                <w:rFonts w:eastAsia="Calibri" w:cs=""/>
                <w:kern w:val="0"/>
                <w:sz w:val="26"/>
                <w:szCs w:val="22"/>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Заказчик:</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4">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rFonts w:eastAsia="Calibri" w:cs=""/>
                <w:b w:val="false"/>
                <w:kern w:val="0"/>
                <w:sz w:val="26"/>
                <w:szCs w:val="26"/>
                <w:shd w:fill="FFFFFF" w:val="clear"/>
                <w:lang w:val="ru-RU" w:eastAsia="en-US" w:bidi="ar-SA"/>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Организатор:</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 xml:space="preserve">Наименование (полное и сокращенное): </w:t>
            </w:r>
            <w:r>
              <w:rPr>
                <w:i/>
                <w:sz w:val="26"/>
                <w:szCs w:val="26"/>
              </w:rPr>
              <w:t>АО «Дальневосточная распределительная сетевая компания»</w:t>
            </w:r>
            <w:r>
              <w:rPr>
                <w:sz w:val="26"/>
                <w:szCs w:val="26"/>
              </w:rPr>
              <w:t xml:space="preserve"> </w:t>
            </w:r>
            <w:r>
              <w:rPr>
                <w:b w:val="false"/>
                <w:sz w:val="26"/>
                <w:szCs w:val="26"/>
              </w:rPr>
              <w:t>(далее – АО «ДРСК»)</w:t>
            </w:r>
          </w:p>
          <w:p>
            <w:pPr>
              <w:pStyle w:val="Tableheader"/>
              <w:widowControl w:val="false"/>
              <w:suppressAutoHyphens w:val="true"/>
              <w:snapToGrid w:val="false"/>
              <w:spacing w:before="0" w:after="0"/>
              <w:rPr>
                <w:b w:val="false"/>
                <w:sz w:val="26"/>
                <w:szCs w:val="26"/>
              </w:rPr>
            </w:pPr>
            <w:r>
              <w:rPr>
                <w:b w:val="false"/>
                <w:sz w:val="26"/>
                <w:szCs w:val="26"/>
              </w:rPr>
              <w:t>Почтовый адрес/Место нахождения: 675004, Амурская обл., г. Благовещенск, ул. Шевченко, 32</w:t>
            </w:r>
          </w:p>
          <w:p>
            <w:pPr>
              <w:pStyle w:val="Tableheader"/>
              <w:widowControl w:val="false"/>
              <w:suppressAutoHyphens w:val="true"/>
              <w:snapToGrid w:val="false"/>
              <w:spacing w:before="0" w:after="0"/>
              <w:rPr>
                <w:b w:val="false"/>
                <w:sz w:val="26"/>
                <w:szCs w:val="26"/>
              </w:rPr>
            </w:pPr>
            <w:r>
              <w:rPr>
                <w:b w:val="false"/>
                <w:sz w:val="26"/>
                <w:szCs w:val="26"/>
              </w:rPr>
              <w:t>Адрес электронной почты:</w:t>
            </w:r>
            <w:r>
              <w:rPr>
                <w:b w:val="false"/>
                <w:sz w:val="24"/>
                <w:szCs w:val="24"/>
                <w:u w:val="single"/>
              </w:rPr>
              <w:t xml:space="preserve"> </w:t>
            </w:r>
            <w:hyperlink r:id="rId5">
              <w:r>
                <w:rPr>
                  <w:rStyle w:val="Hyperlink"/>
                  <w:b w:val="false"/>
                  <w:i w:val="false"/>
                  <w:caps w:val="false"/>
                  <w:smallCaps w:val="false"/>
                  <w:strike w:val="false"/>
                  <w:dstrike w:val="false"/>
                  <w:color w:val="005497"/>
                  <w:spacing w:val="0"/>
                  <w:sz w:val="26"/>
                  <w:szCs w:val="26"/>
                  <w:u w:val="single"/>
                  <w:effect w:val="none"/>
                  <w:shd w:fill="FFFFFF" w:val="clear"/>
                </w:rPr>
                <w:t>zayarnaya-gs@drsk.ru</w:t>
              </w:r>
            </w:hyperlink>
          </w:p>
          <w:p>
            <w:pPr>
              <w:pStyle w:val="Tableheader"/>
              <w:widowControl w:val="false"/>
              <w:suppressAutoHyphens w:val="true"/>
              <w:spacing w:before="0" w:after="0"/>
              <w:rPr/>
            </w:pPr>
            <w:r>
              <w:rPr>
                <w:rStyle w:val="Style8"/>
                <w:b w:val="false"/>
                <w:sz w:val="22"/>
                <w:szCs w:val="22"/>
                <w:shd w:fill="FFFFFF" w:val="clear"/>
                <w:lang w:val="ru-RU"/>
              </w:rPr>
              <w:t>Контактный телефон: 8 (4162) 397-242</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Представитель Организатора:</w:t>
            </w:r>
          </w:p>
        </w:tc>
        <w:tc>
          <w:tcPr>
            <w:tcW w:w="5813" w:type="dxa"/>
            <w:tcBorders/>
          </w:tcPr>
          <w:p>
            <w:pPr>
              <w:pStyle w:val="Tableheader"/>
              <w:widowControl w:val="false"/>
              <w:suppressAutoHyphens w:val="true"/>
              <w:snapToGrid w:val="false"/>
              <w:spacing w:before="0" w:after="0"/>
              <w:rPr>
                <w:b w:val="false"/>
                <w:sz w:val="26"/>
                <w:szCs w:val="26"/>
              </w:rPr>
            </w:pPr>
            <w:r>
              <w:rPr>
                <w:b w:val="false"/>
                <w:sz w:val="26"/>
                <w:szCs w:val="26"/>
              </w:rPr>
              <w:t>Контактное лицо (Ф.И.О.): Заярная Галина Сергеевна, специалист 2 кат. отдела организации и проведения закупочных процедур</w:t>
            </w:r>
          </w:p>
          <w:p>
            <w:pPr>
              <w:pStyle w:val="Tableheader"/>
              <w:widowControl w:val="false"/>
              <w:suppressAutoHyphens w:val="true"/>
              <w:snapToGrid w:val="false"/>
              <w:spacing w:before="0" w:after="0"/>
              <w:rPr>
                <w:b w:val="false"/>
                <w:sz w:val="26"/>
                <w:szCs w:val="26"/>
              </w:rPr>
            </w:pPr>
            <w:r>
              <w:rPr>
                <w:b w:val="false"/>
                <w:sz w:val="26"/>
                <w:szCs w:val="26"/>
              </w:rPr>
              <w:t xml:space="preserve">Контактный телефон: 8 (4162) </w:t>
            </w:r>
            <w:r>
              <w:rPr>
                <w:rStyle w:val="Style8"/>
                <w:rFonts w:eastAsia="Calibri" w:cs=""/>
                <w:b w:val="false"/>
                <w:kern w:val="0"/>
                <w:sz w:val="26"/>
                <w:szCs w:val="26"/>
                <w:shd w:fill="FFFFFF" w:val="clear"/>
                <w:lang w:val="ru-RU" w:eastAsia="en-US" w:bidi="ar-SA"/>
              </w:rPr>
              <w:t>397-242</w:t>
            </w:r>
          </w:p>
          <w:p>
            <w:pPr>
              <w:pStyle w:val="Tableheader"/>
              <w:widowControl w:val="false"/>
              <w:suppressAutoHyphens w:val="true"/>
              <w:spacing w:before="0" w:after="0"/>
              <w:rPr/>
            </w:pPr>
            <w:r>
              <w:rPr>
                <w:rStyle w:val="Hyperlink"/>
                <w:b w:val="false"/>
                <w:color w:val="000000"/>
                <w:sz w:val="22"/>
                <w:szCs w:val="22"/>
                <w:u w:val="none"/>
              </w:rPr>
              <w:t>Адрес электронной почты:</w:t>
            </w:r>
            <w:r>
              <w:rPr>
                <w:rStyle w:val="Hyperlink"/>
                <w:b w:val="false"/>
                <w:sz w:val="22"/>
                <w:szCs w:val="22"/>
              </w:rPr>
              <w:t xml:space="preserve"> </w:t>
            </w:r>
            <w:hyperlink r:id="rId6">
              <w:r>
                <w:rPr>
                  <w:rStyle w:val="Hyperlink"/>
                  <w:b w:val="false"/>
                  <w:i w:val="false"/>
                  <w:caps w:val="false"/>
                  <w:smallCaps w:val="false"/>
                  <w:strike w:val="false"/>
                  <w:dstrike w:val="false"/>
                  <w:color w:val="005497"/>
                  <w:spacing w:val="0"/>
                  <w:sz w:val="22"/>
                  <w:szCs w:val="22"/>
                  <w:u w:val="single"/>
                  <w:effect w:val="none"/>
                  <w:shd w:fill="FFFFFF" w:val="clear"/>
                </w:rPr>
                <w:t>zayarnaya-gs@drsk.ru</w:t>
              </w:r>
            </w:hyperlink>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размещения Извещения о проведении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«28» сентября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Начальная (максимальная) цена договора (цена лота):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НМЦ составляет 5 312 018,67  руб., без учета НДС.</w:t>
            </w:r>
          </w:p>
          <w:p>
            <w:pPr>
              <w:pStyle w:val="Style28"/>
              <w:widowControl/>
              <w:suppressAutoHyphens w:val="true"/>
              <w:spacing w:before="60" w:after="60"/>
              <w:rPr/>
            </w:pPr>
            <w:r>
              <w:rPr>
                <w:rFonts w:eastAsia="Calibri" w:cs=""/>
                <w:kern w:val="0"/>
                <w:sz w:val="26"/>
                <w:szCs w:val="22"/>
                <w:lang w:val="ru-RU" w:eastAsia="en-US" w:bidi="ar-SA"/>
              </w:rPr>
              <w:t xml:space="preserve">Обоснование НМЦ представлено в </w:t>
            </w:r>
            <w:hyperlink w:anchor="Прил09_ОбоснованиеНМЦ">
              <w:r>
                <w:rPr>
                  <w:rStyle w:val="Style11"/>
                  <w:rFonts w:eastAsia="Calibri" w:cs=""/>
                  <w:kern w:val="0"/>
                  <w:sz w:val="26"/>
                  <w:szCs w:val="22"/>
                  <w:lang w:val="ru-RU" w:eastAsia="en-US" w:bidi="ar-SA"/>
                </w:rPr>
                <w:t>Приложении № 9</w:t>
              </w:r>
            </w:hyperlink>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 заявки на участие в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p>
            <w:pPr>
              <w:pStyle w:val="Style28"/>
              <w:widowControl/>
              <w:suppressAutoHyphens w:val="true"/>
              <w:spacing w:before="60" w:after="60"/>
              <w:rPr/>
            </w:pPr>
            <w:r>
              <w:rPr>
                <w:rStyle w:val="Style8"/>
                <w:rFonts w:eastAsia="Calibri" w:cs=""/>
                <w:i/>
                <w:iCs/>
                <w:kern w:val="0"/>
                <w:sz w:val="26"/>
                <w:szCs w:val="22"/>
                <w:shd w:fill="auto" w:val="clear"/>
                <w:lang w:val="ru-RU" w:eastAsia="en-US" w:bidi="ar-SA"/>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Требования</w:t>
              <w:br/>
              <w:t>к описанию продукции: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Применение законодательства о национальном режиме:</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Национальный режим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и порядок</w:t>
              <w:br/>
              <w:t>подачи заявок:</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Заявки подаются посредством функционала ЭП, по адресу ЭП, указанному в пункте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должна состоять из двух частей и ценового предложения.</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дата и время окончания срока подачи заявок:</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начала подачи заявок:</w:t>
            </w:r>
          </w:p>
          <w:p>
            <w:pPr>
              <w:pStyle w:val="Style28"/>
              <w:widowControl/>
              <w:suppressAutoHyphens w:val="true"/>
              <w:spacing w:before="60" w:after="60"/>
              <w:rPr/>
            </w:pPr>
            <w:r>
              <w:rPr/>
              <w:t>«28» сентября 2026 г.</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подачи заявок:</w:t>
            </w:r>
          </w:p>
          <w:p>
            <w:pPr>
              <w:pStyle w:val="Style28"/>
              <w:widowControl/>
              <w:suppressAutoHyphens w:val="true"/>
              <w:spacing w:before="60" w:after="60"/>
              <w:rPr/>
            </w:pPr>
            <w:r>
              <w:rPr>
                <w:rFonts w:eastAsia="Calibri" w:cs=""/>
                <w:kern w:val="0"/>
                <w:sz w:val="26"/>
                <w:szCs w:val="22"/>
                <w:lang w:val="ru-RU" w:eastAsia="en-US" w:bidi="ar-SA"/>
              </w:rPr>
              <w:t>«06» октября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предоставления Участникам разъяснений Документации о закупке:</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и время окончания срока предоставления разъяснений:</w:t>
            </w:r>
          </w:p>
          <w:p>
            <w:pPr>
              <w:pStyle w:val="Style28"/>
              <w:widowControl/>
              <w:suppressAutoHyphens w:val="true"/>
              <w:spacing w:before="60" w:after="60"/>
              <w:rPr/>
            </w:pPr>
            <w:r>
              <w:rPr>
                <w:rFonts w:eastAsia="Calibri" w:cs=""/>
                <w:kern w:val="0"/>
                <w:sz w:val="26"/>
                <w:szCs w:val="22"/>
                <w:lang w:val="ru-RU" w:eastAsia="en-US" w:bidi="ar-SA"/>
              </w:rPr>
              <w:t>«06» октября 2026 г. в 15 ч. 00 мин.</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 местному времени Организатора).</w:t>
            </w:r>
          </w:p>
          <w:p>
            <w:pPr>
              <w:pStyle w:val="Style28"/>
              <w:widowControl/>
              <w:suppressAutoHyphens w:val="true"/>
              <w:spacing w:before="60" w:after="60"/>
              <w:rPr>
                <w:rFonts w:ascii="Times New Roman" w:hAnsi="Times New Roman" w:eastAsia="Calibri" w:cs=""/>
                <w:i/>
                <w:i/>
                <w:iCs/>
                <w:kern w:val="0"/>
                <w:sz w:val="26"/>
                <w:szCs w:val="22"/>
                <w:lang w:val="ru-RU" w:eastAsia="en-US" w:bidi="ar-SA"/>
              </w:rPr>
            </w:pPr>
            <w:r>
              <w:rPr>
                <w:rFonts w:eastAsia="Calibri" w:cs=""/>
                <w:i/>
                <w:iCs/>
                <w:kern w:val="0"/>
                <w:sz w:val="26"/>
                <w:szCs w:val="22"/>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_Ref125360779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1.2.17</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открытия</w:t>
              <w:br/>
              <w:t>доступа к заявкам:</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_Ref125360764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1.2.5</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первых частей заявок:</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«14» октября 2026 г.</w:t>
            </w:r>
          </w:p>
          <w:p>
            <w:pPr>
              <w:pStyle w:val="Style28"/>
              <w:widowControl/>
              <w:suppressAutoHyphens w:val="true"/>
              <w:spacing w:before="60" w:after="60"/>
              <w:rPr>
                <w:rStyle w:val="Style8"/>
              </w:rPr>
            </w:pPr>
            <w:r>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Срок направления Оператором ЭП вторых частей заявок и ценовых предложений в адрес Организатора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окончания рассмотрения вторых частей заявок и ценовых предложений:</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«02» ноября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Дата подведения</w:t>
              <w:br/>
              <w:t>итогов закупки:</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«03» ноября 2026 г.</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предоставляется.</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Рассмотрение, оценка и сопоставление заявок Участников с учетом привлекаемых субподрядчиков:</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предусмотрено.</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Порядок подведения итогов закупки:</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Количество победителей закупки (в рамках одного лота):</w:t>
            </w:r>
          </w:p>
        </w:tc>
        <w:tc>
          <w:tcPr>
            <w:tcW w:w="5813" w:type="dxa"/>
            <w:tcBorders/>
          </w:tcPr>
          <w:p>
            <w:pPr>
              <w:pStyle w:val="Style28"/>
              <w:widowControl/>
              <w:suppressAutoHyphens w:val="true"/>
              <w:spacing w:before="60" w:after="60"/>
              <w:rPr/>
            </w:pPr>
            <w:r>
              <w:rPr>
                <w:rFonts w:eastAsia="Calibri" w:cs=""/>
                <w:kern w:val="0"/>
                <w:sz w:val="26"/>
                <w:szCs w:val="22"/>
                <w:lang w:val="ru-RU" w:eastAsia="en-US" w:bidi="ar-SA"/>
              </w:rPr>
              <w:t>Один победитель.</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Место подачи документов в отношении цепочки собственников, включая конечных бенефициаров:</w:t>
            </w:r>
          </w:p>
        </w:tc>
        <w:tc>
          <w:tcPr>
            <w:tcW w:w="5813" w:type="dxa"/>
            <w:tcBorders/>
          </w:tcPr>
          <w:p>
            <w:pPr>
              <w:pStyle w:val="Tableheader"/>
              <w:widowControl w:val="false"/>
              <w:suppressAutoHyphens w:val="true"/>
              <w:snapToGrid w:val="false"/>
              <w:spacing w:before="0" w:after="0"/>
              <w:rPr>
                <w:sz w:val="26"/>
                <w:szCs w:val="26"/>
              </w:rPr>
            </w:pPr>
            <w:r>
              <w:rPr>
                <w:b w:val="false"/>
                <w:sz w:val="26"/>
                <w:szCs w:val="26"/>
              </w:rPr>
              <w:t xml:space="preserve">Почтовый адрес: 675004, г. Благовещенск, ул. Шевченко, 32. </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Контактное лицо для приема документов (Ф.И.О.): Ярый В.С. - ведущий специалист СЭБ АО «ДРСК»;</w:t>
            </w:r>
          </w:p>
          <w:p>
            <w:pPr>
              <w:pStyle w:val="Tableheader"/>
              <w:widowControl w:val="false"/>
              <w:suppressAutoHyphens w:val="true"/>
              <w:spacing w:before="0" w:after="0"/>
              <w:rPr/>
            </w:pPr>
            <w:r>
              <w:rPr>
                <w:rStyle w:val="Style8"/>
                <w:rFonts w:eastAsia="Calibri" w:cs=""/>
                <w:b w:val="false"/>
                <w:i w:val="false"/>
                <w:iCs w:val="false"/>
                <w:kern w:val="0"/>
                <w:sz w:val="26"/>
                <w:szCs w:val="26"/>
                <w:shd w:fill="FFFFFF" w:val="clear"/>
                <w:lang w:eastAsia="en-US" w:bidi="ar-SA"/>
              </w:rPr>
              <w:t>Телефон: (4162) 397-325</w:t>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Некритичные пункты Проекта договора: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Отсутствуют.</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r>
      <w:tr>
        <w:trPr/>
        <w:tc>
          <w:tcPr>
            <w:tcW w:w="1126" w:type="dxa"/>
            <w:tcBorders/>
          </w:tcPr>
          <w:p>
            <w:pPr>
              <w:pStyle w:val="Style24"/>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973" w:type="dxa"/>
            <w:tcBorders/>
          </w:tcPr>
          <w:p>
            <w:pPr>
              <w:pStyle w:val="Style28"/>
              <w:widowControl/>
              <w:suppressAutoHyphens w:val="true"/>
              <w:spacing w:before="60" w:after="60"/>
              <w:jc w:val="left"/>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Обеспечение</w:t>
              <w:br/>
              <w:t>исполнения Договора:</w:t>
            </w:r>
          </w:p>
        </w:tc>
        <w:tc>
          <w:tcPr>
            <w:tcW w:w="5813"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Не требуется.</w:t>
            </w:r>
          </w:p>
        </w:tc>
      </w:tr>
    </w:tbl>
    <w:p>
      <w:pPr>
        <w:pStyle w:val="Style22"/>
        <w:rPr/>
      </w:pPr>
      <w:bookmarkStart w:id="58" w:name="_Toc228877673"/>
      <w:bookmarkStart w:id="59" w:name="_Ref125360337"/>
      <w:bookmarkStart w:id="60" w:name="_Ref125360073"/>
      <w:r>
        <w:rPr/>
        <w:t>Общие положения</w:t>
      </w:r>
      <w:bookmarkEnd w:id="58"/>
      <w:bookmarkEnd w:id="59"/>
      <w:bookmarkEnd w:id="60"/>
    </w:p>
    <w:p>
      <w:pPr>
        <w:pStyle w:val="Style23"/>
        <w:rPr/>
      </w:pPr>
      <w:bookmarkStart w:id="61" w:name="_Toc228877674"/>
      <w:r>
        <w:rPr/>
        <w:t>Общие сведения о закупке</w:t>
      </w:r>
      <w:bookmarkEnd w:id="61"/>
    </w:p>
    <w:p>
      <w:pPr>
        <w:pStyle w:val="Style24"/>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4"/>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4"/>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3"/>
        <w:rPr/>
      </w:pPr>
      <w:bookmarkStart w:id="62" w:name="_Toc228877675"/>
      <w:r>
        <w:rPr/>
        <w:t>Правовой статус документов</w:t>
      </w:r>
      <w:bookmarkEnd w:id="62"/>
    </w:p>
    <w:p>
      <w:pPr>
        <w:pStyle w:val="Style24"/>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4"/>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4"/>
        <w:keepNext w:val="true"/>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3"/>
      <w:r>
        <w:rPr/>
        <w:t>.</w:t>
      </w:r>
    </w:p>
    <w:p>
      <w:pPr>
        <w:pStyle w:val="Style24"/>
        <w:rPr/>
      </w:pPr>
      <w:r>
        <w:rPr/>
        <w:t>Заключенный по результатам закупки Договор, в том числе, фиксирует все достигнутые сторонами договоренности.</w:t>
      </w:r>
    </w:p>
    <w:p>
      <w:pPr>
        <w:pStyle w:val="Style24"/>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4"/>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4"/>
        <w:rPr/>
      </w:pPr>
      <w:r>
        <w:rPr/>
        <w:t>Иные документы Организатора и Участников не определяют права и обязанности сторон в связи с данной закупкой.</w:t>
      </w:r>
    </w:p>
    <w:p>
      <w:pPr>
        <w:pStyle w:val="Style24"/>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3"/>
        <w:rPr/>
      </w:pPr>
      <w:bookmarkStart w:id="64" w:name="_Toc228877676"/>
      <w:bookmarkStart w:id="65" w:name="_Ref125363536"/>
      <w:r>
        <w:rPr/>
        <w:t>Обжалование</w:t>
      </w:r>
      <w:bookmarkEnd w:id="64"/>
      <w:bookmarkEnd w:id="65"/>
    </w:p>
    <w:p>
      <w:pPr>
        <w:pStyle w:val="Style24"/>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4"/>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4"/>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5"/>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5"/>
        <w:rPr/>
      </w:pPr>
      <w:r>
        <w:rPr/>
        <w:t>признать заявление Участника необоснованным.</w:t>
      </w:r>
    </w:p>
    <w:p>
      <w:pPr>
        <w:pStyle w:val="Style24"/>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4"/>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5"/>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5"/>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28"/>
        <w:ind w:left="1134"/>
        <w:rPr/>
      </w:pPr>
      <w:r>
        <w:rPr/>
        <w:t>Закупочная комиссия определяется в соответствии с Положением о закупке.</w:t>
      </w:r>
    </w:p>
    <w:p>
      <w:pPr>
        <w:pStyle w:val="Style23"/>
        <w:rPr/>
      </w:pPr>
      <w:bookmarkStart w:id="68" w:name="_Toc228877677"/>
      <w:r>
        <w:rPr/>
        <w:t>Особые положения при проведении закупки с использованием ЭП</w:t>
      </w:r>
      <w:bookmarkEnd w:id="68"/>
    </w:p>
    <w:p>
      <w:pPr>
        <w:pStyle w:val="Style24"/>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4"/>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4"/>
        <w:rPr/>
      </w:pPr>
      <w:r>
        <w:rPr/>
        <w:t>Правила проведения закупки в том числе определяются Регламентом ЭП.</w:t>
      </w:r>
    </w:p>
    <w:p>
      <w:pPr>
        <w:pStyle w:val="Style24"/>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4"/>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3"/>
        <w:rPr/>
      </w:pPr>
      <w:bookmarkStart w:id="69" w:name="_Toc228877678"/>
      <w:r>
        <w:rPr/>
        <w:t>Прочие положения</w:t>
      </w:r>
      <w:bookmarkEnd w:id="69"/>
    </w:p>
    <w:p>
      <w:pPr>
        <w:pStyle w:val="Style24"/>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4"/>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4"/>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2"/>
        <w:rPr/>
      </w:pPr>
      <w:bookmarkStart w:id="70" w:name="_Toc228877679"/>
      <w:bookmarkStart w:id="71" w:name="_Ref125361210"/>
      <w:r>
        <w:rPr/>
        <w:t>Требования к Участникам</w:t>
      </w:r>
      <w:bookmarkEnd w:id="70"/>
      <w:bookmarkEnd w:id="71"/>
    </w:p>
    <w:p>
      <w:pPr>
        <w:pStyle w:val="Style23"/>
        <w:rPr/>
      </w:pPr>
      <w:bookmarkStart w:id="72" w:name="_Toc228877680"/>
      <w:bookmarkStart w:id="73" w:name="_Ref127524530"/>
      <w:r>
        <w:rPr/>
        <w:t>Общие требования к Участникам</w:t>
      </w:r>
      <w:bookmarkEnd w:id="72"/>
      <w:bookmarkEnd w:id="73"/>
    </w:p>
    <w:p>
      <w:pPr>
        <w:pStyle w:val="Style24"/>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4"/>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4"/>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4"/>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5"/>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5"/>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4"/>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4"/>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3"/>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4"/>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4"/>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4"/>
        <w:keepNext w:val="true"/>
        <w:rPr/>
      </w:pPr>
      <w:r>
        <w:rPr/>
        <w:t>Генеральный подрядчик:</w:t>
      </w:r>
    </w:p>
    <w:p>
      <w:pPr>
        <w:pStyle w:val="Style25"/>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5"/>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keepNext w:val="true"/>
        <w:rPr/>
      </w:pPr>
      <w:r>
        <w:rPr/>
        <w:t>Каждый субподрядчик из привлекаемых Генеральным подрядчиком должен отвечать:</w:t>
      </w:r>
    </w:p>
    <w:p>
      <w:pPr>
        <w:pStyle w:val="Style25"/>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5"/>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8"/>
        <w:ind w:left="1134"/>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4"/>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4"/>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7"/>
          <w:footerReference w:type="default" r:id="rId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2"/>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3"/>
        <w:rPr/>
      </w:pPr>
      <w:bookmarkStart w:id="110" w:name="_Toc228877683"/>
      <w:bookmarkStart w:id="111" w:name="_Ref126141932"/>
      <w:r>
        <w:rPr/>
        <w:t>Общий порядок проведения закупки</w:t>
      </w:r>
      <w:bookmarkEnd w:id="110"/>
      <w:bookmarkEnd w:id="111"/>
    </w:p>
    <w:p>
      <w:pPr>
        <w:pStyle w:val="Style24"/>
        <w:keepNext w:val="true"/>
        <w:spacing w:before="120" w:after="12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HBand="0" w:noVBand="1" w:firstColumn="1" w:lastRow="0" w:lastColumn="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28"/>
              <w:keepNext w:val="true"/>
              <w:keepLines w:val="false"/>
              <w:widowControl/>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28"/>
              <w:keepNext w:val="true"/>
              <w:keepLines w:val="false"/>
              <w:widowControl/>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4.2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28"/>
              <w:widowControl/>
              <w:suppressAutoHyphens w:val="true"/>
              <w:spacing w:before="40" w:after="40"/>
              <w:jc w:val="center"/>
              <w:rPr>
                <w:bCs/>
                <w:sz w:val="24"/>
                <w:szCs w:val="24"/>
              </w:rPr>
            </w:pPr>
            <w:r>
              <w:rPr>
                <w:bCs/>
                <w:sz w:val="24"/>
                <w:szCs w:val="24"/>
              </w:rPr>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28"/>
              <w:widowControl/>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28"/>
              <w:widowControl/>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28"/>
              <w:widowControl/>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28"/>
              <w:widowControl/>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28"/>
              <w:widowControl/>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9"/>
          <w:headerReference w:type="first" r:id="rId10"/>
          <w:footerReference w:type="default" r:id="rId11"/>
          <w:footerReference w:type="first" r:id="rId1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3"/>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4"/>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4"/>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4"/>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4"/>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3"/>
        <w:rPr/>
      </w:pPr>
      <w:bookmarkStart w:id="115" w:name="_Toc228877685"/>
      <w:bookmarkStart w:id="116" w:name="_Ref130394681"/>
      <w:bookmarkStart w:id="117" w:name="_Ref130281199"/>
      <w:r>
        <w:rPr/>
        <w:t>Подготовка заявки</w:t>
      </w:r>
      <w:bookmarkEnd w:id="115"/>
      <w:bookmarkEnd w:id="116"/>
      <w:bookmarkEnd w:id="117"/>
    </w:p>
    <w:p>
      <w:pPr>
        <w:pStyle w:val="Style24"/>
        <w:rPr/>
      </w:pPr>
      <w:r>
        <w:rPr/>
        <w:t>Участник должен подготовить заявку с учетом требований Документации о закупке.</w:t>
      </w:r>
    </w:p>
    <w:p>
      <w:pPr>
        <w:pStyle w:val="Style24"/>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4"/>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4"/>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4"/>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4"/>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4"/>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4"/>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4"/>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4"/>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4"/>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4"/>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4"/>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4"/>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4"/>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5"/>
        <w:rPr/>
      </w:pPr>
      <w:r>
        <w:rPr/>
        <w:t>внутренние противоречия между различными частями и (или) документами заявки, в том числе по тексту внутри одного документа;</w:t>
      </w:r>
    </w:p>
    <w:p>
      <w:pPr>
        <w:pStyle w:val="Style25"/>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4"/>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5"/>
        <w:rPr/>
      </w:pPr>
      <w:r>
        <w:rPr/>
        <w:t>полномочий таких органов / лиц на оформление этих документов;</w:t>
      </w:r>
    </w:p>
    <w:p>
      <w:pPr>
        <w:pStyle w:val="Style25"/>
        <w:rPr/>
      </w:pPr>
      <w:r>
        <w:rPr/>
        <w:t>формы, объема и содержания этих документов.</w:t>
      </w:r>
    </w:p>
    <w:p>
      <w:pPr>
        <w:pStyle w:val="Style24"/>
        <w:keepNext w:val="true"/>
        <w:rPr/>
      </w:pPr>
      <w:r>
        <w:rPr/>
        <w:t>Участник должен подготовить заявку с соблюдением следующих условий:</w:t>
      </w:r>
    </w:p>
    <w:p>
      <w:pPr>
        <w:pStyle w:val="Style25"/>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5"/>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5"/>
        <w:rPr/>
      </w:pPr>
      <w:r>
        <w:rPr/>
        <w:t>все файлы не должны иметь защиты от их открытия, изменения, копирования их содержимого или их печати;</w:t>
      </w:r>
    </w:p>
    <w:p>
      <w:pPr>
        <w:pStyle w:val="Style25"/>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5"/>
        <w:rPr/>
      </w:pPr>
      <w:r>
        <w:rPr/>
        <w:t>если какой-либо документ представлен в нечитаемом виде, данный документ считается непредставленным.</w:t>
      </w:r>
    </w:p>
    <w:p>
      <w:pPr>
        <w:pStyle w:val="Style24"/>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3"/>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4"/>
        <w:rPr/>
      </w:pPr>
      <w:r>
        <w:rPr/>
        <w:t>Участники вправе обратиться к Организатору за разъяснениями Документации о закупке.</w:t>
      </w:r>
    </w:p>
    <w:p>
      <w:pPr>
        <w:pStyle w:val="Style24"/>
        <w:rPr/>
      </w:pPr>
      <w:r>
        <w:rPr/>
        <w:t>Запросы подаются в соответствии с Регламентами и инструкциями Оператора ЭП, опубликованными на сайте соответствующей ЭП.</w:t>
      </w:r>
    </w:p>
    <w:p>
      <w:pPr>
        <w:pStyle w:val="Style24"/>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4"/>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4"/>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4"/>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4"/>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3"/>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4"/>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4"/>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5"/>
        <w:rPr/>
      </w:pPr>
      <w:r>
        <w:rPr/>
        <w:t>рассмотрения первых частей заявок;</w:t>
      </w:r>
    </w:p>
    <w:p>
      <w:pPr>
        <w:pStyle w:val="Style25"/>
        <w:rPr/>
      </w:pPr>
      <w:r>
        <w:rPr/>
        <w:t>рассмотрения вторых частей заявок и ценовых предложений;</w:t>
      </w:r>
    </w:p>
    <w:p>
      <w:pPr>
        <w:pStyle w:val="Style25"/>
        <w:rPr/>
      </w:pPr>
      <w:r>
        <w:rPr/>
        <w:t>подведения итогов закупки;</w:t>
      </w:r>
    </w:p>
    <w:p>
      <w:pPr>
        <w:pStyle w:val="Style28"/>
        <w:ind w:left="1134"/>
        <w:rPr/>
      </w:pPr>
      <w:bookmarkStart w:id="136" w:name="_Ref125550844"/>
      <w:r>
        <w:rPr/>
        <w:t>в пределах срока действия заявок и с уведомлением Участников, подавших заявки.</w:t>
      </w:r>
      <w:bookmarkEnd w:id="136"/>
    </w:p>
    <w:p>
      <w:pPr>
        <w:pStyle w:val="Style24"/>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4"/>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4"/>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3"/>
        <w:rPr/>
      </w:pPr>
      <w:bookmarkStart w:id="137" w:name="_Toc228877688"/>
      <w:bookmarkStart w:id="138" w:name="_Ref125362119"/>
      <w:r>
        <w:rPr/>
        <w:t>Подача заявок и их прием</w:t>
      </w:r>
      <w:bookmarkEnd w:id="137"/>
      <w:bookmarkEnd w:id="138"/>
    </w:p>
    <w:p>
      <w:pPr>
        <w:pStyle w:val="Style24"/>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4"/>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4"/>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4"/>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4"/>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4"/>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4"/>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3"/>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4"/>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4"/>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4"/>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4"/>
        <w:rPr/>
      </w:pPr>
      <w:r>
        <w:rPr/>
        <w:t>Изменения и отзыв заявки осуществляется посредством функционала ЭП (подробный порядок определяется Регламентом ЭП).</w:t>
      </w:r>
    </w:p>
    <w:p>
      <w:pPr>
        <w:pStyle w:val="Style23"/>
        <w:rPr/>
      </w:pPr>
      <w:bookmarkStart w:id="145" w:name="_Toc228877690"/>
      <w:bookmarkStart w:id="146" w:name="_Ref132816188"/>
      <w:r>
        <w:rPr/>
        <w:t>Открытие доступа к первым частям заявок</w:t>
      </w:r>
      <w:bookmarkEnd w:id="145"/>
      <w:bookmarkEnd w:id="146"/>
    </w:p>
    <w:p>
      <w:pPr>
        <w:pStyle w:val="Style24"/>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bookmarkEnd w:id="147"/>
    </w:p>
    <w:p>
      <w:pPr>
        <w:pStyle w:val="Style24"/>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3"/>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4"/>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4"/>
        <w:rPr/>
      </w:pPr>
      <w:r>
        <w:rPr/>
        <w:t>Рассмотрение первых частей заявок проводится на основании представленных в составе заявки документов и сведений.</w:t>
      </w:r>
    </w:p>
    <w:p>
      <w:pPr>
        <w:pStyle w:val="Style24"/>
        <w:keepNext w:val="true"/>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5"/>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5"/>
        <w:rPr/>
      </w:pPr>
      <w:r>
        <w:rPr/>
        <w:t>несоответствие предлагаемой продукции требованиям Документации о закупке, в том числе порядка описания такой продукции;</w:t>
      </w:r>
    </w:p>
    <w:p>
      <w:pPr>
        <w:pStyle w:val="Style25"/>
        <w:rPr/>
      </w:pPr>
      <w:r>
        <w:rPr/>
        <w:t>несоответствие предлагаемых договорных условий требованиям Документации о закупке;</w:t>
      </w:r>
    </w:p>
    <w:p>
      <w:pPr>
        <w:pStyle w:val="Style25"/>
        <w:rPr/>
      </w:pPr>
      <w:r>
        <w:rPr/>
        <w:t>наличие в документах первой части заявки сведений об Участники и (или) о его ценовом предложении.</w:t>
      </w:r>
    </w:p>
    <w:p>
      <w:pPr>
        <w:pStyle w:val="Style24"/>
        <w:keepNext w:val="true"/>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идентификационные номера, присваиваемые Оператором ЭП;</w:t>
      </w:r>
    </w:p>
    <w:p>
      <w:pPr>
        <w:pStyle w:val="Style25"/>
        <w:keepNext w:val="true"/>
        <w:rPr/>
      </w:pPr>
      <w:r>
        <w:rPr/>
        <w:t>результаты рассмотрения первых частей заявок с указанием, в том числе:</w:t>
      </w:r>
    </w:p>
    <w:p>
      <w:pPr>
        <w:pStyle w:val="Style26"/>
        <w:rPr/>
      </w:pPr>
      <w:r>
        <w:rPr/>
        <w:t>количества заявок, которые были отклонены по результатам рассмотрения первых частей заявок;</w:t>
      </w:r>
    </w:p>
    <w:p>
      <w:pPr>
        <w:pStyle w:val="Style26"/>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4"/>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3"/>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4"/>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4"/>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4"/>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4"/>
        <w:keepNext w:val="true"/>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5"/>
        <w:rPr/>
      </w:pPr>
      <w:r>
        <w:rPr/>
        <w:t>в результате суммирования единичных расценок;</w:t>
      </w:r>
    </w:p>
    <w:p>
      <w:pPr>
        <w:pStyle w:val="Style25"/>
        <w:rPr/>
      </w:pPr>
      <w:r>
        <w:rPr/>
        <w:t>в итогах умножения единичных расценок на объем продукции;</w:t>
      </w:r>
    </w:p>
    <w:p>
      <w:pPr>
        <w:pStyle w:val="Style25"/>
        <w:rPr/>
      </w:pPr>
      <w:r>
        <w:rPr/>
        <w:t>в вычислении суммы НДС и итоговой стоимости заявки с учетом НДС);</w:t>
      </w:r>
    </w:p>
    <w:p>
      <w:pPr>
        <w:pStyle w:val="Style25"/>
        <w:rPr/>
      </w:pPr>
      <w:r>
        <w:rPr/>
        <w:t>иных внутренних противоречий в составе заявки,</w:t>
      </w:r>
    </w:p>
    <w:p>
      <w:pPr>
        <w:pStyle w:val="Style28"/>
        <w:ind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4"/>
        <w:keepNext w:val="true"/>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5"/>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6"/>
        <w:rPr/>
      </w:pPr>
      <w:r>
        <w:rPr/>
        <w:t>недостоверных сведений или намеренно искаженной информации или документов;</w:t>
      </w:r>
    </w:p>
    <w:p>
      <w:pPr>
        <w:pStyle w:val="Style26"/>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t>4.11.4</w:t>
      </w:r>
      <w:r>
        <w:rPr/>
        <w:fldChar w:fldCharType="end"/>
      </w:r>
      <w:r>
        <w:rPr/>
        <w:t>);</w:t>
      </w:r>
    </w:p>
    <w:p>
      <w:pPr>
        <w:pStyle w:val="Style25"/>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5"/>
        <w:rPr/>
      </w:pPr>
      <w:r>
        <w:rPr/>
        <w:t>несоответствие Участников требованиям Документации о закупке;</w:t>
      </w:r>
    </w:p>
    <w:p>
      <w:pPr>
        <w:pStyle w:val="Style25"/>
        <w:rPr/>
      </w:pPr>
      <w:r>
        <w:rPr/>
        <w:t>несоответствие привлекаемых субподрядчиков (соисполнителей) требованиям Документации о закупке;</w:t>
      </w:r>
    </w:p>
    <w:p>
      <w:pPr>
        <w:pStyle w:val="Style25"/>
        <w:rPr/>
      </w:pPr>
      <w:r>
        <w:rPr/>
        <w:t>превышение ценового предложения над установленным размером НМЦ.</w:t>
      </w:r>
    </w:p>
    <w:p>
      <w:pPr>
        <w:pStyle w:val="Style24"/>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5"/>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5"/>
        <w:keepNext w:val="true"/>
        <w:rPr/>
      </w:pPr>
      <w:r>
        <w:rPr/>
        <w:t>результаты рассмотрения вторых частей заявок и ценовых предложений с указанием, в том числе:</w:t>
      </w:r>
    </w:p>
    <w:p>
      <w:pPr>
        <w:pStyle w:val="Style26"/>
        <w:rPr/>
      </w:pPr>
      <w:r>
        <w:rPr/>
        <w:t>количества заявок, которые были отклонены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5"/>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4"/>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3"/>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4"/>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5"/>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6"/>
        <w:rPr/>
      </w:pPr>
      <w:r>
        <w:rPr/>
        <w:t>соответствия Участника требованиям Документации о закупке;</w:t>
      </w:r>
    </w:p>
    <w:p>
      <w:pPr>
        <w:pStyle w:val="Style26"/>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6"/>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4.14</w:t>
      </w:r>
      <w:r>
        <w:rPr/>
        <w:fldChar w:fldCharType="end"/>
      </w:r>
      <w:r>
        <w:rPr/>
        <w:t>), договорных условий и расчета цены Договора;</w:t>
      </w:r>
    </w:p>
    <w:p>
      <w:pPr>
        <w:pStyle w:val="Style25"/>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5"/>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4"/>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4"/>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4"/>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4"/>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4"/>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4"/>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4"/>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3"/>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4"/>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4"/>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4"/>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4"/>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4"/>
        <w:rPr/>
      </w:pPr>
      <w:r>
        <w:rPr/>
        <w:t>Результаты оценки и сопоставления заявок указываются в итоговом протоколе по результатам закупки.</w:t>
      </w:r>
    </w:p>
    <w:p>
      <w:pPr>
        <w:pStyle w:val="Style23"/>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4"/>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bookmarkStart w:id="182" w:name="_Ref207817837"/>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bookmarkEnd w:id="182"/>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4"/>
        <w:rPr/>
      </w:pPr>
      <w:bookmarkStart w:id="183"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83"/>
    </w:p>
    <w:p>
      <w:pPr>
        <w:pStyle w:val="Style24"/>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t>4.14.2</w:t>
      </w:r>
      <w:r>
        <w:rPr/>
        <w:fldChar w:fldCharType="end"/>
      </w:r>
      <w:r>
        <w:rPr/>
        <w:t> – </w:t>
      </w:r>
      <w:r>
        <w:rPr/>
        <w:fldChar w:fldCharType="begin"/>
      </w:r>
      <w:r>
        <w:rPr/>
        <w:instrText xml:space="preserve"> REF _Ref195007400 \r \h </w:instrText>
      </w:r>
      <w:r>
        <w:rPr/>
        <w:fldChar w:fldCharType="separate"/>
      </w:r>
      <w:r>
        <w:rPr/>
        <w:t>4.14.5</w:t>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4"/>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5"/>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5"/>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4"/>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4"/>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4"/>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4"/>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3"/>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4"/>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4"/>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4"/>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4"/>
        <w:keepNext w:val="true"/>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5"/>
        <w:rPr/>
      </w:pPr>
      <w:r>
        <w:rPr/>
        <w:t>дата подписания протокола;</w:t>
      </w:r>
    </w:p>
    <w:p>
      <w:pPr>
        <w:pStyle w:val="Style25"/>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5"/>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5"/>
        <w:keepNext w:val="true"/>
        <w:rPr/>
      </w:pPr>
      <w:r>
        <w:rPr/>
        <w:t>результаты рассмотрения заявок с указанием, в том числе:</w:t>
      </w:r>
    </w:p>
    <w:p>
      <w:pPr>
        <w:pStyle w:val="Style26"/>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6"/>
        <w:rPr/>
      </w:pPr>
      <w:r>
        <w:rPr/>
        <w:t>количества заявок, которые были отклонены;</w:t>
      </w:r>
    </w:p>
    <w:p>
      <w:pPr>
        <w:pStyle w:val="Style26"/>
        <w:rPr/>
      </w:pPr>
      <w:r>
        <w:rPr/>
        <w:t>оснований отклонения каждой заявки с указанием положений Документации о закупке, которым не соответствует такая заявка;</w:t>
      </w:r>
    </w:p>
    <w:p>
      <w:pPr>
        <w:pStyle w:val="Style25"/>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5"/>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5"/>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5"/>
        <w:rPr/>
      </w:pPr>
      <w:r>
        <w:rPr/>
        <w:t>причины, по которым закупка признана несостоявшейся (в случае ее признания таковой),</w:t>
      </w:r>
    </w:p>
    <w:p>
      <w:pPr>
        <w:pStyle w:val="Style28"/>
        <w:ind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4"/>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4"/>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4"/>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3"/>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4"/>
        <w:keepNext w:val="true"/>
        <w:rPr/>
      </w:pPr>
      <w:bookmarkStart w:id="196" w:name="_Ref214290552"/>
      <w:r>
        <w:rPr/>
        <w:t>Закупка признается несостоявшейся в следующих случаях:</w:t>
      </w:r>
      <w:bookmarkEnd w:id="196"/>
    </w:p>
    <w:p>
      <w:pPr>
        <w:pStyle w:val="Style25"/>
        <w:rPr/>
      </w:pPr>
      <w:r>
        <w:rPr/>
        <w:t>если по окончанию срока подачи заявок поступило менее 2 (двух) заявок (с учетом возможных отзывов заявок);</w:t>
      </w:r>
    </w:p>
    <w:p>
      <w:pPr>
        <w:pStyle w:val="Style25"/>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5"/>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5"/>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5.3</w:t>
      </w:r>
      <w:r>
        <w:rPr/>
        <w:fldChar w:fldCharType="end"/>
      </w:r>
      <w:r>
        <w:rPr/>
        <w:t>).</w:t>
      </w:r>
    </w:p>
    <w:p>
      <w:pPr>
        <w:pStyle w:val="Style24"/>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4"/>
        <w:keepNext w:val="true"/>
        <w:rPr/>
      </w:pPr>
      <w:r>
        <w:rPr/>
        <w:t>В случае признания закупки несостоявшейся (с учетом условий, предусмотренных Положением о закупке):</w:t>
      </w:r>
    </w:p>
    <w:p>
      <w:pPr>
        <w:pStyle w:val="Style25"/>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5"/>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hanging="426" w:left="2127"/>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5"/>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5"/>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3"/>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4"/>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4"/>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4"/>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3"/>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4"/>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4"/>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4"/>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4"/>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4"/>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5"/>
        <w:rPr/>
      </w:pPr>
      <w:r>
        <w:rPr/>
        <w:t>независимая гарантия должна быть безотзывной и безусловной (гарантия по первому требованию);</w:t>
      </w:r>
    </w:p>
    <w:p>
      <w:pPr>
        <w:pStyle w:val="Style25"/>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5"/>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5"/>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5"/>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5"/>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5"/>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5"/>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5"/>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5"/>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5"/>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5"/>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4"/>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4"/>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4"/>
        <w:rPr/>
      </w:pPr>
      <w:r>
        <w:rPr/>
        <w:t>При многолотовой закупке (подраздел </w:t>
      </w:r>
      <w:r>
        <w:rPr/>
        <w:fldChar w:fldCharType="begin"/>
      </w:r>
      <w:r>
        <w:rPr/>
        <w:instrText xml:space="preserve"> REF _Ref149317181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4"/>
        <w:rPr/>
      </w:pPr>
      <w:r>
        <w:rPr/>
        <w:t>Подать заявку (принять участие в закупке) могут только Участники, предоставившие надлежащее обеспечение их заявок.</w:t>
      </w:r>
    </w:p>
    <w:p>
      <w:pPr>
        <w:pStyle w:val="Style24"/>
        <w:rPr/>
      </w:pPr>
      <w:r>
        <w:rPr/>
        <w:t>Требование об обеспечении заявки в равной мере распространяется на всех Участников.</w:t>
      </w:r>
    </w:p>
    <w:p>
      <w:pPr>
        <w:pStyle w:val="Style24"/>
        <w:keepNext w:val="true"/>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5"/>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5"/>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4"/>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4"/>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5"/>
        <w:rPr/>
      </w:pPr>
      <w:r>
        <w:rPr/>
        <w:t>принятия решения об отказе от проведения закупки – всем Участникам, подавшим заявки к моменту принятия такого решения;</w:t>
      </w:r>
    </w:p>
    <w:p>
      <w:pPr>
        <w:pStyle w:val="Style25"/>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5"/>
        <w:rPr/>
      </w:pPr>
      <w:r>
        <w:rPr/>
        <w:t>официального размещения итогового протокола по результатам закупки – всем Участникам, кроме Победителя;</w:t>
      </w:r>
    </w:p>
    <w:p>
      <w:pPr>
        <w:pStyle w:val="Style25"/>
        <w:rPr/>
      </w:pPr>
      <w:r>
        <w:rPr/>
        <w:t>заключения Договора по результатам закупки – Победителю, с которым заключен Договор;</w:t>
      </w:r>
    </w:p>
    <w:p>
      <w:pPr>
        <w:pStyle w:val="Style25"/>
        <w:rPr/>
      </w:pPr>
      <w:r>
        <w:rPr/>
        <w:t>признания закупки несостоявшейся – Участнику, которому обеспечение не было возвращено по иным основаниям.</w:t>
      </w:r>
    </w:p>
    <w:p>
      <w:pPr>
        <w:pStyle w:val="Style24"/>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3"/>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4"/>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4"/>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4"/>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4"/>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4"/>
        <w:keepNext w:val="true"/>
        <w:rPr/>
      </w:pPr>
      <w:r>
        <w:rPr/>
        <w:t>В случае подачи заявки на несколько лотов дополнительно должны быть соблюдены следующие требования:</w:t>
      </w:r>
    </w:p>
    <w:p>
      <w:pPr>
        <w:pStyle w:val="Style25"/>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5"/>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4"/>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2"/>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3"/>
        <w:rPr/>
      </w:pPr>
      <w:bookmarkStart w:id="224" w:name="_Toc228877705"/>
      <w:r>
        <w:rPr/>
        <w:t>Общие положения</w:t>
      </w:r>
      <w:bookmarkEnd w:id="224"/>
    </w:p>
    <w:p>
      <w:pPr>
        <w:pStyle w:val="Style24"/>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3"/>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4"/>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4"/>
        <w:rPr/>
      </w:pPr>
      <w:r>
        <w:rPr/>
        <w:t>Договор не может быть заключен, если это запрещено законодательством о национальном режиме.</w:t>
      </w:r>
    </w:p>
    <w:p>
      <w:pPr>
        <w:pStyle w:val="Style24"/>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4"/>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5"/>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5"/>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4"/>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keepNext w:val="true"/>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5"/>
        <w:keepNext w:val="true"/>
        <w:rPr/>
      </w:pPr>
      <w:r>
        <w:rPr/>
        <w:t>для юридического лица:</w:t>
      </w:r>
    </w:p>
    <w:p>
      <w:pPr>
        <w:pStyle w:val="Style26"/>
        <w:rPr/>
      </w:pPr>
      <w:r>
        <w:rPr/>
        <w:t>копия устава в действующей редакции с отметкой ИФНС либо копия нотариально заверенного устава (с отметкой нотариуса);</w:t>
      </w:r>
    </w:p>
    <w:p>
      <w:pPr>
        <w:pStyle w:val="Style26"/>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6"/>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5"/>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5"/>
        <w:rPr/>
      </w:pPr>
      <w:r>
        <w:rPr/>
        <w:t>для физического лица: нотариально заверенная копия всех страниц документа, удостоверяющего личность (паспорта).</w:t>
      </w:r>
    </w:p>
    <w:p>
      <w:pPr>
        <w:pStyle w:val="Style24"/>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4"/>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4"/>
        <w:keepNext w:val="true"/>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5"/>
        <w:rPr/>
      </w:pPr>
      <w:r>
        <w:rPr/>
        <w:t>итоговый протокол по результатам закупки;</w:t>
      </w:r>
    </w:p>
    <w:p>
      <w:pPr>
        <w:pStyle w:val="Style25"/>
        <w:rPr/>
      </w:pPr>
      <w:r>
        <w:rPr/>
        <w:t>Извещение и Документация о закупке со всеми изменениями;</w:t>
      </w:r>
    </w:p>
    <w:p>
      <w:pPr>
        <w:pStyle w:val="Style25"/>
        <w:rPr/>
      </w:pPr>
      <w:r>
        <w:rPr/>
        <w:t>заявка Победителя со всеми дополнениями и разъяснениями.</w:t>
      </w:r>
    </w:p>
    <w:p>
      <w:pPr>
        <w:pStyle w:val="Style24"/>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4"/>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4"/>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4"/>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4"/>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3"/>
        <w:rPr/>
      </w:pPr>
      <w:bookmarkStart w:id="238" w:name="_Toc228877707"/>
      <w:bookmarkStart w:id="239" w:name="_Ref125367068"/>
      <w:r>
        <w:rPr/>
        <w:t>Уклонение Победителя от заключения Договора</w:t>
      </w:r>
      <w:bookmarkEnd w:id="238"/>
      <w:bookmarkEnd w:id="239"/>
    </w:p>
    <w:p>
      <w:pPr>
        <w:pStyle w:val="Style24"/>
        <w:keepNext w:val="true"/>
        <w:rPr/>
      </w:pPr>
      <w:r>
        <w:rPr/>
        <w:t>Если Победитель закупки:</w:t>
      </w:r>
    </w:p>
    <w:p>
      <w:pPr>
        <w:pStyle w:val="Style25"/>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5"/>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5"/>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5"/>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5"/>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5"/>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5"/>
        <w:rPr/>
      </w:pPr>
      <w:r>
        <w:rPr/>
        <w:t>не выполнит другие условия, прямо предусмотренные Документацией о закупке,</w:t>
      </w:r>
    </w:p>
    <w:p>
      <w:pPr>
        <w:pStyle w:val="Style28"/>
        <w:ind w:left="1134"/>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2"/>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3"/>
        <w:rPr/>
      </w:pPr>
      <w:bookmarkStart w:id="254" w:name="_Toc228877709"/>
      <w:r>
        <w:rPr/>
        <w:t>Пояснения к Техническим требованиям</w:t>
      </w:r>
      <w:bookmarkEnd w:id="254"/>
    </w:p>
    <w:p>
      <w:pPr>
        <w:pStyle w:val="Style24"/>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2"/>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3"/>
        <w:rPr/>
      </w:pPr>
      <w:bookmarkStart w:id="264" w:name="_Toc228877711"/>
      <w:r>
        <w:rPr/>
        <w:t>Пояснения к Проекту договора</w:t>
      </w:r>
      <w:bookmarkEnd w:id="264"/>
    </w:p>
    <w:p>
      <w:pPr>
        <w:pStyle w:val="Style24"/>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4"/>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4"/>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4"/>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5"/>
          <w:headerReference w:type="first" r:id="rId16"/>
          <w:footerReference w:type="default" r:id="rId17"/>
          <w:footerReference w:type="first" r:id="rId18"/>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8"/>
        <w:jc w:val="center"/>
        <w:rPr/>
      </w:pPr>
      <w:r>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78.05pt;height:50.8pt;mso-wrap-distance-right:0pt" filled="f" o:ole="">
            <v:imagedata r:id="rId14" o:title=""/>
          </v:shape>
          <o:OLEObject Type="Embed" ProgID="Word.Document.12" ShapeID="ole_rId13" DrawAspect="Icon" ObjectID="_1745984471" r:id="rId13"/>
        </w:object>
      </w:r>
    </w:p>
    <w:p>
      <w:pPr>
        <w:pStyle w:val="Style22"/>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3"/>
        <w:rPr/>
      </w:pPr>
      <w:bookmarkStart w:id="272" w:name="_Toc228877713"/>
      <w:r>
        <w:rPr/>
        <w:t>Пояснения к требованиям к Участникам</w:t>
      </w:r>
      <w:bookmarkEnd w:id="272"/>
    </w:p>
    <w:p>
      <w:pPr>
        <w:pStyle w:val="Style24"/>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3"/>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28"/>
              <w:widowControl/>
              <w:numPr>
                <w:ilvl w:val="0"/>
                <w:numId w:val="14"/>
              </w:numPr>
              <w:suppressAutoHyphens w:val="true"/>
              <w:spacing w:before="60" w:after="60"/>
              <w:ind w:hanging="284" w:left="568"/>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28"/>
              <w:widowControl/>
              <w:numPr>
                <w:ilvl w:val="0"/>
                <w:numId w:val="13"/>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14"/>
              </w:numPr>
              <w:suppressAutoHyphens w:val="true"/>
              <w:spacing w:before="60" w:after="60"/>
              <w:ind w:hanging="284" w:left="568"/>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widowControl/>
              <w:suppressAutoHyphens w:val="true"/>
              <w:spacing w:before="60" w:after="60"/>
              <w:ind w:left="284"/>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28"/>
              <w:widowControl/>
              <w:suppressAutoHyphens w:val="true"/>
              <w:spacing w:before="60" w:after="60"/>
              <w:ind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28"/>
              <w:widowControl/>
              <w:numPr>
                <w:ilvl w:val="0"/>
                <w:numId w:val="3"/>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28"/>
              <w:widowControl/>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3"/>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28"/>
              <w:widowControl/>
              <w:numPr>
                <w:ilvl w:val="0"/>
                <w:numId w:val="4"/>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Специальные требования не установлены.</w:t>
            </w:r>
          </w:p>
          <w:p>
            <w:pPr>
              <w:pStyle w:val="Style31"/>
              <w:widowControl/>
              <w:suppressAutoHyphens w:val="true"/>
              <w:spacing w:before="60" w:after="60"/>
              <w:rPr>
                <w:lang w:val="ru-RU"/>
              </w:rPr>
            </w:pPr>
            <w:r>
              <w:rPr>
                <w:lang w:val="ru-RU"/>
              </w:rPr>
            </w:r>
          </w:p>
        </w:tc>
      </w:tr>
    </w:tbl>
    <w:p>
      <w:pPr>
        <w:pStyle w:val="Style23"/>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28"/>
              <w:keepNext w:val="fals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28"/>
              <w:widowControl/>
              <w:numPr>
                <w:ilvl w:val="0"/>
                <w:numId w:val="5"/>
              </w:numPr>
              <w:suppressAutoHyphens w:val="true"/>
              <w:spacing w:before="60" w:after="60"/>
              <w:ind w:hanging="0" w:left="284"/>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p>
            <w:pPr>
              <w:pStyle w:val="Style31"/>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327" w:type="dxa"/>
            <w:tcBorders/>
          </w:tcPr>
          <w:p>
            <w:pPr>
              <w:pStyle w:val="Style28"/>
              <w:widowControl/>
              <w:suppressAutoHyphens w:val="true"/>
              <w:spacing w:before="60" w:after="60"/>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3"/>
        <w:rPr/>
      </w:pPr>
      <w:bookmarkStart w:id="336" w:name="_Toc228877718"/>
      <w:r>
        <w:rPr/>
        <w:t>Пояснения к Образцам форм документов, включаемых в состав заявки</w:t>
      </w:r>
      <w:bookmarkEnd w:id="336"/>
    </w:p>
    <w:p>
      <w:pPr>
        <w:pStyle w:val="Style24"/>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2"/>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3"/>
        <w:rPr/>
      </w:pPr>
      <w:bookmarkStart w:id="339" w:name="_Toc228877720"/>
      <w:r>
        <w:rPr/>
        <w:t>Пояснения к Образцам форм документов, предоставляемых Победителем</w:t>
      </w:r>
      <w:bookmarkEnd w:id="339"/>
    </w:p>
    <w:p>
      <w:pPr>
        <w:pStyle w:val="Style24"/>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3"/>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4"/>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4"/>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28"/>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569272503" r:id="rId23"/>
        </w:object>
      </w:r>
    </w:p>
    <w:p>
      <w:pPr>
        <w:pStyle w:val="Style23"/>
        <w:rPr/>
      </w:pPr>
      <w:bookmarkStart w:id="343" w:name="_Toc228877722"/>
      <w:bookmarkStart w:id="344" w:name="_Ref130395475"/>
      <w:r>
        <w:rPr/>
        <w:t>Форма «Заверение об обстоятельствах»</w:t>
      </w:r>
      <w:bookmarkEnd w:id="343"/>
      <w:bookmarkEnd w:id="344"/>
    </w:p>
    <w:p>
      <w:pPr>
        <w:pStyle w:val="Style24"/>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4"/>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4"/>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4"/>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28"/>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052517549" r:id="rId25"/>
        </w:object>
      </w:r>
    </w:p>
    <w:p>
      <w:pPr>
        <w:pStyle w:val="Style22"/>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3"/>
        <w:rPr/>
      </w:pPr>
      <w:bookmarkStart w:id="350" w:name="_Toc228877724"/>
      <w:r>
        <w:rPr/>
        <w:t>Состав заявки</w:t>
      </w:r>
      <w:bookmarkEnd w:id="350"/>
    </w:p>
    <w:p>
      <w:pPr>
        <w:pStyle w:val="Style24"/>
        <w:spacing w:before="120" w:after="12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numPr>
                <w:ilvl w:val="0"/>
                <w:numId w:val="8"/>
              </w:numPr>
              <w:suppressAutoHyphens w:val="true"/>
              <w:spacing w:before="60" w:after="60"/>
              <w:ind w:hanging="284" w:left="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28"/>
              <w:keepNext w:val="true"/>
              <w:widowControl/>
              <w:suppressAutoHyphens w:val="true"/>
              <w:spacing w:before="60" w:after="60"/>
              <w:ind w:left="360"/>
              <w:jc w:val="center"/>
              <w:rPr>
                <w:b/>
                <w:bCs/>
              </w:rPr>
            </w:pPr>
            <w:r>
              <w:rPr>
                <w:b/>
                <w:bCs/>
              </w:rPr>
            </w:r>
          </w:p>
        </w:tc>
        <w:tc>
          <w:tcPr>
            <w:tcW w:w="8075" w:type="dxa"/>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28"/>
              <w:widowControl/>
              <w:numPr>
                <w:ilvl w:val="0"/>
                <w:numId w:val="6"/>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28"/>
              <w:widowControl/>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4"/>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2"/>
        <w:rPr/>
      </w:pPr>
      <w:bookmarkStart w:id="359" w:name="_Toc228877725"/>
      <w:bookmarkStart w:id="360" w:name="_Ref125365264"/>
      <w:bookmarkStart w:id="361" w:name="Прил07_ОтборочныеКритерии"/>
      <w:bookmarkEnd w:id="361"/>
      <w:r>
        <w:rPr>
          <w:rStyle w:val="Style8"/>
          <w:i w:val="false"/>
          <w:iCs w:val="false"/>
          <w:shd w:fill="auto" w:val="clear"/>
        </w:rPr>
        <w:t>Приложение №</w:t>
      </w:r>
      <w:r>
        <w:rPr/>
        <w:t> 7 – Отборочные критерии рассмотрения заявок</w:t>
      </w:r>
      <w:bookmarkEnd w:id="359"/>
      <w:bookmarkEnd w:id="360"/>
    </w:p>
    <w:p>
      <w:pPr>
        <w:pStyle w:val="Style23"/>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7"/>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28"/>
              <w:widowControl/>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4.18</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5.2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28"/>
              <w:widowControl/>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3.2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1"/>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numPr>
                <w:ilvl w:val="0"/>
                <w:numId w:val="8"/>
              </w:numPr>
              <w:suppressAutoHyphens w:val="true"/>
              <w:spacing w:before="60" w:after="60"/>
              <w:ind w:hanging="284" w:left="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8.4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28"/>
              <w:widowControl/>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4.14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28"/>
              <w:widowControl/>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4.3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28"/>
              <w:widowControl/>
              <w:numPr>
                <w:ilvl w:val="0"/>
                <w:numId w:val="11"/>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3"/>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28"/>
              <w:keepNext w:val="true"/>
              <w:keepLines w:val="false"/>
              <w:widowControl/>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28"/>
              <w:widowControl/>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28"/>
              <w:keepNext w:val="true"/>
              <w:widowControl/>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28"/>
              <w:keepNext w:val="true"/>
              <w:widowControl/>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28"/>
              <w:widowControl/>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4.11</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28"/>
              <w:widowControl/>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4.14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4.14</w:t>
            </w:r>
            <w:r>
              <w:rPr>
                <w:sz w:val="26"/>
                <w:kern w:val="0"/>
                <w:szCs w:val="22"/>
                <w:rFonts w:eastAsia="Calibri" w:cs=""/>
                <w:lang w:val="ru-RU" w:eastAsia="en-US" w:bidi="ar-SA"/>
              </w:rPr>
              <w:fldChar w:fldCharType="end"/>
            </w:r>
          </w:p>
          <w:p>
            <w:pPr>
              <w:pStyle w:val="Style28"/>
              <w:widowControl/>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28"/>
              <w:widowControl/>
              <w:numPr>
                <w:ilvl w:val="0"/>
                <w:numId w:val="12"/>
              </w:numPr>
              <w:suppressAutoHyphens w:val="true"/>
              <w:spacing w:before="60" w:after="60"/>
              <w:ind w:hanging="0" w:left="17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28"/>
              <w:widowControl/>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28"/>
              <w:widowControl/>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28"/>
              <w:widowControl/>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28"/>
              <w:widowControl/>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8"/>
        <w:keepNext w:val="true"/>
        <w:tabs>
          <w:tab w:val="clear" w:pos="708"/>
          <w:tab w:val="left" w:pos="851" w:leader="none"/>
        </w:tabs>
        <w:spacing w:before="240" w:after="0"/>
        <w:rPr>
          <w:b/>
          <w:bCs/>
        </w:rPr>
      </w:pPr>
      <w:r>
        <w:rPr>
          <w:b/>
          <w:bCs/>
        </w:rPr>
        <w:t>* Направления оценки заявок:</w:t>
      </w:r>
    </w:p>
    <w:p>
      <w:pPr>
        <w:pStyle w:val="Style28"/>
        <w:tabs>
          <w:tab w:val="clear" w:pos="708"/>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8"/>
        <w:tabs>
          <w:tab w:val="clear" w:pos="708"/>
          <w:tab w:val="left" w:pos="1134" w:leader="none"/>
        </w:tabs>
        <w:ind w:hanging="1701" w:left="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8"/>
        <w:tabs>
          <w:tab w:val="clear" w:pos="708"/>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8"/>
        <w:keepNext w:val="true"/>
        <w:tabs>
          <w:tab w:val="clear" w:pos="708"/>
          <w:tab w:val="left" w:pos="1134" w:leader="none"/>
        </w:tabs>
        <w:ind w:hanging="1701" w:left="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28"/>
        <w:tabs>
          <w:tab w:val="clear" w:pos="708"/>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28"/>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2"/>
        <w:rPr/>
      </w:pPr>
      <w:bookmarkStart w:id="368" w:name="_Toc228877731"/>
      <w:bookmarkStart w:id="369" w:name="_Ref125369438"/>
      <w:bookmarkStart w:id="370" w:name="_Ref125369021"/>
      <w:bookmarkStart w:id="371" w:name="_Ref125368331"/>
      <w:bookmarkStart w:id="372" w:name="_Ref125368313"/>
      <w:bookmarkStart w:id="373" w:name="_Ref125368302"/>
      <w:bookmarkStart w:id="374" w:name="_Ref125368291"/>
      <w:bookmarkStart w:id="375" w:name="_Ref125368283"/>
      <w:bookmarkStart w:id="376" w:name="_Ref125368184"/>
      <w:bookmarkStart w:id="377" w:name="_Ref125368172"/>
      <w:bookmarkStart w:id="378" w:name="_Ref125368165"/>
      <w:bookmarkStart w:id="379" w:name="_Ref125368150"/>
      <w:bookmarkStart w:id="380" w:name="_Ref125368140"/>
      <w:bookmarkStart w:id="381" w:name="_Ref125366285"/>
      <w:bookmarkStart w:id="382" w:name="_Ref125366280"/>
      <w:bookmarkStart w:id="383" w:name="_Ref125366013"/>
      <w:bookmarkStart w:id="384" w:name="_Ref125361951"/>
      <w:bookmarkStart w:id="385" w:name="_Ref125361648"/>
      <w:bookmarkStart w:id="386" w:name="Прил08_ПорядокОценки"/>
      <w:bookmarkEnd w:id="386"/>
      <w:r>
        <w:rPr/>
        <w:t>Приложение № 8 – Порядок и критерии оценки и сопоставления заявок</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Style23"/>
        <w:rPr/>
      </w:pPr>
      <w:bookmarkStart w:id="387" w:name="_Toc228877732"/>
      <w:r>
        <w:rPr/>
        <w:t>Порядок и критерии оценки и сопоставления заявок</w:t>
      </w:r>
      <w:bookmarkEnd w:id="387"/>
    </w:p>
    <w:p>
      <w:pPr>
        <w:pStyle w:val="Style24"/>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8"/>
        <w:spacing w:before="120" w:after="120"/>
        <w:ind w:left="1134"/>
        <w:rPr>
          <w:rStyle w:val="Style8"/>
        </w:rPr>
      </w:pPr>
      <w:r>
        <w:rPr/>
      </w:r>
    </w:p>
    <w:tbl>
      <w:tblPr>
        <w:tblStyle w:val="af9"/>
        <w:tblW w:w="14519" w:type="dxa"/>
        <w:jc w:val="left"/>
        <w:tblInd w:w="1129" w:type="dxa"/>
        <w:tblLayout w:type="fixed"/>
        <w:tblCellMar>
          <w:top w:w="0" w:type="dxa"/>
          <w:left w:w="57" w:type="dxa"/>
          <w:bottom w:w="0" w:type="dxa"/>
          <w:right w:w="57" w:type="dxa"/>
        </w:tblCellMar>
        <w:tblLook w:val="04a0" w:noHBand="0" w:noVBand="1" w:firstColumn="1" w:lastRow="0" w:lastColumn="0" w:firstRow="1"/>
      </w:tblPr>
      <w:tblGrid>
        <w:gridCol w:w="1193"/>
        <w:gridCol w:w="1607"/>
        <w:gridCol w:w="1594"/>
        <w:gridCol w:w="1702"/>
        <w:gridCol w:w="1622"/>
        <w:gridCol w:w="1864"/>
        <w:gridCol w:w="4936"/>
      </w:tblGrid>
      <w:tr>
        <w:trPr>
          <w:cnfStyle w:val="100000000000" w:firstRow="1" w:lastRow="0" w:firstColumn="0" w:lastColumn="0" w:oddVBand="0" w:evenVBand="0" w:oddHBand="0" w:evenHBand="0" w:firstRowFirstColumn="0" w:firstRowLastColumn="0" w:lastRowFirstColumn="0" w:lastRowLastColumn="0"/>
        </w:trPr>
        <w:tc>
          <w:tcPr>
            <w:tcW w:w="1193"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eastAsia="en-US" w:bidi="ar-SA"/>
              </w:rPr>
            </w:pPr>
            <w:r>
              <w:rPr>
                <w:rFonts w:eastAsia="Calibri" w:cs=""/>
                <w:b/>
                <w:kern w:val="0"/>
                <w:sz w:val="18"/>
                <w:szCs w:val="18"/>
                <w:lang w:val="ru-RU" w:eastAsia="en-US" w:bidi="ar-SA"/>
              </w:rPr>
              <w:t>Номер критерия оценки в</w:t>
            </w:r>
            <w:r>
              <w:rPr>
                <w:rFonts w:eastAsia="Calibri" w:cs=""/>
                <w:b/>
                <w:kern w:val="0"/>
                <w:sz w:val="18"/>
                <w:szCs w:val="18"/>
                <w:lang w:val="en-US" w:eastAsia="en-US" w:bidi="ar-SA"/>
              </w:rPr>
              <w:t> </w:t>
            </w:r>
            <w:r>
              <w:rPr>
                <w:rFonts w:eastAsia="Calibri" w:cs=""/>
                <w:b/>
                <w:kern w:val="0"/>
                <w:sz w:val="18"/>
                <w:szCs w:val="18"/>
                <w:lang w:val="ru-RU" w:eastAsia="en-US" w:bidi="ar-SA"/>
              </w:rPr>
              <w:t>структуре</w:t>
            </w:r>
          </w:p>
        </w:tc>
        <w:tc>
          <w:tcPr>
            <w:tcW w:w="1607"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Вид критерия оценки / направление оценки заявок</w:t>
            </w:r>
          </w:p>
        </w:tc>
        <w:tc>
          <w:tcPr>
            <w:tcW w:w="3296" w:type="dxa"/>
            <w:gridSpan w:val="2"/>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Наименование критерия оценки</w:t>
            </w:r>
          </w:p>
        </w:tc>
        <w:tc>
          <w:tcPr>
            <w:tcW w:w="1622"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Значимость</w:t>
              <w:br/>
              <w:t>критерия оценки</w:t>
            </w:r>
          </w:p>
        </w:tc>
        <w:tc>
          <w:tcPr>
            <w:tcW w:w="1864"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Содержание частного критерия оценки</w:t>
            </w:r>
          </w:p>
        </w:tc>
        <w:tc>
          <w:tcPr>
            <w:tcW w:w="4936" w:type="dxa"/>
            <w:vMerge w:val="restart"/>
            <w:tcBorders/>
          </w:tcPr>
          <w:p>
            <w:pPr>
              <w:pStyle w:val="Style28"/>
              <w:keepNext w:val="true"/>
              <w:keepLines w:val="false"/>
              <w:widowControl/>
              <w:suppressAutoHyphens w:val="true"/>
              <w:spacing w:before="40" w:after="40"/>
              <w:jc w:val="center"/>
              <w:rPr>
                <w:rFonts w:ascii="Times New Roman" w:hAnsi="Times New Roman" w:eastAsia="Calibri" w:cs=""/>
                <w:b/>
                <w:kern w:val="0"/>
                <w:sz w:val="18"/>
                <w:szCs w:val="18"/>
                <w:lang w:val="ru-RU" w:eastAsia="en-US" w:bidi="ar-SA"/>
              </w:rPr>
            </w:pPr>
            <w:r>
              <w:rPr>
                <w:rFonts w:eastAsia="Calibri" w:cs=""/>
                <w:b/>
                <w:kern w:val="0"/>
                <w:sz w:val="18"/>
                <w:szCs w:val="18"/>
                <w:lang w:val="ru-RU" w:eastAsia="en-US" w:bidi="ar-SA"/>
              </w:rPr>
              <w:t>Расчет оценки предпочтительности заявки</w:t>
            </w:r>
          </w:p>
        </w:tc>
      </w:tr>
      <w:tr>
        <w:trPr/>
        <w:tc>
          <w:tcPr>
            <w:tcW w:w="1193"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607"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594"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первого уровня</w:t>
            </w:r>
          </w:p>
        </w:tc>
        <w:tc>
          <w:tcPr>
            <w:tcW w:w="1702" w:type="dxa"/>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b/>
                <w:bCs/>
                <w:kern w:val="0"/>
                <w:sz w:val="18"/>
                <w:szCs w:val="18"/>
                <w:lang w:val="ru-RU" w:eastAsia="en-US" w:bidi="ar-SA"/>
              </w:rPr>
              <w:t>критерий оценки второго уровня</w:t>
            </w:r>
          </w:p>
        </w:tc>
        <w:tc>
          <w:tcPr>
            <w:tcW w:w="1622"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1864"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c>
          <w:tcPr>
            <w:tcW w:w="4936" w:type="dxa"/>
            <w:vMerge w:val="continue"/>
            <w:tcBorders/>
          </w:tcPr>
          <w:p>
            <w:pPr>
              <w:pStyle w:val="Style28"/>
              <w:widowControl/>
              <w:suppressAutoHyphens w:val="true"/>
              <w:spacing w:before="40" w:after="40"/>
              <w:jc w:val="center"/>
              <w:rPr>
                <w:rFonts w:ascii="Times New Roman" w:hAnsi="Times New Roman" w:eastAsia="Calibri" w:cs=""/>
                <w:kern w:val="0"/>
                <w:sz w:val="18"/>
                <w:szCs w:val="18"/>
                <w:lang w:val="ru-RU" w:eastAsia="en-US" w:bidi="ar-SA"/>
              </w:rPr>
            </w:pPr>
            <w:r>
              <w:rPr>
                <w:rFonts w:eastAsia="Calibri" w:cs=""/>
                <w:kern w:val="0"/>
                <w:sz w:val="18"/>
                <w:szCs w:val="18"/>
                <w:lang w:val="ru-RU" w:eastAsia="en-US" w:bidi="ar-SA"/>
              </w:rPr>
            </w:r>
          </w:p>
        </w:tc>
      </w:tr>
      <w:tr>
        <w:trPr/>
        <w:tc>
          <w:tcPr>
            <w:tcW w:w="1193" w:type="dxa"/>
            <w:tcBorders/>
          </w:tcPr>
          <w:p>
            <w:pPr>
              <w:pStyle w:val="Normal"/>
              <w:widowControl w:val="false"/>
              <w:suppressAutoHyphens w:val="true"/>
              <w:spacing w:before="120" w:after="0"/>
              <w:rPr>
                <w:sz w:val="18"/>
                <w:szCs w:val="18"/>
              </w:rPr>
            </w:pPr>
            <w:r>
              <w:rPr>
                <w:rFonts w:eastAsia="Calibri"/>
                <w:sz w:val="18"/>
                <w:szCs w:val="18"/>
                <w:lang w:eastAsia="en-US"/>
              </w:rPr>
              <w:t>1.</w:t>
            </w:r>
          </w:p>
        </w:tc>
        <w:tc>
          <w:tcPr>
            <w:tcW w:w="1607" w:type="dxa"/>
            <w:tcBorders/>
          </w:tcPr>
          <w:p>
            <w:pPr>
              <w:pStyle w:val="Normal"/>
              <w:widowControl w:val="false"/>
              <w:suppressAutoHyphens w:val="true"/>
              <w:spacing w:before="120" w:after="0"/>
              <w:rPr>
                <w:sz w:val="18"/>
                <w:szCs w:val="18"/>
              </w:rPr>
            </w:pPr>
            <w:r>
              <w:rPr>
                <w:rFonts w:eastAsia="Calibri"/>
                <w:sz w:val="18"/>
                <w:szCs w:val="18"/>
                <w:lang w:eastAsia="en-US"/>
              </w:rPr>
              <w:t>«Ценовой критерий оценки первого уровня»/Цена</w:t>
            </w:r>
          </w:p>
        </w:tc>
        <w:tc>
          <w:tcPr>
            <w:tcW w:w="159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Цена договора (стоимость заявки)</w:t>
            </w:r>
          </w:p>
        </w:tc>
        <w:tc>
          <w:tcPr>
            <w:tcW w:w="1702"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90%</w:t>
              <w:br/>
              <w:t>(В</w:t>
            </w:r>
            <w:r>
              <w:rPr>
                <w:sz w:val="18"/>
                <w:szCs w:val="18"/>
                <w:vertAlign w:val="subscript"/>
                <w:lang w:eastAsia="ru-RU"/>
              </w:rPr>
              <w:t>1</w:t>
            </w:r>
            <w:r>
              <w:rPr>
                <w:sz w:val="18"/>
                <w:szCs w:val="18"/>
                <w:lang w:eastAsia="ru-RU"/>
              </w:rPr>
              <w:t xml:space="preserve"> = 0,90)</w:t>
            </w:r>
          </w:p>
        </w:tc>
        <w:tc>
          <w:tcPr>
            <w:tcW w:w="1864" w:type="dxa"/>
            <w:tcBorders/>
          </w:tcPr>
          <w:p>
            <w:pPr>
              <w:pStyle w:val="Style28"/>
              <w:widowControl w:val="false"/>
              <w:suppressAutoHyphens w:val="true"/>
              <w:spacing w:before="40" w:after="40"/>
              <w:jc w:val="center"/>
              <w:rPr/>
            </w:pPr>
            <w:r>
              <w:rPr>
                <w:rStyle w:val="Style8"/>
                <w:rFonts w:eastAsia="Calibri"/>
                <w:i w:val="false"/>
                <w:iCs w:val="false"/>
                <w:sz w:val="18"/>
                <w:szCs w:val="18"/>
                <w:shd w:fill="FFFFFF" w:val="clear"/>
                <w:lang w:eastAsia="en-US"/>
              </w:rPr>
              <w:t>Чем меньше стоимость заявки Участника, тем выше предпочтительность</w:t>
            </w:r>
          </w:p>
        </w:tc>
        <w:tc>
          <w:tcPr>
            <w:tcW w:w="4936" w:type="dxa"/>
            <w:tcBorders/>
          </w:tcPr>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28"/>
              <w:widowControl w:val="false"/>
              <w:suppressAutoHyphens w:val="true"/>
              <w:spacing w:before="40" w:after="4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en-US"/>
              </w:rPr>
              <w:t>где:</w:t>
            </w:r>
          </w:p>
          <w:p>
            <w:pPr>
              <w:pStyle w:val="Style28"/>
              <w:widowControl w:val="false"/>
              <w:suppressAutoHyphens w:val="true"/>
              <w:spacing w:before="40" w:after="40"/>
              <w:jc w:val="left"/>
              <w:rPr>
                <w:sz w:val="18"/>
                <w:szCs w:val="18"/>
              </w:rPr>
            </w:pPr>
            <w:r>
              <w:rPr>
                <w:sz w:val="18"/>
                <w:szCs w:val="18"/>
                <w:lang w:eastAsia="ru-RU"/>
              </w:rPr>
              <w:t>Б</w:t>
            </w:r>
            <w:r>
              <w:rPr>
                <w:sz w:val="18"/>
                <w:szCs w:val="18"/>
                <w:vertAlign w:val="subscript"/>
                <w:lang w:eastAsia="ru-RU"/>
              </w:rPr>
              <w:t>1</w:t>
            </w:r>
            <w:r>
              <w:rPr>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uppressAutoHyphens w:val="true"/>
              <w:spacing w:lineRule="auto" w:line="252"/>
              <w:rPr>
                <w:sz w:val="18"/>
                <w:szCs w:val="18"/>
              </w:rPr>
            </w:pPr>
            <w:r>
              <w:rPr>
                <w:sz w:val="18"/>
                <w:szCs w:val="18"/>
              </w:rPr>
              <w:t>ЦЕНА</w:t>
            </w:r>
            <w:r>
              <w:rPr>
                <w:i/>
                <w:iCs/>
                <w:sz w:val="18"/>
                <w:szCs w:val="18"/>
                <w:vertAlign w:val="subscript"/>
                <w:lang w:val="en-US"/>
              </w:rPr>
              <w:t>i</w:t>
            </w:r>
            <w:r>
              <w:rPr>
                <w:sz w:val="18"/>
                <w:szCs w:val="18"/>
              </w:rPr>
              <w:t xml:space="preserve">  – </w:t>
            </w:r>
            <w:r>
              <w:rPr>
                <w:rFonts w:eastAsia="Calibri"/>
                <w:sz w:val="18"/>
                <w:szCs w:val="18"/>
              </w:rPr>
              <w:t xml:space="preserve">цена договора (стоимость заявки), указанная в </w:t>
            </w:r>
            <w:r>
              <w:rPr>
                <w:rFonts w:eastAsia="Calibri"/>
                <w:sz w:val="18"/>
                <w:szCs w:val="18"/>
                <w:lang w:val="en-US"/>
              </w:rPr>
              <w:t>i</w:t>
            </w:r>
            <w:r>
              <w:rPr>
                <w:rFonts w:eastAsia="Calibri"/>
                <w:sz w:val="18"/>
                <w:szCs w:val="18"/>
              </w:rPr>
              <w:t xml:space="preserve">-той заявке (в Коммерческом предложении по установленной в Документации о закупке форме) допущенного Участника, </w:t>
            </w:r>
            <w:r>
              <w:rPr>
                <w:sz w:val="18"/>
                <w:szCs w:val="18"/>
              </w:rPr>
              <w:t>руб. без учета НДС;</w:t>
            </w:r>
          </w:p>
          <w:p>
            <w:pPr>
              <w:pStyle w:val="Normal"/>
              <w:widowControl w:val="false"/>
              <w:suppressAutoHyphens w:val="true"/>
              <w:spacing w:lineRule="auto" w:line="252"/>
              <w:rPr>
                <w:sz w:val="18"/>
                <w:szCs w:val="18"/>
              </w:rPr>
            </w:pPr>
            <w:r>
              <w:rPr>
                <w:sz w:val="18"/>
                <w:szCs w:val="18"/>
              </w:rPr>
              <w:t>ЦЕНА</w:t>
            </w:r>
            <w:r>
              <w:rPr>
                <w:sz w:val="18"/>
                <w:szCs w:val="18"/>
                <w:vertAlign w:val="subscript"/>
                <w:lang w:val="en-US"/>
              </w:rPr>
              <w:t>min</w:t>
            </w:r>
            <w:r>
              <w:rPr>
                <w:sz w:val="18"/>
                <w:szCs w:val="18"/>
                <w:vertAlign w:val="subscript"/>
              </w:rPr>
              <w:t xml:space="preserve"> </w:t>
            </w:r>
            <w:r>
              <w:rPr>
                <w:sz w:val="18"/>
                <w:szCs w:val="18"/>
              </w:rPr>
              <w:t>– минимальная цена договора (стоимость заявки) среди всех допущенных заявок Участников, руб. без учета НДС;</w:t>
            </w:r>
          </w:p>
          <w:p>
            <w:pPr>
              <w:pStyle w:val="22"/>
              <w:widowControl w:val="false"/>
              <w:numPr>
                <w:ilvl w:val="0"/>
                <w:numId w:val="0"/>
              </w:numPr>
              <w:tabs>
                <w:tab w:val="clear" w:pos="708"/>
                <w:tab w:val="left" w:pos="742" w:leader="none"/>
                <w:tab w:val="left" w:pos="1167" w:leader="none"/>
              </w:tabs>
              <w:spacing w:lineRule="auto" w:line="240" w:before="0" w:after="0"/>
              <w:ind w:hanging="0" w:left="0"/>
              <w:jc w:val="left"/>
              <w:rPr>
                <w:sz w:val="18"/>
                <w:szCs w:val="18"/>
              </w:rPr>
            </w:pPr>
            <w:r>
              <w:rPr>
                <w:rFonts w:ascii="Times New Roman" w:hAnsi="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0"/>
                <w:numId w:val="0"/>
              </w:numPr>
              <w:suppressAutoHyphens w:val="true"/>
              <w:spacing w:lineRule="auto" w:line="240" w:before="96" w:after="96"/>
              <w:ind w:hanging="0" w:left="0"/>
              <w:contextualSpacing/>
              <w:jc w:val="left"/>
              <w:rPr>
                <w:sz w:val="18"/>
                <w:szCs w:val="18"/>
              </w:rPr>
            </w:pPr>
            <w:r>
              <w:rPr>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18"/>
                <w:szCs w:val="18"/>
              </w:rPr>
              <w:t>.</w:t>
            </w:r>
          </w:p>
          <w:p>
            <w:pPr>
              <w:pStyle w:val="Style28"/>
              <w:widowControl w:val="false"/>
              <w:suppressAutoHyphens w:val="true"/>
              <w:spacing w:before="40" w:after="40"/>
              <w:jc w:val="left"/>
              <w:rPr/>
            </w:pPr>
            <w:r>
              <w:rPr>
                <w:rStyle w:val="Style8"/>
                <w:rFonts w:eastAsia="Calibri"/>
                <w:i w:val="false"/>
                <w:iCs w:val="false"/>
                <w:sz w:val="18"/>
                <w:szCs w:val="18"/>
                <w:shd w:fill="FFFFFF" w:val="clear"/>
                <w:lang w:eastAsia="ru-RU"/>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2.</w:t>
            </w:r>
          </w:p>
        </w:tc>
        <w:tc>
          <w:tcPr>
            <w:tcW w:w="1607" w:type="dxa"/>
            <w:tcBorders/>
          </w:tcPr>
          <w:p>
            <w:pPr>
              <w:pStyle w:val="Normal"/>
              <w:widowControl w:val="false"/>
              <w:suppressAutoHyphens w:val="true"/>
              <w:spacing w:before="120" w:after="0"/>
              <w:jc w:val="center"/>
              <w:rPr>
                <w:sz w:val="18"/>
                <w:szCs w:val="18"/>
              </w:rPr>
            </w:pPr>
            <w:r>
              <w:rPr>
                <w:rFonts w:eastAsia="Calibri"/>
                <w:sz w:val="18"/>
                <w:szCs w:val="18"/>
                <w:lang w:eastAsia="en-US"/>
              </w:rPr>
              <w:t>«Неценовой критерий оценки первого уровня;</w:t>
              <w:br/>
              <w:t>Тех</w:t>
            </w:r>
          </w:p>
        </w:tc>
        <w:tc>
          <w:tcPr>
            <w:tcW w:w="1594" w:type="dxa"/>
            <w:tcBorders/>
          </w:tcPr>
          <w:p>
            <w:pPr>
              <w:pStyle w:val="Normal"/>
              <w:widowControl w:val="false"/>
              <w:suppressAutoHyphens w:val="true"/>
              <w:spacing w:before="120" w:after="0"/>
              <w:jc w:val="center"/>
              <w:rPr>
                <w:sz w:val="18"/>
                <w:szCs w:val="18"/>
              </w:rPr>
            </w:pPr>
            <w:r>
              <w:rPr>
                <w:rFonts w:eastAsia="Calibri"/>
                <w:sz w:val="18"/>
                <w:szCs w:val="18"/>
                <w:lang w:eastAsia="en-US"/>
              </w:rPr>
              <w:t>Квалификация (предпочтительность)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2</w:t>
            </w:r>
            <w:r>
              <w:rPr>
                <w:sz w:val="18"/>
                <w:szCs w:val="18"/>
                <w:lang w:eastAsia="ru-RU"/>
              </w:rPr>
              <w:t xml:space="preserve"> = 0,05)</w:t>
            </w:r>
          </w:p>
        </w:tc>
        <w:tc>
          <w:tcPr>
            <w:tcW w:w="1864" w:type="dxa"/>
            <w:tcBorders/>
          </w:tcPr>
          <w:p>
            <w:pPr>
              <w:pStyle w:val="Normal"/>
              <w:widowControl w:val="false"/>
              <w:suppressAutoHyphens w:val="true"/>
              <w:spacing w:before="60" w:after="60"/>
              <w:jc w:val="center"/>
              <w:rPr>
                <w:sz w:val="18"/>
                <w:szCs w:val="18"/>
              </w:rPr>
            </w:pPr>
            <w:r>
              <w:rPr>
                <w:rFonts w:eastAsia="Calibri"/>
                <w:sz w:val="18"/>
                <w:szCs w:val="18"/>
                <w:lang w:eastAsia="en-US"/>
              </w:rPr>
              <w:t>Чем больше опыт (более установленного минимума), тем выше предпочтительность</w:t>
            </w:r>
          </w:p>
          <w:p>
            <w:pPr>
              <w:pStyle w:val="Normal"/>
              <w:widowControl w:val="false"/>
              <w:suppressAutoHyphens w:val="true"/>
              <w:spacing w:before="60" w:after="60"/>
              <w:rPr>
                <w:rFonts w:eastAsia="Calibri"/>
                <w:sz w:val="18"/>
                <w:szCs w:val="18"/>
                <w:lang w:eastAsia="en-US"/>
              </w:rPr>
            </w:pPr>
            <w:r>
              <w:rPr>
                <w:rFonts w:eastAsia="Calibri"/>
                <w:sz w:val="18"/>
                <w:szCs w:val="18"/>
                <w:lang w:eastAsia="en-US"/>
              </w:rPr>
            </w:r>
          </w:p>
          <w:p>
            <w:pPr>
              <w:pStyle w:val="Style28"/>
              <w:widowControl w:val="false"/>
              <w:suppressAutoHyphens w:val="true"/>
              <w:spacing w:before="40" w:after="40"/>
              <w:jc w:val="center"/>
              <w:rPr>
                <w:rFonts w:eastAsia="Calibri"/>
                <w:sz w:val="18"/>
                <w:szCs w:val="18"/>
                <w:lang w:eastAsia="en-US"/>
              </w:rPr>
            </w:pPr>
            <w:r>
              <w:rPr>
                <w:rFonts w:eastAsia="Calibri"/>
                <w:sz w:val="18"/>
                <w:szCs w:val="18"/>
                <w:lang w:eastAsia="en-US"/>
              </w:rPr>
            </w:r>
          </w:p>
        </w:tc>
        <w:tc>
          <w:tcPr>
            <w:tcW w:w="4936" w:type="dxa"/>
            <w:tcBorders/>
          </w:tcPr>
          <w:p>
            <w:pPr>
              <w:pStyle w:val="Normal"/>
              <w:widowControl w:val="false"/>
              <w:suppressAutoHyphens w:val="true"/>
              <w:spacing w:before="60" w:after="60"/>
              <w:jc w:val="both"/>
              <w:rPr>
                <w:sz w:val="18"/>
                <w:szCs w:val="18"/>
              </w:rPr>
            </w:pPr>
            <w:r>
              <w:rPr>
                <w:rFonts w:eastAsia="Calibri"/>
                <w:spacing w:val="-2"/>
                <w:sz w:val="18"/>
                <w:szCs w:val="18"/>
                <w:lang w:eastAsia="en-US"/>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90" w:after="90"/>
              <w:jc w:val="both"/>
              <w:rPr>
                <w:sz w:val="18"/>
                <w:szCs w:val="18"/>
              </w:rPr>
            </w:pPr>
            <w:r>
              <w:rPr>
                <w:rFonts w:eastAsia="Calibri"/>
                <w:spacing w:val="-2"/>
                <w:sz w:val="18"/>
                <w:szCs w:val="18"/>
                <w:lang w:eastAsia="en-US"/>
              </w:rPr>
              <w:t>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w:t>
            </w:r>
            <w:r>
              <w:rPr>
                <w:rFonts w:eastAsia="Calibri" w:cs="Times New Roman"/>
                <w:color w:val="00000A"/>
                <w:spacing w:val="-2"/>
                <w:sz w:val="18"/>
                <w:szCs w:val="18"/>
                <w:lang w:eastAsia="en-US"/>
              </w:rPr>
              <w:t xml:space="preserve">ах, подтверждающих наличие совокупного опыта (в рамках одного или нескольких договоров) выполнения работ </w:t>
            </w:r>
            <w:r>
              <w:rPr>
                <w:rFonts w:eastAsia="Calibri" w:cs="Times New Roman"/>
                <w:b/>
                <w:bCs/>
                <w:color w:val="00000A"/>
                <w:spacing w:val="-2"/>
                <w:sz w:val="18"/>
                <w:szCs w:val="18"/>
                <w:lang w:eastAsia="en-US"/>
              </w:rPr>
              <w:t xml:space="preserve">по  строительству или ремонту электрических сетей напряжением 0,4-6(10) кВ </w:t>
            </w:r>
            <w:r>
              <w:rPr>
                <w:rFonts w:eastAsia="Calibri" w:cs="Times New Roman"/>
                <w:color w:val="00000A"/>
                <w:spacing w:val="-2"/>
                <w:sz w:val="18"/>
                <w:szCs w:val="18"/>
                <w:lang w:eastAsia="en-US"/>
              </w:rPr>
              <w:t xml:space="preserve"> за последние 5 (пять) лет, предшествующих дате подачи заявки, с приложением следующих подтверждающих документов:</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договоров, подписанных с обеих сторон;</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копии актов выполненных работ по форме КС-2 подписанных с обеих сторон с указанием стоимости и наименования выполненных работ/ услуг и/или копии справок о стоимости выполненных работ и затрат по форме КС-3 подписанных с обеих сторон с указанием стоимости и наименования выполненных работ/ услуг,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сторон.и/</w:t>
            </w:r>
          </w:p>
          <w:p>
            <w:pPr>
              <w:pStyle w:val="Normal"/>
              <w:widowControl w:val="false"/>
              <w:suppressAutoHyphens w:val="true"/>
              <w:spacing w:before="40" w:after="40"/>
              <w:jc w:val="both"/>
              <w:rPr>
                <w:sz w:val="18"/>
                <w:szCs w:val="18"/>
              </w:rPr>
            </w:pPr>
            <w:r>
              <w:rPr>
                <w:rFonts w:eastAsia="Calibri" w:cs="Times New Roman"/>
                <w:color w:val="00000A"/>
                <w:spacing w:val="-2"/>
                <w:sz w:val="18"/>
                <w:szCs w:val="18"/>
                <w:lang w:eastAsia="en-US"/>
              </w:rPr>
              <w:t>- 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w:t>
            </w:r>
          </w:p>
          <w:p>
            <w:pPr>
              <w:pStyle w:val="Normal"/>
              <w:widowControl w:val="false"/>
              <w:suppressAutoHyphens w:val="true"/>
              <w:spacing w:before="40" w:after="40"/>
              <w:jc w:val="both"/>
              <w:rPr>
                <w:sz w:val="18"/>
                <w:szCs w:val="18"/>
              </w:rPr>
            </w:pPr>
            <w:r>
              <w:rPr>
                <w:rFonts w:eastAsia="Calibri"/>
                <w:spacing w:val="-2"/>
                <w:sz w:val="18"/>
                <w:szCs w:val="18"/>
                <w:lang w:eastAsia="en-US"/>
              </w:rPr>
              <w:t xml:space="preserve">Порядок осуществления оценки (значение оцениваемого параметра), в зависимости от предоставленных в i-ой заявке сведений о наличии у Участника совокупного опыта выполнения работ </w:t>
            </w:r>
            <w:r>
              <w:rPr>
                <w:rFonts w:eastAsia="Calibri" w:cs="Times New Roman"/>
                <w:b/>
                <w:bCs/>
                <w:color w:val="00000A"/>
                <w:spacing w:val="-2"/>
                <w:sz w:val="18"/>
                <w:szCs w:val="18"/>
                <w:lang w:eastAsia="en-US"/>
              </w:rPr>
              <w:t xml:space="preserve">по  строительству или ремонту электрических сетей напряжением 0,4-6(10) кВ </w:t>
            </w:r>
            <w:r>
              <w:rPr>
                <w:rFonts w:eastAsia="Calibri"/>
                <w:spacing w:val="-2"/>
                <w:sz w:val="18"/>
                <w:szCs w:val="18"/>
                <w:lang w:eastAsia="en-US"/>
              </w:rPr>
              <w:t xml:space="preserve"> за последние 5 (пять) лет, в совокупном (суммарном) объеме:</w:t>
            </w:r>
          </w:p>
          <w:tbl>
            <w:tblPr>
              <w:tblW w:w="5193" w:type="dxa"/>
              <w:jc w:val="left"/>
              <w:tblInd w:w="10" w:type="dxa"/>
              <w:tblLayout w:type="fixed"/>
              <w:tblCellMar>
                <w:top w:w="0" w:type="dxa"/>
                <w:left w:w="108" w:type="dxa"/>
                <w:bottom w:w="0" w:type="dxa"/>
                <w:right w:w="108" w:type="dxa"/>
              </w:tblCellMar>
              <w:tblLook w:val="0000" w:noHBand="0" w:noVBand="0" w:firstColumn="0" w:lastRow="0" w:lastColumn="0" w:firstRow="0"/>
            </w:tblPr>
            <w:tblGrid>
              <w:gridCol w:w="889"/>
              <w:gridCol w:w="4303"/>
            </w:tblGrid>
            <w:tr>
              <w:trPr>
                <w:trHeight w:val="415"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от 0 %(опыт отсутствует, либо не подтвержден) от НМЦ, без учета НДС, до 30% НМЦ без учета НДС (включительно)  от НМЦ, без учета НДС за последние пять лет;</w:t>
                  </w:r>
                </w:p>
              </w:tc>
            </w:tr>
            <w:tr>
              <w:trPr>
                <w:trHeight w:val="413"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30% НМЦ «без учета НДС», до 40% НМЦ  без учета НДС (включительно) от НМЦ, без учета НДС за последние пять лет;</w:t>
                  </w:r>
                </w:p>
              </w:tc>
            </w:tr>
            <w:tr>
              <w:trPr>
                <w:trHeight w:val="279" w:hRule="atLeast"/>
                <w:cantSplit w:val="true"/>
              </w:trPr>
              <w:tc>
                <w:tcPr>
                  <w:tcW w:w="889" w:type="dxa"/>
                  <w:tcBorders>
                    <w:top w:val="single" w:sz="4" w:space="0" w:color="000001"/>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4303" w:type="dxa"/>
                  <w:tcBorders>
                    <w:top w:val="single" w:sz="4" w:space="0" w:color="000001"/>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sz w:val="18"/>
                      <w:szCs w:val="18"/>
                    </w:rPr>
                  </w:pPr>
                  <w:r>
                    <w:rPr>
                      <w:rFonts w:eastAsia="Calibri" w:cs="Times New Roman" w:eastAsiaTheme="minorHAnsi"/>
                      <w:color w:val="00000A"/>
                      <w:sz w:val="18"/>
                      <w:szCs w:val="18"/>
                      <w:lang w:eastAsia="ru-RU"/>
                    </w:rPr>
                    <w:t>более 40% НМЦ «без учета НДС», до 50%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2</w:t>
                  </w:r>
                  <w:r>
                    <w:rPr>
                      <w:sz w:val="18"/>
                      <w:szCs w:val="18"/>
                    </w:rPr>
                    <w:t>  = 3</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77"/>
                    <w:contextualSpacing/>
                    <w:jc w:val="left"/>
                    <w:rPr>
                      <w:sz w:val="18"/>
                      <w:szCs w:val="18"/>
                    </w:rPr>
                  </w:pPr>
                  <w:r>
                    <w:rPr>
                      <w:rFonts w:eastAsia="Calibri" w:cs="Times New Roman" w:eastAsiaTheme="minorHAnsi"/>
                      <w:color w:val="00000A"/>
                      <w:sz w:val="18"/>
                      <w:szCs w:val="18"/>
                      <w:lang w:eastAsia="ru-RU"/>
                    </w:rPr>
                    <w:t>более 50% НМЦ «без учета НДС», до 60%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Б</w:t>
                  </w:r>
                  <w:r>
                    <w:rPr>
                      <w:sz w:val="18"/>
                      <w:szCs w:val="18"/>
                      <w:vertAlign w:val="subscript"/>
                    </w:rPr>
                    <w:t>2</w:t>
                  </w:r>
                  <w:r>
                    <w:rPr>
                      <w:sz w:val="18"/>
                      <w:szCs w:val="18"/>
                    </w:rPr>
                    <w:t xml:space="preserve"> = 4</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964"/>
                    <w:contextualSpacing/>
                    <w:jc w:val="left"/>
                    <w:rPr>
                      <w:sz w:val="18"/>
                      <w:szCs w:val="18"/>
                    </w:rPr>
                  </w:pPr>
                  <w:r>
                    <w:rPr>
                      <w:rFonts w:eastAsia="Calibri" w:cs="Times New Roman" w:eastAsiaTheme="minorHAnsi"/>
                      <w:color w:val="00000A"/>
                      <w:sz w:val="18"/>
                      <w:szCs w:val="18"/>
                      <w:lang w:eastAsia="ru-RU"/>
                    </w:rPr>
                    <w:t>более 60% НМЦ «без учета НДС», до 70% НМЦ  без учета НДС (включительно) от НМЦ, без учета НДС за последние пять лет;</w:t>
                  </w:r>
                </w:p>
              </w:tc>
            </w:tr>
            <w:tr>
              <w:trPr>
                <w:trHeight w:val="279" w:hRule="atLeast"/>
                <w:cantSplit w:val="true"/>
              </w:trPr>
              <w:tc>
                <w:tcPr>
                  <w:tcW w:w="889" w:type="dxa"/>
                  <w:tcBorders>
                    <w:bottom w:val="single" w:sz="4" w:space="0" w:color="000001"/>
                    <w:right w:val="single" w:sz="4" w:space="0" w:color="000001"/>
                  </w:tcBorders>
                  <w:shd w:color="auto" w:fill="auto" w:val="clear"/>
                  <w:vAlign w:val="center"/>
                </w:tcPr>
                <w:p>
                  <w:pPr>
                    <w:pStyle w:val="Standard"/>
                    <w:widowControl w:val="false"/>
                    <w:rPr>
                      <w:sz w:val="18"/>
                      <w:szCs w:val="18"/>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4303" w:type="dxa"/>
                  <w:tcBorders>
                    <w:left w:val="single" w:sz="4" w:space="0" w:color="000001"/>
                    <w:bottom w:val="single" w:sz="4" w:space="0" w:color="000001"/>
                    <w:right w:val="single" w:sz="4" w:space="0" w:color="000001"/>
                  </w:tcBorders>
                  <w:shd w:color="auto" w:fill="auto" w:val="clear"/>
                  <w:tcMar>
                    <w:left w:w="93" w:type="dxa"/>
                  </w:tcMar>
                  <w:vAlign w:val="center"/>
                </w:tcPr>
                <w:p>
                  <w:pPr>
                    <w:pStyle w:val="-2"/>
                    <w:widowControl w:val="false"/>
                    <w:spacing w:lineRule="auto" w:line="240" w:before="120" w:after="0"/>
                    <w:ind w:hanging="0" w:left="113" w:right="1020"/>
                    <w:contextualSpacing/>
                    <w:jc w:val="left"/>
                    <w:rPr/>
                  </w:pPr>
                  <w:r>
                    <w:rPr>
                      <w:rFonts w:eastAsia="Calibri" w:cs="Times New Roman" w:eastAsiaTheme="minorHAnsi"/>
                      <w:color w:val="00000A"/>
                      <w:sz w:val="18"/>
                      <w:szCs w:val="18"/>
                      <w:lang w:eastAsia="ru-RU"/>
                    </w:rPr>
                    <w:t>более</w:t>
                  </w:r>
                  <w:r>
                    <w:rPr>
                      <w:rStyle w:val="Annotationreference"/>
                      <w:rFonts w:eastAsia="Calibri" w:cs="Times New Roman" w:eastAsiaTheme="minorHAnsi"/>
                      <w:color w:val="00000A"/>
                      <w:sz w:val="18"/>
                      <w:szCs w:val="18"/>
                      <w:lang w:eastAsia="ru-RU"/>
                    </w:rPr>
                    <w:t xml:space="preserve"> 70% НМЦ без учета НДС от НМЦ, без учета НДС за последние пять лет;</w:t>
                  </w:r>
                </w:p>
              </w:tc>
            </w:tr>
          </w:tbl>
          <w:p>
            <w:pPr>
              <w:pStyle w:val="22"/>
              <w:keepNext w:val="true"/>
              <w:widowControl w:val="false"/>
              <w:numPr>
                <w:ilvl w:val="6"/>
                <w:numId w:val="2"/>
              </w:numPr>
              <w:spacing w:lineRule="auto" w:line="240"/>
              <w:ind w:hanging="0" w:left="0"/>
              <w:jc w:val="left"/>
              <w:rPr>
                <w:sz w:val="18"/>
                <w:szCs w:val="18"/>
              </w:rPr>
            </w:pPr>
            <w:r>
              <w:rPr>
                <w:rFonts w:ascii="Times New Roman" w:hAnsi="Times New Roman"/>
                <w:sz w:val="18"/>
                <w:szCs w:val="18"/>
              </w:rPr>
              <w:t>где:</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Б</w:t>
            </w:r>
            <w:r>
              <w:rPr>
                <w:rFonts w:eastAsia="Calibri" w:cs="Times New Roman" w:ascii="Times New Roman" w:hAnsi="Times New Roman"/>
                <w:spacing w:val="-2"/>
                <w:sz w:val="18"/>
                <w:szCs w:val="18"/>
                <w:vertAlign w:val="subscript"/>
                <w:lang w:eastAsia="en-US" w:bidi="ar-SA"/>
              </w:rPr>
              <w:t>2</w:t>
            </w:r>
            <w:r>
              <w:rPr>
                <w:rFonts w:eastAsia="Calibri" w:cs="Times New Roman" w:ascii="Times New Roman" w:hAnsi="Times New Roman"/>
                <w:spacing w:val="-2"/>
                <w:sz w:val="18"/>
                <w:szCs w:val="18"/>
                <w:lang w:eastAsia="en-US" w:bidi="ar-SA"/>
              </w:rPr>
              <w:t xml:space="preserve"> - рассчитанная оценка предпочтительности по данному частному критерию оценки в баллах.</w:t>
            </w:r>
          </w:p>
          <w:p>
            <w:pPr>
              <w:pStyle w:val="Textbody"/>
              <w:widowControl w:val="false"/>
              <w:spacing w:lineRule="auto" w:line="240" w:before="0" w:after="0"/>
              <w:ind w:hanging="0" w:right="57"/>
              <w:jc w:val="both"/>
              <w:rPr>
                <w:sz w:val="18"/>
                <w:szCs w:val="18"/>
              </w:rPr>
            </w:pPr>
            <w:r>
              <w:rPr>
                <w:rFonts w:eastAsia="Calibri" w:cs="Times New Roman" w:ascii="Times New Roman" w:hAnsi="Times New Roman"/>
                <w:spacing w:val="-2"/>
                <w:sz w:val="18"/>
                <w:szCs w:val="18"/>
                <w:lang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22"/>
              <w:widowControl w:val="false"/>
              <w:numPr>
                <w:ilvl w:val="0"/>
                <w:numId w:val="0"/>
              </w:numPr>
              <w:spacing w:lineRule="auto" w:line="240" w:before="0" w:after="60"/>
              <w:ind w:hanging="0" w:left="0"/>
              <w:rPr>
                <w:sz w:val="18"/>
                <w:szCs w:val="18"/>
              </w:rPr>
            </w:pPr>
            <w:r>
              <w:rPr>
                <w:rFonts w:ascii="Times New Roman" w:hAnsi="Times New Roman"/>
                <w:sz w:val="18"/>
                <w:szCs w:val="18"/>
              </w:rPr>
              <w:t>Опыт, несоответствующий установленным в Документации о закупке требованиям не оценивается.</w:t>
            </w:r>
          </w:p>
          <w:p>
            <w:pPr>
              <w:pStyle w:val="Style28"/>
              <w:widowControl w:val="false"/>
              <w:suppressAutoHyphens w:val="true"/>
              <w:spacing w:before="40" w:after="40"/>
              <w:jc w:val="left"/>
              <w:rPr>
                <w:sz w:val="18"/>
                <w:szCs w:val="18"/>
              </w:rPr>
            </w:pPr>
            <w:r>
              <w:rPr>
                <w:rFonts w:eastAsia="Calibri"/>
                <w:sz w:val="18"/>
                <w:szCs w:val="18"/>
                <w:lang w:eastAsia="en-US"/>
              </w:rPr>
              <w:t>Шкала оценок от 0 до 5 баллов.</w:t>
            </w:r>
          </w:p>
        </w:tc>
      </w:tr>
      <w:tr>
        <w:trPr/>
        <w:tc>
          <w:tcPr>
            <w:tcW w:w="1193" w:type="dxa"/>
            <w:tcBorders/>
          </w:tcPr>
          <w:p>
            <w:pPr>
              <w:pStyle w:val="Style28"/>
              <w:widowControl w:val="false"/>
              <w:suppressAutoHyphens w:val="true"/>
              <w:spacing w:before="120" w:after="0"/>
              <w:jc w:val="center"/>
              <w:rPr>
                <w:sz w:val="18"/>
                <w:szCs w:val="18"/>
              </w:rPr>
            </w:pPr>
            <w:r>
              <w:rPr>
                <w:rFonts w:eastAsia="Calibri"/>
                <w:sz w:val="18"/>
                <w:szCs w:val="18"/>
                <w:lang w:eastAsia="en-US"/>
              </w:rPr>
              <w:t>3.</w:t>
            </w:r>
          </w:p>
        </w:tc>
        <w:tc>
          <w:tcPr>
            <w:tcW w:w="1607" w:type="dxa"/>
            <w:tcBorders/>
          </w:tcPr>
          <w:p>
            <w:pPr>
              <w:pStyle w:val="Style28"/>
              <w:widowControl w:val="false"/>
              <w:suppressAutoHyphens w:val="true"/>
              <w:spacing w:before="120" w:after="0"/>
              <w:jc w:val="center"/>
              <w:rPr/>
            </w:pPr>
            <w:r>
              <w:rPr>
                <w:rStyle w:val="Style8"/>
                <w:rFonts w:eastAsia="Calibri"/>
                <w:i w:val="false"/>
                <w:iCs w:val="false"/>
                <w:sz w:val="18"/>
                <w:szCs w:val="18"/>
                <w:lang w:eastAsia="en-US"/>
              </w:rPr>
              <w:br/>
            </w:r>
            <w:r>
              <w:rPr>
                <w:rFonts w:eastAsia="Calibri"/>
                <w:sz w:val="18"/>
                <w:szCs w:val="18"/>
                <w:lang w:eastAsia="en-US"/>
              </w:rPr>
              <w:t>«Неценовой критерий оценки первого уровня;</w:t>
              <w:br/>
              <w:t>Орг»</w:t>
            </w:r>
          </w:p>
        </w:tc>
        <w:tc>
          <w:tcPr>
            <w:tcW w:w="1594" w:type="dxa"/>
            <w:tcBorders/>
          </w:tcPr>
          <w:p>
            <w:pPr>
              <w:pStyle w:val="Style28"/>
              <w:widowControl w:val="false"/>
              <w:suppressAutoHyphens w:val="true"/>
              <w:spacing w:before="120" w:after="0"/>
              <w:jc w:val="center"/>
              <w:rPr>
                <w:sz w:val="18"/>
                <w:szCs w:val="18"/>
              </w:rPr>
            </w:pPr>
            <w:r>
              <w:rPr>
                <w:rFonts w:eastAsia="Calibri"/>
                <w:sz w:val="18"/>
                <w:szCs w:val="18"/>
                <w:lang w:eastAsia="en-US"/>
              </w:rPr>
              <w:t>Финансовое состояние (устойчивость) Участника</w:t>
            </w:r>
          </w:p>
        </w:tc>
        <w:tc>
          <w:tcPr>
            <w:tcW w:w="1702" w:type="dxa"/>
            <w:tcBorders/>
          </w:tcPr>
          <w:p>
            <w:pPr>
              <w:pStyle w:val="Style28"/>
              <w:widowControl w:val="false"/>
              <w:suppressAutoHyphens w:val="true"/>
              <w:spacing w:before="120" w:after="0"/>
              <w:jc w:val="center"/>
              <w:rPr>
                <w:sz w:val="18"/>
                <w:szCs w:val="18"/>
              </w:rPr>
            </w:pPr>
            <w:r>
              <w:rPr>
                <w:rFonts w:eastAsia="Calibri"/>
                <w:sz w:val="18"/>
                <w:szCs w:val="18"/>
                <w:lang w:eastAsia="en-US"/>
              </w:rPr>
              <w:t>отсутствует</w:t>
            </w:r>
          </w:p>
        </w:tc>
        <w:tc>
          <w:tcPr>
            <w:tcW w:w="1622" w:type="dxa"/>
            <w:tcBorders/>
          </w:tcPr>
          <w:p>
            <w:pPr>
              <w:pStyle w:val="31"/>
              <w:widowControl w:val="false"/>
              <w:numPr>
                <w:ilvl w:val="0"/>
                <w:numId w:val="0"/>
              </w:numPr>
              <w:suppressAutoHyphens w:val="true"/>
              <w:spacing w:lineRule="auto" w:line="240" w:before="40" w:after="40"/>
              <w:ind w:hanging="0" w:left="0"/>
              <w:contextualSpacing/>
              <w:jc w:val="center"/>
              <w:rPr>
                <w:sz w:val="18"/>
                <w:szCs w:val="18"/>
              </w:rPr>
            </w:pPr>
            <w:r>
              <w:rPr>
                <w:sz w:val="18"/>
                <w:szCs w:val="18"/>
                <w:lang w:eastAsia="ru-RU"/>
              </w:rPr>
              <w:t>5%</w:t>
              <w:br/>
              <w:t>(В</w:t>
            </w:r>
            <w:r>
              <w:rPr>
                <w:sz w:val="18"/>
                <w:szCs w:val="18"/>
                <w:vertAlign w:val="subscript"/>
                <w:lang w:eastAsia="ru-RU"/>
              </w:rPr>
              <w:t>3</w:t>
            </w:r>
            <w:r>
              <w:rPr>
                <w:sz w:val="18"/>
                <w:szCs w:val="18"/>
                <w:lang w:eastAsia="ru-RU"/>
              </w:rPr>
              <w:t xml:space="preserve"> = 0,05)</w:t>
            </w:r>
          </w:p>
        </w:tc>
        <w:tc>
          <w:tcPr>
            <w:tcW w:w="1864" w:type="dxa"/>
            <w:tcBorders/>
          </w:tcPr>
          <w:p>
            <w:pPr>
              <w:pStyle w:val="Style28"/>
              <w:widowControl w:val="false"/>
              <w:suppressAutoHyphens w:val="true"/>
              <w:spacing w:before="120" w:after="0"/>
              <w:jc w:val="center"/>
              <w:rPr>
                <w:sz w:val="18"/>
                <w:szCs w:val="18"/>
              </w:rPr>
            </w:pPr>
            <w:r>
              <w:rPr>
                <w:rFonts w:eastAsia="Calibri"/>
                <w:sz w:val="18"/>
                <w:szCs w:val="18"/>
                <w:lang w:eastAsia="en-US"/>
              </w:rPr>
              <w:t>Чем выше оценка финансового состояния (устойчивости) Участника, тем выше предпочтительность</w:t>
            </w:r>
          </w:p>
        </w:tc>
        <w:tc>
          <w:tcPr>
            <w:tcW w:w="4936" w:type="dxa"/>
            <w:tcBorders/>
          </w:tcPr>
          <w:p>
            <w:pPr>
              <w:pStyle w:val="Normal"/>
              <w:widowControl w:val="false"/>
              <w:suppressAutoHyphens w:val="true"/>
              <w:spacing w:before="120" w:after="0"/>
              <w:rPr>
                <w:sz w:val="18"/>
                <w:szCs w:val="18"/>
              </w:rPr>
            </w:pPr>
            <w:r>
              <w:rPr>
                <w:rFonts w:eastAsia="Calibri"/>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before="120" w:after="0"/>
              <w:contextualSpacing/>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i/>
                <w:sz w:val="18"/>
                <w:szCs w:val="18"/>
                <w:lang w:val="en-US"/>
              </w:rPr>
              <w:t>i</w:t>
            </w:r>
            <w:r>
              <w:rPr>
                <w:sz w:val="18"/>
                <w:szCs w:val="18"/>
              </w:rPr>
              <w:t xml:space="preserve">-ой заявкой) значения расчетного балла </w:t>
            </w:r>
            <w:bookmarkStart w:id="388" w:name="_Hlk140493522"/>
            <w:r>
              <w:rPr>
                <w:sz w:val="18"/>
                <w:szCs w:val="18"/>
              </w:rPr>
              <w:t>(интегрального показателя финансового состояния)</w:t>
            </w:r>
            <w:bookmarkEnd w:id="388"/>
            <w:r>
              <w:rPr>
                <w:sz w:val="18"/>
                <w:szCs w:val="18"/>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suppressAutoHyphens w:val="true"/>
              <w:spacing w:before="120" w:after="0"/>
              <w:ind w:hanging="0" w:left="62"/>
              <w:contextualSpacing/>
              <w:rPr>
                <w:sz w:val="18"/>
                <w:szCs w:val="18"/>
              </w:rPr>
            </w:pPr>
            <w:r>
              <w:rPr>
                <w:rFonts w:eastAsia="Calibri"/>
                <w:sz w:val="18"/>
                <w:szCs w:val="18"/>
              </w:rPr>
              <w:t>- порядок проведения оценки финансового состояния (устойчивости) Участника</w:t>
            </w:r>
            <w:r>
              <w:rPr>
                <w:rStyle w:val="FootnoteReference"/>
                <w:rFonts w:eastAsia="Calibri"/>
                <w:sz w:val="18"/>
                <w:szCs w:val="18"/>
              </w:rPr>
              <w:footnoteReference w:id="13"/>
            </w:r>
            <w:r>
              <w:rPr>
                <w:rFonts w:eastAsia="Calibri"/>
                <w:sz w:val="18"/>
                <w:szCs w:val="18"/>
              </w:rPr>
              <w:t xml:space="preserve"> установлен Приложением №4 к Положению об аккредитации;</w:t>
            </w:r>
          </w:p>
          <w:p>
            <w:pPr>
              <w:pStyle w:val="Normal"/>
              <w:widowControl w:val="false"/>
              <w:suppressAutoHyphens w:val="true"/>
              <w:spacing w:before="120" w:after="0"/>
              <w:ind w:hanging="0" w:left="62"/>
              <w:contextualSpacing/>
              <w:rPr/>
            </w:pPr>
            <w:r>
              <w:rPr>
                <w:rFonts w:eastAsia="Calibri"/>
                <w:sz w:val="18"/>
                <w:szCs w:val="18"/>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r>
                <w:rPr>
                  <w:rStyle w:val="11"/>
                  <w:rFonts w:eastAsia="Calibri"/>
                  <w:sz w:val="18"/>
                  <w:szCs w:val="18"/>
                </w:rPr>
                <w:t>https://bo.nalog.ru</w:t>
              </w:r>
            </w:hyperlink>
            <w:r>
              <w:rPr>
                <w:rFonts w:eastAsia="Calibri"/>
                <w:sz w:val="18"/>
                <w:szCs w:val="18"/>
              </w:rPr>
              <w:t xml:space="preserve">) за предыдущий отчетный период (год) </w:t>
            </w:r>
            <w:r>
              <w:rPr>
                <w:sz w:val="18"/>
                <w:szCs w:val="18"/>
              </w:rPr>
              <w:t>по состоянию на дату окончания срока подачи заявок</w:t>
            </w:r>
            <w:r>
              <w:rPr>
                <w:rFonts w:eastAsia="Calibri"/>
                <w:sz w:val="18"/>
                <w:szCs w:val="18"/>
              </w:rPr>
              <w:t>.</w:t>
            </w:r>
          </w:p>
          <w:p>
            <w:pPr>
              <w:pStyle w:val="Normal"/>
              <w:widowControl w:val="false"/>
              <w:suppressAutoHyphens w:val="true"/>
              <w:spacing w:before="120" w:after="0"/>
              <w:contextualSpacing/>
              <w:rPr>
                <w:sz w:val="18"/>
                <w:szCs w:val="18"/>
              </w:rPr>
            </w:pPr>
            <w:r>
              <w:rPr>
                <w:rFonts w:eastAsia="Calibri"/>
                <w:sz w:val="18"/>
                <w:szCs w:val="18"/>
              </w:rPr>
              <w:t xml:space="preserve">Если Участник в соответствии с законодательством РФ не размещает сведения о своей бухгалтерской (финансовой) отчетности </w:t>
            </w:r>
            <w:r>
              <w:rPr>
                <w:sz w:val="18"/>
                <w:szCs w:val="18"/>
              </w:rPr>
              <w:t xml:space="preserve">(по формам ОКУД 0710001, 0710002) </w:t>
            </w:r>
            <w:r>
              <w:rPr>
                <w:rFonts w:eastAsia="Calibri"/>
                <w:sz w:val="18"/>
                <w:szCs w:val="18"/>
              </w:rPr>
              <w:t xml:space="preserve">в упомянутом государственном информационном ресурсе – оценка его финансового состояния производится на основании </w:t>
            </w:r>
            <w:r>
              <w:rPr>
                <w:sz w:val="18"/>
                <w:szCs w:val="18"/>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Fonts w:eastAsia="Calibri"/>
                <w:sz w:val="18"/>
                <w:szCs w:val="18"/>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suppressAutoHyphens w:val="true"/>
              <w:spacing w:before="120" w:after="0"/>
              <w:ind w:hanging="0"/>
              <w:contextualSpacing/>
              <w:rPr>
                <w:sz w:val="18"/>
                <w:szCs w:val="18"/>
              </w:rPr>
            </w:pPr>
            <w:r>
              <w:rPr>
                <w:sz w:val="18"/>
                <w:szCs w:val="18"/>
              </w:rPr>
              <w:t>Если Участник в соответствии с законодательством формирует отчетность по </w:t>
            </w:r>
            <w:r>
              <w:rPr>
                <w:rFonts w:eastAsia="Calibri"/>
                <w:sz w:val="18"/>
                <w:szCs w:val="18"/>
              </w:rPr>
              <w:t>формам</w:t>
            </w:r>
            <w:r>
              <w:rPr>
                <w:sz w:val="18"/>
                <w:szCs w:val="18"/>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28"/>
              <w:keepNext w:val="true"/>
              <w:widowControl w:val="false"/>
              <w:suppressAutoHyphens w:val="true"/>
              <w:spacing w:before="40" w:after="40"/>
              <w:ind w:hanging="0" w:left="344"/>
              <w:contextualSpacing/>
              <w:jc w:val="left"/>
              <w:rPr>
                <w:sz w:val="18"/>
                <w:szCs w:val="18"/>
              </w:rPr>
            </w:pPr>
            <w:r>
              <w:rPr>
                <w:sz w:val="18"/>
                <w:szCs w:val="18"/>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8"/>
              <w:keepNext w:val="true"/>
              <w:widowControl w:val="false"/>
              <w:suppressAutoHyphens w:val="true"/>
              <w:spacing w:before="40" w:after="40"/>
              <w:ind w:hanging="0" w:left="344"/>
              <w:contextualSpacing/>
              <w:jc w:val="left"/>
              <w:rPr>
                <w:sz w:val="18"/>
                <w:szCs w:val="18"/>
              </w:rPr>
            </w:pPr>
            <w:r>
              <w:rPr>
                <w:sz w:val="18"/>
                <w:szCs w:val="18"/>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uppressAutoHyphens w:val="true"/>
              <w:spacing w:before="120" w:after="120"/>
              <w:contextualSpacing/>
              <w:jc w:val="both"/>
              <w:rPr>
                <w:sz w:val="18"/>
                <w:szCs w:val="18"/>
              </w:rPr>
            </w:pPr>
            <w:r>
              <w:rPr>
                <w:rFonts w:eastAsia="Calibri"/>
                <w:color w:val="000000"/>
                <w:sz w:val="18"/>
                <w:szCs w:val="18"/>
              </w:rPr>
              <w:t>Оценка предпочтительности по частному критерию осуществляется в соответствии со следующей шкалой:</w:t>
            </w:r>
          </w:p>
          <w:tbl>
            <w:tblPr>
              <w:tblW w:w="6405" w:type="dxa"/>
              <w:jc w:val="left"/>
              <w:tblInd w:w="0" w:type="dxa"/>
              <w:tblLayout w:type="fixed"/>
              <w:tblCellMar>
                <w:top w:w="0" w:type="dxa"/>
                <w:left w:w="57" w:type="dxa"/>
                <w:bottom w:w="0" w:type="dxa"/>
                <w:right w:w="57" w:type="dxa"/>
              </w:tblCellMar>
              <w:tblLook w:val="04a0" w:noHBand="0" w:noVBand="1" w:firstColumn="1" w:lastRow="0" w:lastColumn="0" w:firstRow="1"/>
            </w:tblPr>
            <w:tblGrid>
              <w:gridCol w:w="849"/>
              <w:gridCol w:w="5555"/>
            </w:tblGrid>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0</m:t>
                      </m:r>
                    </m:oMath>
                  </m:oMathPara>
                </w:p>
              </w:tc>
              <w:tc>
                <w:tcPr>
                  <w:tcW w:w="5555" w:type="dxa"/>
                  <w:tcBorders/>
                  <w:shd w:color="auto" w:fill="auto" w:val="clear"/>
                </w:tcPr>
                <w:p>
                  <w:pPr>
                    <w:pStyle w:val="Style28"/>
                    <w:keepNext w:val="true"/>
                    <w:widowControl w:val="false"/>
                    <w:tabs>
                      <w:tab w:val="clear" w:pos="708"/>
                      <w:tab w:val="left" w:pos="4364" w:leader="none"/>
                    </w:tabs>
                    <w:spacing w:before="120" w:after="0"/>
                    <w:ind w:hanging="0" w:left="57" w:right="1304"/>
                    <w:jc w:val="left"/>
                    <w:rPr>
                      <w:sz w:val="18"/>
                      <w:szCs w:val="18"/>
                    </w:rPr>
                  </w:pPr>
                  <w:r>
                    <w:rPr>
                      <w:rFonts w:eastAsia="Calibri"/>
                      <w:sz w:val="18"/>
                      <w:szCs w:val="18"/>
                      <w:lang w:eastAsia="en-US"/>
                    </w:rPr>
                    <w:t>результат оценки финансового состояния (устойчивости): менее 0,45 баллов – Кризисное финансовое состояние</w:t>
                  </w:r>
                </w:p>
                <w:p>
                  <w:pPr>
                    <w:pStyle w:val="Style28"/>
                    <w:keepNext w:val="true"/>
                    <w:widowControl w:val="false"/>
                    <w:jc w:val="left"/>
                    <w:rPr>
                      <w:sz w:val="18"/>
                      <w:szCs w:val="18"/>
                    </w:rPr>
                  </w:pPr>
                  <w:r>
                    <w:rPr>
                      <w:rFonts w:eastAsia="Calibri"/>
                      <w:sz w:val="18"/>
                      <w:szCs w:val="18"/>
                      <w:lang w:eastAsia="en-US"/>
                    </w:rPr>
                    <w:t>или</w:t>
                  </w:r>
                </w:p>
                <w:p>
                  <w:pPr>
                    <w:pStyle w:val="Style28"/>
                    <w:keepNext w:val="true"/>
                    <w:widowControl w:val="false"/>
                    <w:ind w:hanging="0" w:left="57" w:right="1247"/>
                    <w:jc w:val="left"/>
                    <w:rPr>
                      <w:sz w:val="18"/>
                      <w:szCs w:val="18"/>
                    </w:rPr>
                  </w:pPr>
                  <w:r>
                    <w:rPr>
                      <w:rFonts w:eastAsia="Calibri"/>
                      <w:sz w:val="18"/>
                      <w:szCs w:val="18"/>
                      <w:lang w:eastAsia="en-US"/>
                    </w:rPr>
                    <w:t>в случае отсутствия исходных данных для оценки финансового состояния Участника, в том числе если он является:</w:t>
                  </w:r>
                </w:p>
                <w:p>
                  <w:pPr>
                    <w:pStyle w:val="Style28"/>
                    <w:keepNext w:val="true"/>
                    <w:widowControl w:val="false"/>
                    <w:numPr>
                      <w:ilvl w:val="0"/>
                      <w:numId w:val="18"/>
                    </w:numPr>
                    <w:bidi w:val="0"/>
                    <w:spacing w:before="120" w:after="0"/>
                    <w:ind w:hanging="0" w:left="57" w:right="1361"/>
                    <w:jc w:val="left"/>
                    <w:rPr>
                      <w:sz w:val="18"/>
                      <w:szCs w:val="18"/>
                    </w:rPr>
                  </w:pPr>
                  <w:r>
                    <w:rPr>
                      <w:rFonts w:eastAsia="Calibri"/>
                      <w:sz w:val="18"/>
                      <w:szCs w:val="18"/>
                      <w:lang w:eastAsia="en-US"/>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8"/>
                    <w:widowControl w:val="false"/>
                    <w:numPr>
                      <w:ilvl w:val="0"/>
                      <w:numId w:val="18"/>
                    </w:numPr>
                    <w:bidi w:val="0"/>
                    <w:spacing w:before="120" w:after="0"/>
                    <w:ind w:hanging="0" w:left="113" w:right="1361"/>
                    <w:jc w:val="left"/>
                    <w:rPr>
                      <w:sz w:val="18"/>
                      <w:szCs w:val="18"/>
                    </w:rPr>
                  </w:pPr>
                  <w:r>
                    <w:rPr>
                      <w:rFonts w:eastAsia="Calibri"/>
                      <w:sz w:val="18"/>
                      <w:szCs w:val="18"/>
                      <w:lang w:eastAsia="en-US"/>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3</m:t>
                      </m:r>
                    </m:oMath>
                  </m:oMathPara>
                </w:p>
              </w:tc>
              <w:tc>
                <w:tcPr>
                  <w:tcW w:w="5555" w:type="dxa"/>
                  <w:tcBorders/>
                  <w:shd w:color="auto" w:fill="auto" w:val="clear"/>
                </w:tcPr>
                <w:p>
                  <w:pPr>
                    <w:pStyle w:val="Style28"/>
                    <w:widowControl w:val="false"/>
                    <w:spacing w:before="120" w:after="0"/>
                    <w:ind w:hanging="0" w:left="57" w:right="1134"/>
                    <w:jc w:val="left"/>
                    <w:rPr>
                      <w:sz w:val="18"/>
                      <w:szCs w:val="18"/>
                    </w:rPr>
                  </w:pPr>
                  <w:r>
                    <w:rPr>
                      <w:rFonts w:eastAsia="Calibri"/>
                      <w:sz w:val="18"/>
                      <w:szCs w:val="18"/>
                      <w:lang w:eastAsia="en-US"/>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849" w:type="dxa"/>
                  <w:tcBorders/>
                  <w:shd w:color="auto" w:fill="auto" w:val="clear"/>
                </w:tcPr>
                <w:p>
                  <w:pPr>
                    <w:pStyle w:val="Style28"/>
                    <w:widowControl w:val="false"/>
                    <w:spacing w:before="120" w:after="0"/>
                    <w:jc w:val="center"/>
                    <w:rPr>
                      <w:sz w:val="18"/>
                      <w:szCs w:val="18"/>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3</m:t>
                          </m:r>
                        </m:sub>
                      </m:sSub>
                      <m:r>
                        <w:rPr>
                          <w:rFonts w:ascii="Cambria Math" w:hAnsi="Cambria Math"/>
                        </w:rPr>
                        <m:t xml:space="preserve">=</m:t>
                      </m:r>
                      <m:r>
                        <w:rPr>
                          <w:rFonts w:ascii="Cambria Math" w:hAnsi="Cambria Math"/>
                        </w:rPr>
                        <m:t xml:space="preserve">5</m:t>
                      </m:r>
                    </m:oMath>
                  </m:oMathPara>
                </w:p>
              </w:tc>
              <w:tc>
                <w:tcPr>
                  <w:tcW w:w="5555" w:type="dxa"/>
                  <w:tcBorders/>
                  <w:shd w:color="auto" w:fill="auto" w:val="clear"/>
                </w:tcPr>
                <w:p>
                  <w:pPr>
                    <w:pStyle w:val="Style28"/>
                    <w:widowControl w:val="false"/>
                    <w:spacing w:before="120" w:after="0"/>
                    <w:ind w:hanging="0" w:left="57" w:right="1077"/>
                    <w:jc w:val="left"/>
                    <w:rPr>
                      <w:sz w:val="18"/>
                      <w:szCs w:val="18"/>
                    </w:rPr>
                  </w:pPr>
                  <w:r>
                    <w:rPr>
                      <w:rFonts w:eastAsia="Calibri"/>
                      <w:sz w:val="18"/>
                      <w:szCs w:val="18"/>
                      <w:lang w:eastAsia="en-US"/>
                    </w:rPr>
                    <w:t>результат оценки финансового состояния (устойчивости): более 0,90 баллов – Удовлетворительное финансовое состояние,</w:t>
                  </w:r>
                </w:p>
              </w:tc>
            </w:tr>
          </w:tbl>
          <w:p>
            <w:pPr>
              <w:pStyle w:val="Style28"/>
              <w:widowControl w:val="false"/>
              <w:suppressAutoHyphens w:val="true"/>
              <w:jc w:val="left"/>
              <w:rPr>
                <w:sz w:val="18"/>
                <w:szCs w:val="18"/>
              </w:rPr>
            </w:pPr>
            <w:r>
              <w:rPr>
                <w:rFonts w:eastAsia="Calibri"/>
                <w:sz w:val="18"/>
                <w:szCs w:val="18"/>
                <w:lang w:eastAsia="en-US"/>
              </w:rPr>
              <w:t>где:</w:t>
            </w:r>
          </w:p>
          <w:p>
            <w:pPr>
              <w:pStyle w:val="Style28"/>
              <w:widowControl w:val="false"/>
              <w:suppressAutoHyphens w:val="true"/>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rFonts w:eastAsia="Calibri"/>
                <w:sz w:val="18"/>
                <w:szCs w:val="18"/>
                <w:lang w:eastAsia="en-US"/>
              </w:rPr>
              <w:t xml:space="preserve"> – </w:t>
            </w:r>
            <w:r>
              <w:rPr>
                <w:rFonts w:eastAsia="Calibri"/>
                <w:sz w:val="18"/>
                <w:szCs w:val="18"/>
                <w:lang w:eastAsia="en-US"/>
              </w:rPr>
              <w:t>рассчитанная оценка предпочтительности по частному критерию оценки в баллах.</w:t>
            </w:r>
          </w:p>
          <w:p>
            <w:pPr>
              <w:pStyle w:val="Style28"/>
              <w:widowControl w:val="false"/>
              <w:suppressAutoHyphens w:val="true"/>
              <w:jc w:val="left"/>
              <w:rPr>
                <w:sz w:val="18"/>
                <w:szCs w:val="18"/>
              </w:rPr>
            </w:pPr>
            <w:r>
              <w:rPr>
                <w:rFonts w:eastAsia="Calibri"/>
                <w:sz w:val="18"/>
                <w:szCs w:val="18"/>
                <w:lang w:eastAsia="en-US"/>
              </w:rPr>
              <w:t>Шкала оценок от 0 до 5 баллов.</w:t>
            </w:r>
          </w:p>
          <w:p>
            <w:pPr>
              <w:pStyle w:val="Style28"/>
              <w:widowControl w:val="false"/>
              <w:suppressAutoHyphens w:val="true"/>
              <w:jc w:val="left"/>
              <w:rPr>
                <w:sz w:val="18"/>
                <w:szCs w:val="18"/>
              </w:rPr>
            </w:pPr>
            <w:r>
              <w:rPr>
                <w:rFonts w:eastAsia="Calibri"/>
                <w:sz w:val="18"/>
                <w:szCs w:val="18"/>
                <w:lang w:eastAsia="en-US"/>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8"/>
              <w:widowControl w:val="false"/>
              <w:suppressAutoHyphens w:val="true"/>
              <w:jc w:val="left"/>
              <w:rPr/>
            </w:pPr>
            <w:r>
              <w:rPr>
                <w:rFonts w:eastAsia="Calibri"/>
                <w:sz w:val="18"/>
                <w:szCs w:val="18"/>
                <w:lang w:eastAsia="en-US"/>
              </w:rPr>
              <w:t>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4) (</w:t>
            </w:r>
            <w:hyperlink w:anchor="Прил04_ФормыЗаявки">
              <w:r>
                <w:rPr>
                  <w:rFonts w:eastAsia="Calibri"/>
                  <w:sz w:val="18"/>
                  <w:szCs w:val="18"/>
                  <w:lang w:eastAsia="en-US"/>
                </w:rPr>
                <w:t>Приложение № 4</w:t>
              </w:r>
            </w:hyperlink>
            <w:r>
              <w:rPr>
                <w:rFonts w:eastAsia="Calibri"/>
                <w:sz w:val="18"/>
                <w:szCs w:val="18"/>
                <w:lang w:eastAsia="en-US"/>
              </w:rPr>
              <w:t>), представленному в заявке такого Коллективного участника на участие в закупке.)</w:t>
            </w:r>
          </w:p>
        </w:tc>
      </w:tr>
      <w:tr>
        <w:trPr/>
        <w:tc>
          <w:tcPr>
            <w:tcW w:w="6096" w:type="dxa"/>
            <w:gridSpan w:val="4"/>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Итоговая оценка предпочтительности заявки:</w:t>
            </w:r>
          </w:p>
        </w:tc>
        <w:tc>
          <w:tcPr>
            <w:tcW w:w="8422" w:type="dxa"/>
            <w:gridSpan w:val="3"/>
            <w:tcBorders/>
          </w:tcPr>
          <w:p>
            <w:pPr>
              <w:pStyle w:val="Style28"/>
              <w:widowControl/>
              <w:suppressAutoHyphens w:val="true"/>
              <w:spacing w:before="40" w:after="40"/>
              <w:jc w:val="left"/>
              <w:rPr>
                <w:sz w:val="18"/>
                <w:szCs w:val="18"/>
              </w:rPr>
            </w:pPr>
            <w:r>
              <w:rPr>
                <w:rFonts w:eastAsia="Calibri" w:cs=""/>
                <w:kern w:val="0"/>
                <w:sz w:val="18"/>
                <w:szCs w:val="18"/>
                <w:lang w:val="ru-RU" w:eastAsia="en-US" w:bidi="ar-SA"/>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cs=""/>
                <w:kern w:val="0"/>
                <w:sz w:val="18"/>
                <w:szCs w:val="18"/>
                <w:lang w:val="ru-RU" w:eastAsia="en-US" w:bidi="ar-SA"/>
              </w:rPr>
              <w:t>-ой заявки:</w:t>
            </w:r>
          </w:p>
          <w:p>
            <w:pPr>
              <w:pStyle w:val="Style28"/>
              <w:widowControl/>
              <w:suppressAutoHyphens w:val="tru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8"/>
              <w:widowControl/>
              <w:suppressAutoHyphens w:val="true"/>
              <w:spacing w:before="40" w:after="40"/>
              <w:jc w:val="left"/>
              <w:rPr>
                <w:sz w:val="18"/>
                <w:szCs w:val="18"/>
              </w:rPr>
            </w:pPr>
            <w:r>
              <w:rPr>
                <w:rFonts w:eastAsia="Calibri" w:cs=""/>
                <w:kern w:val="0"/>
                <w:sz w:val="18"/>
                <w:szCs w:val="18"/>
                <w:lang w:val="ru-RU" w:eastAsia="en-US" w:bidi="ar-SA"/>
              </w:rPr>
              <w:t>где:</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рассчитанная итоговая оценка предпочтительности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-тому критерию оценки первого уровня в баллах;</w:t>
            </w:r>
          </w:p>
          <w:p>
            <w:pPr>
              <w:pStyle w:val="Style28"/>
              <w:widowControl/>
              <w:suppressAutoHyphens w:val="tru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cs=""/>
                <w:kern w:val="0"/>
                <w:sz w:val="18"/>
                <w:szCs w:val="18"/>
                <w:lang w:val="ru-RU" w:eastAsia="en-US" w:bidi="ar-SA"/>
              </w:rPr>
              <w:t xml:space="preserve"> – </w:t>
            </w:r>
            <w:r>
              <w:rPr>
                <w:rFonts w:eastAsia="Calibri" w:cs=""/>
                <w:kern w:val="0"/>
                <w:sz w:val="18"/>
                <w:szCs w:val="18"/>
                <w:lang w:val="ru-RU" w:eastAsia="en-US" w:bidi="ar-SA"/>
              </w:rPr>
              <w:t xml:space="preserve">значимость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cs=""/>
                <w:kern w:val="0"/>
                <w:sz w:val="18"/>
                <w:szCs w:val="18"/>
                <w:lang w:val="ru-RU" w:eastAsia="en-US" w:bidi="ar-SA"/>
              </w:rPr>
              <w:t>-ого критерия оценки первого уровня.</w:t>
            </w:r>
          </w:p>
          <w:p>
            <w:pPr>
              <w:pStyle w:val="Style28"/>
              <w:widowControl/>
              <w:suppressAutoHyphens w:val="true"/>
              <w:spacing w:before="40" w:after="40"/>
              <w:jc w:val="left"/>
              <w:rPr>
                <w:i/>
                <w:i/>
                <w:iCs/>
                <w:sz w:val="18"/>
                <w:szCs w:val="18"/>
              </w:rPr>
            </w:pPr>
            <w:r>
              <w:rPr>
                <w:rFonts w:eastAsia="Calibri" w:cs=""/>
                <w:i/>
                <w:iCs/>
                <w:kern w:val="0"/>
                <w:sz w:val="18"/>
                <w:szCs w:val="18"/>
                <w:lang w:val="ru-RU" w:eastAsia="en-US" w:bidi="ar-SA"/>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4"/>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4"/>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4"/>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2"/>
        <w:rPr/>
      </w:pPr>
      <w:bookmarkStart w:id="389" w:name="_Toc228877733"/>
      <w:bookmarkStart w:id="390" w:name="_Ref125360420"/>
      <w:bookmarkStart w:id="391" w:name="Прил09_ОбоснованиеНМЦ"/>
      <w:bookmarkEnd w:id="391"/>
      <w:r>
        <w:rPr/>
        <w:t>Приложение № 9 – Обоснование НМЦ</w:t>
      </w:r>
      <w:bookmarkEnd w:id="389"/>
      <w:bookmarkEnd w:id="390"/>
    </w:p>
    <w:p>
      <w:pPr>
        <w:pStyle w:val="Style23"/>
        <w:rPr/>
      </w:pPr>
      <w:bookmarkStart w:id="392" w:name="_Toc228877734"/>
      <w:r>
        <w:rPr/>
        <w:t>Пояснения к Обоснованию НМЦ</w:t>
      </w:r>
      <w:bookmarkEnd w:id="392"/>
    </w:p>
    <w:p>
      <w:pPr>
        <w:pStyle w:val="Style24"/>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2"/>
        <w:rPr/>
      </w:pPr>
      <w:bookmarkStart w:id="393" w:name="_Toc228877735"/>
      <w:bookmarkStart w:id="394" w:name="Прил10_ФормаЗаявкиНаАккредитацию"/>
      <w:bookmarkEnd w:id="394"/>
      <w:r>
        <w:rPr/>
        <w:t>Приложение № 10 – Форма Заявки на аккредитацию</w:t>
      </w:r>
      <w:bookmarkEnd w:id="393"/>
    </w:p>
    <w:p>
      <w:pPr>
        <w:pStyle w:val="Style23"/>
        <w:rPr/>
      </w:pPr>
      <w:bookmarkStart w:id="395" w:name="_Toc228877736"/>
      <w:r>
        <w:rPr/>
        <w:t>Пояснения к форме Заявки на аккредитацию</w:t>
      </w:r>
      <w:bookmarkEnd w:id="395"/>
    </w:p>
    <w:p>
      <w:pPr>
        <w:pStyle w:val="Style24"/>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4"/>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6"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6"/>
      <w:r>
        <w:rPr/>
        <w:t>.</w:t>
      </w:r>
    </w:p>
    <w:p>
      <w:pPr>
        <w:pStyle w:val="Style28"/>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1211069012" r:id="rId36"/>
        </w:object>
      </w:r>
    </w:p>
    <w:p>
      <w:pPr>
        <w:pStyle w:val="Style22"/>
        <w:rPr/>
      </w:pPr>
      <w:bookmarkStart w:id="397" w:name="_Toc228877737"/>
      <w:bookmarkStart w:id="398" w:name="Прил11_Данные_бухотчетность"/>
      <w:r>
        <w:rPr/>
        <w:t xml:space="preserve">Приложение № 11 </w:t>
      </w:r>
      <w:bookmarkEnd w:id="398"/>
      <w:r>
        <w:rPr/>
        <w:t>– форма Данных бухгалтерской (финансовой) отчетности</w:t>
      </w:r>
      <w:bookmarkEnd w:id="397"/>
    </w:p>
    <w:p>
      <w:pPr>
        <w:pStyle w:val="Style23"/>
        <w:rPr/>
      </w:pPr>
      <w:bookmarkStart w:id="399" w:name="_Toc228877738"/>
      <w:r>
        <w:rPr/>
        <w:t>Пояснения к форме Данных бухгалтерской (финансовой) отчетности</w:t>
      </w:r>
      <w:bookmarkEnd w:id="399"/>
      <w:r>
        <w:rPr/>
        <w:t xml:space="preserve"> </w:t>
      </w:r>
    </w:p>
    <w:p>
      <w:pPr>
        <w:pStyle w:val="Style24"/>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0" w:name="_MON_1821256687"/>
      <w:bookmarkStart w:id="401" w:name="_MON_1821256687"/>
      <w:bookmarkEnd w:id="401"/>
    </w:p>
    <w:p>
      <w:pPr>
        <w:pStyle w:val="Normal"/>
        <w:jc w:val="center"/>
        <w:rPr/>
      </w:pPr>
      <w:bookmarkStart w:id="402" w:name="_Hlk210644436"/>
      <w:bookmarkStart w:id="403" w:name="_MON_1821256687_Копия_1"/>
      <w:bookmarkEnd w:id="403"/>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1723841482" r:id="rId38"/>
        </w:object>
      </w:r>
      <w:bookmarkEnd w:id="402"/>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Calibri">
    <w:charset w:val="01"/>
    <w:family w:val="roman"/>
    <w:pitch w:val="variable"/>
  </w:font>
  <w:font w:name="Liberation Serif">
    <w:altName w:val="Times New Roman"/>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875599"/>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7999520"/>
    </w:sdtPr>
    <w:sdtContent>
      <w:p>
        <w:pPr>
          <w:pStyle w:val="Footer"/>
          <w:spacing w:before="120" w:after="0"/>
          <w:rPr/>
        </w:pPr>
        <w:r>
          <w:rPr/>
          <w:fldChar w:fldCharType="begin"/>
        </w:r>
        <w:r>
          <w:rPr/>
          <w:instrText xml:space="preserve"> PAGE </w:instrText>
        </w:r>
        <w:r>
          <w:rPr/>
          <w:fldChar w:fldCharType="separate"/>
        </w:r>
        <w:r>
          <w:rPr/>
          <w:t>22</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82347390"/>
    </w:sdtPr>
    <w:sdtContent>
      <w:p>
        <w:pPr>
          <w:pStyle w:val="Footer"/>
          <w:spacing w:before="120" w:after="0"/>
          <w:rPr/>
        </w:pPr>
        <w:r>
          <w:rPr/>
          <w:fldChar w:fldCharType="begin"/>
        </w:r>
        <w:r>
          <w:rPr/>
          <w:instrText xml:space="preserve"> PAGE </w:instrText>
        </w:r>
        <w:r>
          <w:rPr/>
          <w:fldChar w:fldCharType="separate"/>
        </w:r>
        <w:r>
          <w:rPr/>
          <w:t>50</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83941778"/>
    </w:sdtPr>
    <w:sdtContent>
      <w:p>
        <w:pPr>
          <w:pStyle w:val="Footer"/>
          <w:spacing w:before="120" w:after="0"/>
          <w:rPr/>
        </w:pPr>
        <w:r>
          <w:rPr/>
          <w:fldChar w:fldCharType="begin"/>
        </w:r>
        <w:r>
          <w:rPr/>
          <w:instrText xml:space="preserve"> PAGE </w:instrText>
        </w:r>
        <w:r>
          <w:rPr/>
          <w:fldChar w:fldCharType="separate"/>
        </w:r>
        <w:r>
          <w:rPr/>
          <w:t>55</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225677289"/>
    </w:sdtPr>
    <w:sdtContent>
      <w:p>
        <w:pPr>
          <w:pStyle w:val="Footer"/>
          <w:spacing w:before="120" w:after="0"/>
          <w:rPr/>
        </w:pPr>
        <w:r>
          <w:rPr/>
          <w:fldChar w:fldCharType="begin"/>
        </w:r>
        <w:r>
          <w:rPr/>
          <w:instrText xml:space="preserve"> PAGE </w:instrText>
        </w:r>
        <w:r>
          <w:rPr/>
          <w:fldChar w:fldCharType="separate"/>
        </w:r>
        <w:r>
          <w:rPr/>
          <w:t>61</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600831264"/>
    </w:sdtPr>
    <w:sdtContent>
      <w:p>
        <w:pPr>
          <w:pStyle w:val="Footer"/>
          <w:spacing w:before="120" w:after="0"/>
          <w:rPr/>
        </w:pPr>
        <w:r>
          <w:rPr/>
          <w:fldChar w:fldCharType="begin"/>
        </w:r>
        <w:r>
          <w:rPr/>
          <w:instrText xml:space="preserve"> PAGE </w:instrText>
        </w:r>
        <w:r>
          <w:rPr/>
          <w:fldChar w:fldCharType="separate"/>
        </w:r>
        <w:r>
          <w:rPr/>
          <w:t>70</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79157679"/>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0"/>
        <w:spacing w:before="80" w:after="0"/>
        <w:ind w:hanging="567" w:left="567"/>
        <w:jc w:val="both"/>
        <w:rPr/>
      </w:pPr>
      <w:r>
        <w:rPr>
          <w:rStyle w:val="Style10"/>
        </w:rPr>
        <w:footnoteRef/>
      </w:r>
      <w:r>
        <w:rPr/>
        <w:tab/>
        <w:t>Определенные в соответствии с Законом 422-ФЗ.</w:t>
      </w:r>
    </w:p>
  </w:footnote>
  <w:footnote w:id="3">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0"/>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0"/>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0"/>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0"/>
        <w:spacing w:before="80" w:after="0"/>
        <w:ind w:hanging="567" w:left="567"/>
        <w:jc w:val="both"/>
        <w:rPr/>
      </w:pPr>
      <w:r>
        <w:rPr>
          <w:rStyle w:val="Style10"/>
        </w:rPr>
        <w:footnoteRef/>
      </w:r>
      <w:r>
        <w:rPr/>
        <w:tab/>
        <w:t>https://minfin.gov.ru/ru/perfomance/tax_relations/policy/bankwarranty/</w:t>
      </w:r>
    </w:p>
  </w:footnote>
  <w:footnote w:id="11">
    <w:p>
      <w:pPr>
        <w:pStyle w:val="Style30"/>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0"/>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2"/>
      <w:numFmt w:val="decimal"/>
      <w:lvlText w:val="%1."/>
      <w:lvlJc w:val="left"/>
      <w:pPr>
        <w:tabs>
          <w:tab w:val="num" w:pos="1134"/>
        </w:tabs>
        <w:ind w:left="1134" w:hanging="1134"/>
      </w:pPr>
      <w:rPr/>
    </w:lvl>
    <w:lvl w:ilvl="1">
      <w:start w:val="1"/>
      <w:pStyle w:val="Style23"/>
      <w:numFmt w:val="decimal"/>
      <w:lvlText w:val="%1.%2"/>
      <w:lvlJc w:val="left"/>
      <w:pPr>
        <w:tabs>
          <w:tab w:val="num" w:pos="1134"/>
        </w:tabs>
        <w:ind w:left="1134" w:hanging="1134"/>
      </w:pPr>
      <w:rPr/>
    </w:lvl>
    <w:lvl w:ilvl="2">
      <w:start w:val="1"/>
      <w:pStyle w:val="Style24"/>
      <w:numFmt w:val="decimal"/>
      <w:lvlText w:val="%1.%2.%3"/>
      <w:lvlJc w:val="left"/>
      <w:pPr>
        <w:tabs>
          <w:tab w:val="num" w:pos="1134"/>
        </w:tabs>
        <w:ind w:left="1134" w:hanging="1134"/>
      </w:pPr>
      <w:rPr/>
    </w:lvl>
    <w:lvl w:ilvl="3">
      <w:start w:val="1"/>
      <w:pStyle w:val="Style25"/>
      <w:numFmt w:val="russianLower"/>
      <w:lvlText w:val="%4)"/>
      <w:lvlJc w:val="left"/>
      <w:pPr>
        <w:tabs>
          <w:tab w:val="num" w:pos="1701"/>
        </w:tabs>
        <w:ind w:left="1701" w:hanging="567"/>
      </w:pPr>
      <w:rPr/>
    </w:lvl>
    <w:lvl w:ilvl="4">
      <w:start w:val="1"/>
      <w:pStyle w:val="Style26"/>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w="http://schemas.openxmlformats.org/wordprocessingml/2006/main">
  <w:zoom w:percent="106"/>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2"/>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5"/>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11">
    <w:name w:val="Гиперссылка1"/>
    <w:qFormat/>
    <w:rPr>
      <w:color w:val="000080"/>
      <w:u w:val="single"/>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Style22" w:customStyle="1">
    <w:name w:val="[РГ] Раздел"/>
    <w:basedOn w:val="Normal"/>
    <w:next w:val="Style23"/>
    <w:qFormat/>
    <w:rsid w:val="00c95e18"/>
    <w:pPr>
      <w:keepNext w:val="true"/>
      <w:pageBreakBefore/>
      <w:numPr>
        <w:ilvl w:val="0"/>
        <w:numId w:val="1"/>
      </w:numPr>
      <w:spacing w:before="0" w:after="360"/>
      <w:jc w:val="both"/>
      <w:outlineLvl w:val="0"/>
    </w:pPr>
    <w:rPr>
      <w:b/>
      <w:bCs/>
      <w:caps/>
    </w:rPr>
  </w:style>
  <w:style w:type="paragraph" w:styleId="Style23" w:customStyle="1">
    <w:name w:val="[РГ] Подраздел"/>
    <w:basedOn w:val="Normal"/>
    <w:next w:val="Style24"/>
    <w:qFormat/>
    <w:rsid w:val="00891546"/>
    <w:pPr>
      <w:keepNext w:val="true"/>
      <w:numPr>
        <w:ilvl w:val="1"/>
        <w:numId w:val="1"/>
      </w:numPr>
      <w:spacing w:before="360" w:after="0"/>
      <w:jc w:val="both"/>
      <w:outlineLvl w:val="1"/>
    </w:pPr>
    <w:rPr>
      <w:b/>
      <w:bCs/>
    </w:rPr>
  </w:style>
  <w:style w:type="paragraph" w:styleId="Style24" w:customStyle="1">
    <w:name w:val="[РГ] Пункт"/>
    <w:basedOn w:val="Normal"/>
    <w:qFormat/>
    <w:rsid w:val="00891546"/>
    <w:pPr>
      <w:numPr>
        <w:ilvl w:val="2"/>
        <w:numId w:val="1"/>
      </w:numPr>
      <w:jc w:val="both"/>
      <w:outlineLvl w:val="2"/>
    </w:pPr>
    <w:rPr/>
  </w:style>
  <w:style w:type="paragraph" w:styleId="Style25" w:customStyle="1">
    <w:name w:val="[РГ] Подпункт"/>
    <w:basedOn w:val="Normal"/>
    <w:qFormat/>
    <w:rsid w:val="00891546"/>
    <w:pPr>
      <w:numPr>
        <w:ilvl w:val="3"/>
        <w:numId w:val="1"/>
      </w:numPr>
      <w:jc w:val="both"/>
      <w:outlineLvl w:val="3"/>
    </w:pPr>
    <w:rPr/>
  </w:style>
  <w:style w:type="paragraph" w:styleId="Style26" w:customStyle="1">
    <w:name w:val="[РГ] Перечисление"/>
    <w:basedOn w:val="Normal"/>
    <w:qFormat/>
    <w:rsid w:val="00891546"/>
    <w:pPr>
      <w:numPr>
        <w:ilvl w:val="4"/>
        <w:numId w:val="1"/>
      </w:numPr>
      <w:jc w:val="both"/>
      <w:outlineLvl w:val="4"/>
    </w:pPr>
    <w:rPr/>
  </w:style>
  <w:style w:type="paragraph" w:styleId="Style27" w:customStyle="1">
    <w:name w:val="[РГ] Заголовок"/>
    <w:basedOn w:val="Normal"/>
    <w:next w:val="Style28"/>
    <w:qFormat/>
    <w:rsid w:val="00f87384"/>
    <w:pPr>
      <w:keepNext w:val="true"/>
      <w:pageBreakBefore/>
      <w:spacing w:before="0" w:after="360"/>
      <w:jc w:val="both"/>
    </w:pPr>
    <w:rPr>
      <w:b/>
      <w:bCs/>
      <w:caps/>
    </w:rPr>
  </w:style>
  <w:style w:type="paragraph" w:styleId="Style28" w:customStyle="1">
    <w:name w:val="[РГ] Текст"/>
    <w:basedOn w:val="Normal"/>
    <w:qFormat/>
    <w:rsid w:val="00891546"/>
    <w:pPr>
      <w:jc w:val="both"/>
    </w:pPr>
    <w:rPr/>
  </w:style>
  <w:style w:type="paragraph" w:styleId="Style29">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0" w:customStyle="1">
    <w:name w:val="[РГ] Сноска"/>
    <w:basedOn w:val="FootnoteText"/>
    <w:qFormat/>
    <w:rsid w:val="006608d1"/>
    <w:pPr>
      <w:spacing w:before="80" w:after="0"/>
      <w:ind w:hanging="567" w:left="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hanging="851" w:left="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hanging="851" w:left="851"/>
    </w:pPr>
    <w:rPr>
      <w:b/>
      <w:caps/>
    </w:rPr>
  </w:style>
  <w:style w:type="paragraph" w:styleId="TOC3">
    <w:name w:val="TOC 3"/>
    <w:basedOn w:val="Normal"/>
    <w:next w:val="Normal"/>
    <w:autoRedefine/>
    <w:uiPriority w:val="39"/>
    <w:unhideWhenUsed/>
    <w:rsid w:val="009c217f"/>
    <w:pPr>
      <w:spacing w:lineRule="auto" w:line="259" w:before="0" w:after="100"/>
      <w:ind w:left="44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1" w:customStyle="1">
    <w:name w:val="[РГ] Альтернатива / Дополнение"/>
    <w:basedOn w:val="Style28"/>
    <w:next w:val="Style28"/>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contextualSpacing/>
    </w:pPr>
    <w:rPr/>
  </w:style>
  <w:style w:type="paragraph" w:styleId="Style32" w:customStyle="1">
    <w:name w:val="Пункт"/>
    <w:basedOn w:val="Normal"/>
    <w:link w:val="2"/>
    <w:qFormat/>
    <w:rsid w:val="00493761"/>
    <w:pPr>
      <w:numPr>
        <w:ilvl w:val="2"/>
        <w:numId w:val="10"/>
      </w:numPr>
      <w:jc w:val="both"/>
    </w:pPr>
    <w:rPr>
      <w:rFonts w:eastAsia="Times New Roman" w:cs="Times New Roman"/>
      <w:szCs w:val="26"/>
      <w:lang w:eastAsia="ru-RU"/>
    </w:rPr>
  </w:style>
  <w:style w:type="paragraph" w:styleId="Style33" w:customStyle="1">
    <w:name w:val="Подпункт"/>
    <w:basedOn w:val="Style32"/>
    <w:qFormat/>
    <w:rsid w:val="00493761"/>
    <w:pPr>
      <w:numPr>
        <w:ilvl w:val="3"/>
      </w:numPr>
      <w:tabs>
        <w:tab w:val="clear" w:pos="708"/>
      </w:tabs>
      <w:ind w:hanging="360" w:left="2880"/>
    </w:pPr>
    <w:rPr/>
  </w:style>
  <w:style w:type="paragraph" w:styleId="Style34" w:customStyle="1">
    <w:name w:val="Подподпункт"/>
    <w:basedOn w:val="Style33"/>
    <w:qFormat/>
    <w:rsid w:val="00493761"/>
    <w:pPr>
      <w:numPr>
        <w:ilvl w:val="4"/>
      </w:numPr>
      <w:ind w:hanging="360" w:left="360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5"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22">
    <w:name w:val="УРОВЕНЬ_Абзац_тип2"/>
    <w:qFormat/>
    <w:pPr>
      <w:widowControl/>
      <w:suppressAutoHyphens w:val="true"/>
      <w:bidi w:val="0"/>
      <w:spacing w:lineRule="exact" w:line="360" w:before="0" w:after="0"/>
      <w:ind w:hanging="0" w:left="720"/>
      <w:jc w:val="both"/>
    </w:pPr>
    <w:rPr>
      <w:rFonts w:ascii="Calibri" w:hAnsi="Calibri" w:eastAsia="Calibri" w:cs="Calibri"/>
      <w:color w:val="00000A"/>
      <w:kern w:val="0"/>
      <w:sz w:val="26"/>
      <w:szCs w:val="28"/>
      <w:lang w:val="ru-RU" w:eastAsia="en-US" w:bidi="ar-SA"/>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ListParagraph"/>
    <w:qFormat/>
    <w:pPr>
      <w:spacing w:lineRule="exact" w:line="360"/>
      <w:jc w:val="both"/>
      <w:outlineLvl w:val="4"/>
    </w:pPr>
    <w:rPr>
      <w:rFonts w:eastAsia="Calibri" w:eastAsiaTheme="minorHAns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ender.lot-online.ru/" TargetMode="External"/><Relationship Id="rId3" Type="http://schemas.openxmlformats.org/officeDocument/2006/relationships/hyperlink" Target="https://tender.lot-online.ru/app/EtpDocList/page" TargetMode="External"/><Relationship Id="rId4" Type="http://schemas.openxmlformats.org/officeDocument/2006/relationships/hyperlink" Target="mailto:zayarnaya-gs@drsk.ru" TargetMode="External"/><Relationship Id="rId5" Type="http://schemas.openxmlformats.org/officeDocument/2006/relationships/hyperlink" Target="mailto:zayarnaya-gs@drsk.ru" TargetMode="External"/><Relationship Id="rId6" Type="http://schemas.openxmlformats.org/officeDocument/2006/relationships/hyperlink" Target="mailto:zayarnaya-gs@drsk.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package" Target="embeddings/oleObject1.docx"/><Relationship Id="rId14" Type="http://schemas.openxmlformats.org/officeDocument/2006/relationships/image" Target="media/image1.wmf"/><Relationship Id="rId15" Type="http://schemas.openxmlformats.org/officeDocument/2006/relationships/header" Target="header4.xml"/><Relationship Id="rId16" Type="http://schemas.openxmlformats.org/officeDocument/2006/relationships/header" Target="header5.xml"/><Relationship Id="rId17" Type="http://schemas.openxmlformats.org/officeDocument/2006/relationships/footer" Target="footer4.xml"/><Relationship Id="rId18" Type="http://schemas.openxmlformats.org/officeDocument/2006/relationships/footer" Target="footer5.xm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2.wmf"/><Relationship Id="rId25" Type="http://schemas.openxmlformats.org/officeDocument/2006/relationships/package" Target="embeddings/oleObject3.docx"/><Relationship Id="rId26" Type="http://schemas.openxmlformats.org/officeDocument/2006/relationships/image" Target="media/image3.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4.wmf"/><Relationship Id="rId38" Type="http://schemas.openxmlformats.org/officeDocument/2006/relationships/package" Target="embeddings/oleObject5.docx"/><Relationship Id="rId39" Type="http://schemas.openxmlformats.org/officeDocument/2006/relationships/image" Target="media/image5.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Application>AlterOffice/2026.2.1.0$Linux_X86_64 LibreOffice_project/f008988ffacaa0b2bf57911c2759d08ca79831df</Application>
  <AppVersion>15.0000</AppVersion>
  <Pages>77</Pages>
  <Words>19154</Words>
  <Characters>131353</Characters>
  <CharactersWithSpaces>148264</CharactersWithSpaces>
  <Paragraphs>1081</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zayarnaya_gs</cp:lastModifiedBy>
  <cp:lastPrinted>2026-09-18T11:33:10Z</cp:lastPrinted>
  <dcterms:modified xsi:type="dcterms:W3CDTF">2026-09-25T14:17:22Z</dcterms:modified>
  <cp:revision>163</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