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tabs>
          <w:tab w:val="clear" w:pos="708"/>
          <w:tab w:val="center" w:pos="4961" w:leader="none"/>
          <w:tab w:val="left" w:pos="6030" w:leader="none"/>
        </w:tabs>
        <w:jc w:val="center"/>
        <w:rPr>
          <w:rFonts w:ascii="Times New Roman" w:hAnsi="Times New Roman" w:cs="Times New Roman"/>
          <w:b/>
          <w:sz w:val="24"/>
          <w:szCs w:val="24"/>
        </w:rPr>
      </w:pPr>
      <w:r>
        <w:rPr>
          <w:rFonts w:cs="Times New Roman" w:ascii="Times New Roman" w:hAnsi="Times New Roman"/>
          <w:b/>
          <w:sz w:val="24"/>
          <w:szCs w:val="24"/>
        </w:rPr>
        <w:t xml:space="preserve">Договор №  </w:t>
      </w:r>
      <w:r>
        <w:rPr>
          <w:rFonts w:cs="Times New Roman" w:ascii="Times New Roman" w:hAnsi="Times New Roman"/>
          <w:b/>
          <w:sz w:val="24"/>
          <w:szCs w:val="24"/>
          <w:shd w:fill="FFFF00" w:val="clear"/>
        </w:rPr>
        <w:t xml:space="preserve">           </w:t>
      </w:r>
    </w:p>
    <w:p>
      <w:pPr>
        <w:pStyle w:val="NoSpacing"/>
        <w:jc w:val="center"/>
        <w:rPr>
          <w:rFonts w:ascii="Times New Roman" w:hAnsi="Times New Roman" w:cs="Times New Roman"/>
          <w:b/>
          <w:sz w:val="24"/>
          <w:szCs w:val="24"/>
        </w:rPr>
      </w:pPr>
      <w:r>
        <w:rPr>
          <w:rFonts w:cs="Times New Roman" w:ascii="Times New Roman" w:hAnsi="Times New Roman"/>
          <w:b/>
          <w:sz w:val="24"/>
          <w:szCs w:val="24"/>
        </w:rPr>
        <w:t xml:space="preserve">об оказании услуг по проведению проверок в целях аттестации сил </w:t>
      </w:r>
      <w:bookmarkStart w:id="0" w:name="_Hlk494472280"/>
      <w:r>
        <w:rPr>
          <w:rFonts w:cs="Times New Roman" w:ascii="Times New Roman" w:hAnsi="Times New Roman"/>
          <w:b/>
          <w:sz w:val="24"/>
          <w:szCs w:val="24"/>
        </w:rPr>
        <w:t>обеспечения транспортной безопасности</w:t>
      </w:r>
      <w:bookmarkEnd w:id="0"/>
    </w:p>
    <w:tbl>
      <w:tblPr>
        <w:tblW w:w="5000" w:type="pct"/>
        <w:jc w:val="left"/>
        <w:tblInd w:w="55" w:type="dxa"/>
        <w:tblLayout w:type="fixed"/>
        <w:tblCellMar>
          <w:top w:w="55" w:type="dxa"/>
          <w:left w:w="55" w:type="dxa"/>
          <w:bottom w:w="55" w:type="dxa"/>
          <w:right w:w="55" w:type="dxa"/>
        </w:tblCellMar>
      </w:tblPr>
      <w:tblGrid>
        <w:gridCol w:w="4960"/>
        <w:gridCol w:w="4961"/>
      </w:tblGrid>
      <w:tr>
        <w:trPr/>
        <w:tc>
          <w:tcPr>
            <w:tcW w:w="4960" w:type="dxa"/>
            <w:tcBorders/>
          </w:tcPr>
          <w:p>
            <w:pPr>
              <w:pStyle w:val="Style14"/>
              <w:spacing w:before="0" w:after="160"/>
              <w:rPr>
                <w:rFonts w:ascii="Times New Roman" w:hAnsi="Times New Roman" w:cs="Times New Roman"/>
                <w:sz w:val="24"/>
                <w:szCs w:val="24"/>
              </w:rPr>
            </w:pPr>
            <w:r>
              <w:rPr>
                <w:rFonts w:cs="Times New Roman" w:ascii="Times New Roman" w:hAnsi="Times New Roman"/>
                <w:sz w:val="24"/>
                <w:szCs w:val="24"/>
              </w:rPr>
              <w:t>г. Владивосток</w:t>
            </w:r>
          </w:p>
        </w:tc>
        <w:tc>
          <w:tcPr>
            <w:tcW w:w="4961" w:type="dxa"/>
            <w:tcBorders/>
          </w:tcPr>
          <w:p>
            <w:pPr>
              <w:pStyle w:val="Style14"/>
              <w:spacing w:before="0" w:after="160"/>
              <w:jc w:val="right"/>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___</w:t>
            </w:r>
            <w:r>
              <w:rPr>
                <w:rFonts w:cs="Times New Roman" w:ascii="Times New Roman" w:hAnsi="Times New Roman"/>
                <w:sz w:val="24"/>
                <w:szCs w:val="24"/>
              </w:rPr>
              <w:t xml:space="preserve">» </w:t>
            </w:r>
            <w:r>
              <w:rPr>
                <w:rFonts w:cs="Times New Roman" w:ascii="Times New Roman" w:hAnsi="Times New Roman"/>
                <w:sz w:val="24"/>
                <w:szCs w:val="24"/>
              </w:rPr>
              <w:t>__________</w:t>
            </w:r>
            <w:r>
              <w:rPr>
                <w:rFonts w:cs="Times New Roman" w:ascii="Times New Roman" w:hAnsi="Times New Roman"/>
                <w:sz w:val="24"/>
                <w:szCs w:val="24"/>
              </w:rPr>
              <w:t xml:space="preserve"> 2026 г.</w:t>
            </w:r>
          </w:p>
        </w:tc>
      </w:tr>
    </w:tbl>
    <w:p>
      <w:pPr>
        <w:pStyle w:val="NoSpacing"/>
        <w:jc w:val="center"/>
        <w:rPr>
          <w:rFonts w:ascii="Times New Roman" w:hAnsi="Times New Roman" w:cs="Times New Roman"/>
          <w:b/>
          <w:sz w:val="24"/>
          <w:szCs w:val="24"/>
        </w:rPr>
      </w:pPr>
      <w:r>
        <w:rPr>
          <w:rFonts w:cs="Times New Roman" w:ascii="Times New Roman" w:hAnsi="Times New Roman"/>
          <w:b/>
          <w:sz w:val="24"/>
          <w:szCs w:val="24"/>
        </w:rPr>
      </w:r>
    </w:p>
    <w:p>
      <w:pPr>
        <w:pStyle w:val="Normal"/>
        <w:bidi w:val="0"/>
        <w:spacing w:lineRule="auto" w:line="240" w:before="0" w:after="0"/>
        <w:ind w:firstLine="709"/>
        <w:jc w:val="both"/>
        <w:rPr>
          <w:rFonts w:ascii="Times New Roman" w:hAnsi="Times New Roman" w:cs="Times New Roman"/>
          <w:b/>
          <w:sz w:val="24"/>
          <w:szCs w:val="24"/>
        </w:rPr>
      </w:pPr>
      <w:r>
        <w:rPr>
          <w:rFonts w:eastAsia="Calibri" w:cs="Times New Roman" w:ascii="Times New Roman" w:hAnsi="Times New Roman"/>
          <w:b/>
          <w:sz w:val="24"/>
          <w:szCs w:val="24"/>
        </w:rPr>
        <w:t xml:space="preserve">Акционерное Общество «Транспортная Компания РусГидро» (АО ТК «РусГидро») </w:t>
      </w:r>
      <w:r>
        <w:rPr>
          <w:rFonts w:eastAsia="Calibri" w:cs="Times New Roman" w:ascii="Times New Roman" w:hAnsi="Times New Roman"/>
          <w:sz w:val="24"/>
          <w:szCs w:val="24"/>
        </w:rPr>
        <w:t xml:space="preserve">именуемое в дальнейшем «Заказчик», в лице                                               , действующего на основании                               </w:t>
      </w:r>
      <w:r>
        <w:rPr>
          <w:rFonts w:eastAsia="Calibri" w:cs="Times New Roman" w:ascii="Times New Roman" w:hAnsi="Times New Roman"/>
          <w:sz w:val="24"/>
          <w:szCs w:val="24"/>
          <w:shd w:fill="auto" w:val="clear"/>
        </w:rPr>
        <w:t xml:space="preserve">, </w:t>
      </w:r>
      <w:r>
        <w:rPr>
          <w:rFonts w:eastAsia="Calibri" w:cs="Times New Roman" w:ascii="Times New Roman" w:hAnsi="Times New Roman"/>
          <w:sz w:val="24"/>
          <w:szCs w:val="24"/>
        </w:rPr>
        <w:t>с одной стороны</w:t>
      </w:r>
      <w:r>
        <w:rPr>
          <w:rFonts w:cs="Times New Roman" w:ascii="Times New Roman" w:hAnsi="Times New Roman"/>
          <w:sz w:val="24"/>
          <w:szCs w:val="24"/>
        </w:rPr>
        <w:t xml:space="preserve"> и </w:t>
      </w:r>
      <w:r>
        <w:rPr>
          <w:rFonts w:cs="Times New Roman" w:ascii="Times New Roman" w:hAnsi="Times New Roman"/>
          <w:b/>
          <w:sz w:val="24"/>
          <w:szCs w:val="24"/>
        </w:rPr>
        <w:t xml:space="preserve">                                              </w:t>
      </w:r>
      <w:r>
        <w:rPr>
          <w:rFonts w:cs="Times New Roman" w:ascii="Times New Roman" w:hAnsi="Times New Roman"/>
          <w:sz w:val="24"/>
          <w:szCs w:val="24"/>
        </w:rPr>
        <w:t>, именуемое в дальнейшем «Исполнитель», в лице                                                  , действующего на основании                          , с другой стороны, именуемые по тексту совместно «Стороны» либо раздельно «Сторона», заключили настоящий Договор возмездного оказания услуг, в дальнейшем по тексту именуемый «Договор», о нижеследующем: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2"/>
        </w:numPr>
        <w:tabs>
          <w:tab w:val="clear" w:pos="708"/>
          <w:tab w:val="left" w:pos="0" w:leader="none"/>
        </w:tabs>
        <w:spacing w:lineRule="auto" w:line="240" w:before="0" w:after="0"/>
        <w:ind w:hanging="0" w:left="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Предмет Договора.</w:t>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sz w:val="24"/>
          <w:szCs w:val="24"/>
          <w:lang w:eastAsia="ru-RU"/>
        </w:rPr>
        <w:t xml:space="preserve">По настоящему Договору Исполнитель на основании заявок Заказчика в соответствии с Приложением № 2 «Заявка» к настоящему Договору, </w:t>
      </w:r>
      <w:r>
        <w:rPr>
          <w:rFonts w:eastAsia="Times New Roman" w:cs="Times New Roman" w:ascii="Times New Roman" w:hAnsi="Times New Roman"/>
          <w:sz w:val="24"/>
          <w:szCs w:val="24"/>
          <w:lang w:eastAsia="zh-CN"/>
        </w:rPr>
        <w:t>являющимся неотъемлемой частью настоящего Договора</w:t>
      </w:r>
      <w:r>
        <w:rPr>
          <w:rFonts w:eastAsia="Times New Roman" w:cs="Times New Roman" w:ascii="Times New Roman" w:hAnsi="Times New Roman"/>
          <w:sz w:val="24"/>
          <w:szCs w:val="24"/>
          <w:lang w:eastAsia="ru-RU"/>
        </w:rPr>
        <w:t>, обязуется оказать услуги по проведению проверки в целях аттестации сотрудников Заказчика (далее – «аттестуемые лица») в целях установления знаний, умений и навыков аттестуемых лиц, личностных (психофизических) качеств и уровня физической подготовки отдельной категории аттестуемых лиц требованиям законодательства Российской Федерации о транспортной безопасности (далее по тексту – «Услуги»), а Заказчик обязуется оплатить услуги Исполнителя в порядке и на условиях, установленных настоящим Договором.</w:t>
      </w:r>
    </w:p>
    <w:p>
      <w:pPr>
        <w:pStyle w:val="ListParagraph"/>
        <w:numPr>
          <w:ilvl w:val="1"/>
          <w:numId w:val="4"/>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осуществляет проверку в целях аттестации сил обеспечения транспортной безопасности в сфере автомобильного транспорта и дорожного хозяйства на основании Свидетельства об аккредитации для проведения проверки в целях аттестации лиц, принимаемых на работу, непосредственно связанную с обеспечением транспортной безопасности, или осуществляющих такую работу, выданного Федеральным дорожным агентством Росавтодор Министерства транспорта Российской Федерации.</w:t>
      </w:r>
    </w:p>
    <w:p>
      <w:pPr>
        <w:pStyle w:val="ListParagraph"/>
        <w:numPr>
          <w:ilvl w:val="1"/>
          <w:numId w:val="2"/>
        </w:numPr>
        <w:tabs>
          <w:tab w:val="clear" w:pos="708"/>
          <w:tab w:val="left" w:pos="0" w:leader="none"/>
        </w:tabs>
        <w:ind w:firstLine="709" w:left="0"/>
        <w:jc w:val="both"/>
        <w:rPr>
          <w:rFonts w:ascii="Times New Roman" w:hAnsi="Times New Roman" w:eastAsia="Times New Roman" w:cs="Times New Roman"/>
          <w:b/>
          <w:sz w:val="24"/>
          <w:szCs w:val="24"/>
          <w:lang w:eastAsia="ru-RU"/>
        </w:rPr>
      </w:pPr>
      <w:r>
        <w:rPr>
          <w:rFonts w:eastAsia="Times New Roman" w:cs="Times New Roman" w:ascii="Times New Roman" w:hAnsi="Times New Roman"/>
          <w:sz w:val="24"/>
          <w:szCs w:val="24"/>
          <w:lang w:eastAsia="ru-RU"/>
        </w:rPr>
        <w:t>Перечень и состав Услуг, оказываемых Исполнителем, количество аттестуемых лиц, планируемых к проверке в целях аттестации, а также стоимость Услуг по настоящему Договору указаны в Приложении № 1 «Перечень и стоимость услуг» к настоящему Договору, являющимся неотъемлемой частью настоящего Договора.</w:t>
      </w:r>
    </w:p>
    <w:p>
      <w:pPr>
        <w:pStyle w:val="ListParagraph"/>
        <w:numPr>
          <w:ilvl w:val="1"/>
          <w:numId w:val="2"/>
        </w:numPr>
        <w:tabs>
          <w:tab w:val="clear" w:pos="708"/>
          <w:tab w:val="left" w:pos="0" w:leader="none"/>
        </w:tabs>
        <w:ind w:firstLine="709" w:left="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Услуги оказываются по месту нахождения Исполнителя по адресу:                   </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Порядок оказания Услуг.</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bCs/>
          <w:sz w:val="24"/>
          <w:szCs w:val="24"/>
          <w:lang w:eastAsia="ru-RU"/>
        </w:rPr>
      </w:pPr>
      <w:r>
        <w:rPr>
          <w:rFonts w:eastAsia="Times New Roman" w:cs="Times New Roman" w:ascii="Times New Roman" w:hAnsi="Times New Roman"/>
          <w:sz w:val="24"/>
          <w:szCs w:val="24"/>
          <w:lang w:eastAsia="ru-RU"/>
        </w:rPr>
        <w:t xml:space="preserve">Исполнитель оказывает Услуги по настоящему Договору, руководствуясь </w:t>
      </w:r>
      <w:r>
        <w:rPr>
          <w:rFonts w:eastAsia="Times New Roman" w:cs="Times New Roman" w:ascii="Times New Roman" w:hAnsi="Times New Roman"/>
          <w:bCs/>
          <w:sz w:val="24"/>
          <w:szCs w:val="24"/>
          <w:lang w:eastAsia="ru-RU"/>
        </w:rPr>
        <w:t>Постановлением Правительства РФ от 01.06.2023 № 905 «О порядке аттестации сил обеспечения транспортной безопасности» (вместе с «Правилами аттестации сил обеспечения транспортной безопасности»).</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Работы по настоящему Договору проводятся поэтапно в соответствии с заявками Заказчика по форме Приложения № 2 к настоящему Договору (далее – «Заявка»).</w:t>
      </w:r>
    </w:p>
    <w:p>
      <w:pPr>
        <w:pStyle w:val="ListParagraph"/>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Работы по настоящему договору могут быть оказаны в 1 (один) этап в случае указания Заказчиком в заявке полного перечня лиц, аттестуемых в соответствии с условиями настоящего Договора.</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приступает к оказанию Услуг по соответствующему этапу в течение 2 (двух) рабочих дней с момента получения Заявки и направляет Заказчику образцы форм документов, передаваемых в орган аттестации для принятия решения о допуске аттестуемых лиц к прохождению аттестации.</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 течение 10 (десяти) рабочих дней с момента получения образцов форм документов Заказчик направляет Исполнителю заполненные формы и документы в соответствии с Приложением № 3 «Перечень документов» к настоящему Договору, </w:t>
      </w:r>
      <w:r>
        <w:rPr>
          <w:rFonts w:eastAsia="Times New Roman" w:cs="Times New Roman" w:ascii="Times New Roman" w:hAnsi="Times New Roman"/>
          <w:sz w:val="24"/>
          <w:szCs w:val="24"/>
          <w:lang w:eastAsia="zh-CN"/>
        </w:rPr>
        <w:t>являющимся неотъемлемой частью настоящего Договора,</w:t>
      </w:r>
      <w:r>
        <w:rPr>
          <w:rFonts w:eastAsia="Times New Roman" w:cs="Times New Roman" w:ascii="Times New Roman" w:hAnsi="Times New Roman"/>
          <w:sz w:val="24"/>
          <w:szCs w:val="24"/>
          <w:lang w:eastAsia="ru-RU"/>
        </w:rPr>
        <w:t xml:space="preserve"> на каждое аттестуемое лицо.</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проверяет полученные от Заказчика документы на соответствие установленным требованиям и порядку аттестации и при необходимости направляет Заказчику замечания по заполнению форм и оформлению документов.</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Заказчик вносит необходимые корректировки и исправления и согласовывает их с Исполнителем. После окончательного согласования Заказчик направляет в адрес Федерального дорожного агентства (Росавтодор) путем использования Федеральной государственной информационной система «Единый портал государственных и муниципальных услуг (функций)» сканы документов в соответствии с Приложением № 3 «Перечень документов» к настоящему Договору.</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По итогам рассмотрения документов Заказчика и принятия решения о допуске орган аттестации присваивает каждому допущенному к проверке лицу уникальный идентификационный номера (далее – «УИН»). Срок действия присвоенных УИН составляет 10 (десять) рабочих дней в соответствии с </w:t>
      </w:r>
      <w:r>
        <w:rPr>
          <w:rFonts w:eastAsia="Times New Roman" w:cs="Times New Roman" w:ascii="Times New Roman" w:hAnsi="Times New Roman"/>
          <w:bCs/>
          <w:sz w:val="24"/>
          <w:szCs w:val="24"/>
          <w:lang w:eastAsia="ru-RU"/>
        </w:rPr>
        <w:t>Постановлением Правительства РФ от 01.06.2023 № 905 «О порядке аттестации сил обеспечения транспортной безопасности»</w:t>
      </w:r>
      <w:r>
        <w:rPr>
          <w:rFonts w:eastAsia="Times New Roman" w:cs="Times New Roman" w:ascii="Times New Roman" w:hAnsi="Times New Roman"/>
          <w:sz w:val="24"/>
          <w:szCs w:val="24"/>
          <w:lang w:eastAsia="ru-RU"/>
        </w:rPr>
        <w:t>.</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направляет Заказчику информацию о выданных Заказчику УИН не позднее дня, следующего за днем выдачи УИН.</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течение 10 (десяти) рабочих дней с даты получения УИН Заказчик направляет своих сотрудников для проведения проверки в целях аттестации сил обеспечения транспортной безопасности в согласованные с Исполнителем дату и время.</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проводит проверку в целях аттестации сил обеспечения транспортной безопасности в согласованные с Заказчиком дату и время.</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Результатом оказанных услуг по Договору (этапу Договора) является вынесенное Исполнителем по итогам проведенной проверки в целях аттестации Решение о соответствии знаний, умений и навыков проверяемого сотрудника Заказчика требованиям законодательства Российской Федерации о транспортной безопасности (далее - Решение) или одно из следующих Заключений (далее - Заключения):</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о несоответствии личностных (психофизиологических) качеств проверяемого в целях аттестации сотрудника Заказчика;</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о несоответствии уровня физической подготовки проверяемого в целях аттестации сотрудника «Заказчика»;</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о несоответствии знаний, умений и навыков проверяемого в целях аттестации сотрудника «Заказчика».</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Результаты проверки направляются Исполнителем в орган аттестации. </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Исполнитель передает Заказчику 2 (два) экземпляра универсального передаточного документа (акта приема-передачи оказанных услуг), подписанные со стороны Исполнителя в день проведения проверки.</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Права и обязанности сторон.</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Исполнитель обязан:</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Оказать Услуги по настоящему Договору в объеме и на условиях, определяемых настоящим Договором и заявками Заказчика.</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Знакомить сотрудников Исполнителя с информацией и сведениями о Заказчике исключительно в объеме, необходимом и достаточном для оказания услуг.</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Не передавать третьим лицам информацию о сроках и порядке оказания услуг Заказчику, а также информацию экономического характера.</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Хранить полученную от Заказчика информацию в соответствии с внутренним распорядком Исполнителя, исключая несанкционированный доступ к ней как в рабочее, так и в нерабочее время.</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Не допускать к проведению проверки в целях аттестации сил обеспечения транспортной безопасности сотрудников Заказчика в случае отсутствия у них УИН.</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zh-CN"/>
        </w:rPr>
        <w:t>Сообщать Заказчику о невозможности исполнения своих обязательств по настоящему Договору вследствие возникновения обстоятельств, препятствующих проведению Исполнителем объективной проверки документов и сведений о сотрудниках Заказчика.</w:t>
      </w:r>
    </w:p>
    <w:p>
      <w:pPr>
        <w:pStyle w:val="ListParagraph"/>
        <w:numPr>
          <w:ilvl w:val="1"/>
          <w:numId w:val="2"/>
        </w:numPr>
        <w:tabs>
          <w:tab w:val="clear" w:pos="708"/>
          <w:tab w:val="left" w:pos="0" w:leader="none"/>
        </w:tabs>
        <w:spacing w:lineRule="auto" w:line="240" w:before="0" w:after="0"/>
        <w:ind w:firstLine="709" w:left="0"/>
        <w:contextualSpacing/>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Исполнитель вправе:</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Получать от Заказчика документы, информацию, а также разъяснения и дополнительные сведения, необходимые для оказания Услуг по настоящему Договору, в том числе для проведения проверки документов аттестуемых лиц Заказчика.</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Приостановить исполнение своих обязательств по Договору в случае неисполнения Заказчиком обязательства по оплате услуг Исполнителя в полном объеме и сроки, установленные настоящим Договором.</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Отказать в предоставлении Услуг в случае, если Заказчик направил своего сотрудника для проведения проверки в целях аттестации позже срока, установленного в соответствии с п. 2.10 настоящего Договора, а также после окончания срока действия УИН такого сотрудника.</w:t>
      </w:r>
    </w:p>
    <w:p>
      <w:pPr>
        <w:pStyle w:val="ListParagraph"/>
        <w:numPr>
          <w:ilvl w:val="1"/>
          <w:numId w:val="2"/>
        </w:numPr>
        <w:tabs>
          <w:tab w:val="clear" w:pos="708"/>
          <w:tab w:val="left" w:pos="0" w:leader="none"/>
        </w:tabs>
        <w:spacing w:lineRule="auto" w:line="240" w:before="0" w:after="0"/>
        <w:ind w:firstLine="709" w:left="0"/>
        <w:contextualSpacing/>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Заказчик обязан: </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Обеспечить своевременное получение Исполнителем в полном объеме информации и документов, необходимых Исполнителю для оказания Услуг по настоящему Договору.</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Своевременно и в полном объеме производить оплату Услуг Исполнителю по настоящему Договору.</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Обеспечить явку своих сотрудников для проведения проверки в целях аттестации сил обеспечения транспортной безопасности в сроки, установленные в соответствии с п. 2.10. настоящего Договора.</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Обеспечить явку своих сотрудников, допущенных для проведения проверки в целях аттестации сил обеспечения транспортной безопасности, в соответствии с Заявкой, направленной Исполнителю.</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Заказчик вправе:</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Требовать от Исполнителя надлежащего исполнения обязательств по Договору.</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Получать от Исполнителя информацию о требованиях законодательства и нормативных актов, касающихся проведения проверки в целях аттестации сил обеспечения транспортной безопасности, а также тексты этих нормативных актов.</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Стоимость услуг и порядок расчетов по Договору.</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ListParagraph"/>
        <w:numPr>
          <w:ilvl w:val="1"/>
          <w:numId w:val="2"/>
        </w:numPr>
        <w:tabs>
          <w:tab w:val="clear" w:pos="708"/>
          <w:tab w:val="left" w:pos="0" w:leader="none"/>
          <w:tab w:val="left" w:pos="567"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Общая стоимость Услуг по настоящему Договору определяется исходя из единичных расценок оказания услуг и количества аттестуемых лиц Заказчика в соответствии с Приложением № 1 «Перечень и стоимость услуг» и не должна превышать                                 без учёта НДС….</w:t>
      </w:r>
    </w:p>
    <w:p>
      <w:pPr>
        <w:pStyle w:val="ListParagraph"/>
        <w:numPr>
          <w:ilvl w:val="1"/>
          <w:numId w:val="2"/>
        </w:numPr>
        <w:tabs>
          <w:tab w:val="clear" w:pos="708"/>
          <w:tab w:val="left" w:pos="0" w:leader="none"/>
          <w:tab w:val="left" w:pos="567"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Заказчик производит оплату Исполнителю за проведенную проверку в целях аттестации фактического количества сотрудников Заказчика, допущенных до проверки в соответствии с п. 2.8.</w:t>
      </w:r>
    </w:p>
    <w:p>
      <w:pPr>
        <w:pStyle w:val="ListParagraph"/>
        <w:numPr>
          <w:ilvl w:val="1"/>
          <w:numId w:val="2"/>
        </w:numPr>
        <w:tabs>
          <w:tab w:val="clear" w:pos="708"/>
          <w:tab w:val="left" w:pos="0" w:leader="none"/>
          <w:tab w:val="left" w:pos="567"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Оплата Услуг по соответствующему этапу Договора осуществляется в следующем порядке:</w:t>
      </w:r>
    </w:p>
    <w:p>
      <w:pPr>
        <w:pStyle w:val="ListParagraph"/>
        <w:numPr>
          <w:ilvl w:val="2"/>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w:t>
      </w:r>
      <w:r>
        <w:rPr>
          <w:rFonts w:eastAsia="Times New Roman" w:cs="Times New Roman" w:ascii="Times New Roman" w:hAnsi="Times New Roman"/>
          <w:sz w:val="24"/>
          <w:szCs w:val="24"/>
          <w:lang w:eastAsia="ru-RU"/>
        </w:rPr>
        <w:t>...</w:t>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Платеж по Договору считается совершенным в момент списания соответствующей суммы денежных средств с расчетного счета Заказчика.</w:t>
      </w:r>
    </w:p>
    <w:p>
      <w:pPr>
        <w:pStyle w:val="ListParagraph"/>
        <w:tabs>
          <w:tab w:val="clear" w:pos="708"/>
          <w:tab w:val="left" w:pos="0" w:leader="none"/>
          <w:tab w:val="left" w:pos="567"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Конфиденциальность</w:t>
      </w:r>
    </w:p>
    <w:p>
      <w:pPr>
        <w:pStyle w:val="ListParagraph"/>
        <w:tabs>
          <w:tab w:val="clear" w:pos="708"/>
          <w:tab w:val="left" w:pos="0" w:leader="none"/>
          <w:tab w:val="left" w:pos="567"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Объем не подлежащей разглашению информации определяется Заказчиком.</w:t>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Стороны обязаны сохранять строгую конфиденциальность информации, полученной в ходе исполнения настоящего Договора, и примут все необходимые для предотвращения разглашения указанной информации меры.</w:t>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 конфиденциальной информации по настоящему Договору относятся любые сведения о Сторонах, характере их деятельности, а также любые другие сведения, которые стали известны Сторонам в ходе исполнения настоящего Договора, вне зависимости от источника их получения (документальные источники, копии документов, устные или письменные объяснения сотрудников Сторон, иных лиц, и т.д.).</w:t>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Ограничения относительно разглашения информации не относятся к общедоступной информации или информации, ставшей таковой не по вине Сторон, а также к информации, ставшей известной Стороне от третьих лиц до или после ее получения от другой Стороны.</w:t>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Стороны не несут ответственности в случае передачи информации государственным органам, имеющим право ее затребовать в соответствии с законодательством РФ.</w:t>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Сторона, сообщившая уполномоченным государственным органам конфиденциальную информацию, обязана немедленно, за исключением случаев, предусмотренных действующим законодательством, уведомить другую Сторону о факте передачи указанной информации государственным органам, представить последней документы, подтверждающие факт затребования такой информации названными государственными органами, а также сообщить, какие именно сведения были переданы по запросу государственных органов.</w:t>
      </w:r>
    </w:p>
    <w:p>
      <w:pPr>
        <w:pStyle w:val="ListParagraph"/>
        <w:tabs>
          <w:tab w:val="clear" w:pos="708"/>
          <w:tab w:val="left" w:pos="0" w:leader="none"/>
          <w:tab w:val="left" w:pos="567" w:leader="none"/>
          <w:tab w:val="left" w:pos="1571" w:leader="none"/>
        </w:tabs>
        <w:spacing w:lineRule="auto" w:line="240" w:before="0" w:after="0"/>
        <w:ind w:left="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Ответственность сторон</w:t>
      </w:r>
    </w:p>
    <w:p>
      <w:pPr>
        <w:pStyle w:val="ListParagraph"/>
        <w:tabs>
          <w:tab w:val="clear" w:pos="708"/>
          <w:tab w:val="left" w:pos="0" w:leader="none"/>
          <w:tab w:val="left" w:pos="567" w:leader="none"/>
        </w:tabs>
        <w:spacing w:lineRule="auto" w:line="240" w:before="0" w:after="0"/>
        <w:ind w:firstLine="709" w:left="0"/>
        <w:contextualSpacing/>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Каждая из Сторон обязана выполнять свои обязанности надлежащим образом, в соответствии с требованиями настоящего Договора, а также оказывать другим Сторонам разумное содействие в выполнении их обязанностей.</w:t>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Сотрудники Исполнителя не несут ответственности за качество оказанных Заказчику Услуг в случаях, когда Заказчиком не было обеспечено предоставление документов и информации, указанных в пунктах 2.4. и 2.6. настоящего Договора, или эти документы и информация были предоставлены Заказчиком не в полном объеме, а также в случае, если предоставленные Заказчиком документы содержали неточные или недостоверные данные.</w:t>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Заказчик несет ответственность за обеспечение Исполнителя необходимой информацией, обеспечивающей достоверность подготовки материалов, как документа, содержащего сведения доказательственного значения.</w:t>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 случае нарушения сроков оказания услуг, установленных в п. </w:t>
      </w:r>
      <w:bookmarkStart w:id="1" w:name="_Hlk494479802"/>
      <w:r>
        <w:rPr>
          <w:rFonts w:eastAsia="Times New Roman" w:cs="Times New Roman" w:ascii="Times New Roman" w:hAnsi="Times New Roman"/>
          <w:sz w:val="24"/>
          <w:szCs w:val="24"/>
          <w:lang w:eastAsia="ru-RU"/>
        </w:rPr>
        <w:t xml:space="preserve">2.10. – 2.11. </w:t>
      </w:r>
      <w:bookmarkEnd w:id="1"/>
      <w:r>
        <w:rPr>
          <w:rFonts w:eastAsia="Times New Roman" w:cs="Times New Roman" w:ascii="Times New Roman" w:hAnsi="Times New Roman"/>
          <w:sz w:val="24"/>
          <w:szCs w:val="24"/>
          <w:lang w:eastAsia="ru-RU"/>
        </w:rPr>
        <w:t>настоящего Договора, Исполнитель выплачивает Заказчику пени в размере 0,1% от суммы соответствующего этапа Договора за каждый день просрочки исполнения обязательств.</w:t>
      </w:r>
    </w:p>
    <w:p>
      <w:pPr>
        <w:pStyle w:val="ListParagraph"/>
        <w:numPr>
          <w:ilvl w:val="1"/>
          <w:numId w:val="2"/>
        </w:numPr>
        <w:tabs>
          <w:tab w:val="clear" w:pos="708"/>
          <w:tab w:val="left" w:pos="0" w:leader="none"/>
          <w:tab w:val="left" w:pos="567" w:leader="none"/>
          <w:tab w:val="left" w:pos="1571"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случае нарушения сроков условий оплаты, установленных в п. 4.1. - 4.3.  настоящего договора, Заказчик выплачивает Исполнителю пени в размере 1% от суммы соответствующего этапа Договора за каждый день просрочки исполнения обязательств.</w:t>
      </w:r>
    </w:p>
    <w:p>
      <w:pPr>
        <w:pStyle w:val="ListParagraph"/>
        <w:tabs>
          <w:tab w:val="clear" w:pos="708"/>
          <w:tab w:val="left" w:pos="567" w:leader="none"/>
          <w:tab w:val="left" w:pos="1571" w:leader="none"/>
        </w:tabs>
        <w:spacing w:lineRule="auto" w:line="240" w:before="0" w:after="0"/>
        <w:ind w:left="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Форс-мажор</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Под форс-мажором по настоящему Договору понимаются независящие от Сторон и непреодолимые ими обстоятельства, препятствующие выполнению Сторонами своих обязательств, обусловленных настоящим Договором. Обязанность доказательства форс-мажора лежит на стороне, которая не может по такой причине выполнить свои обязательства по отношению к другой Стороне.</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случае, если форс-мажорные обстоятельства препятствуют возможности одной из Сторон выполнять свои обязательства по настоящему Договору, исполнение этой Стороной своих обязательств приостанавливается до момента устранения форс-мажора, при этом данная Сторона не несет какой-либо ответственности за невыполнение обязательств в период форс-мажорных обстоятельств.</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После прекращения форс-мажора Стороны могут считать настоящий Договор продленным. Особенности, обуславливающие возобновление действия настоящего Договора, оговариваются Протоколом, подписываемым Сторонами.</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Порядок разрешения споров</w:t>
      </w:r>
    </w:p>
    <w:p>
      <w:pPr>
        <w:pStyle w:val="ListParagraph"/>
        <w:tabs>
          <w:tab w:val="clear" w:pos="708"/>
          <w:tab w:val="left" w:pos="0" w:leader="none"/>
        </w:tabs>
        <w:spacing w:lineRule="auto" w:line="240" w:before="0" w:after="0"/>
        <w:ind w:firstLine="709" w:left="0"/>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В случае возникновения споров Стороны примут все меры для их разрешения путем переговоров. Ответ на претензию одной из Стороны составляет – 5 (пять) рабочих дней. </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случае, если согласие не будет достигнуто путем переговоров, все споры, разногласия и конфликты, возникающие в связи с исполнением настоящего Договора, а также в случае его нарушения или расторжения, будут разрешаться Арбитражным судом Приморского края.</w:t>
      </w:r>
    </w:p>
    <w:p>
      <w:pPr>
        <w:pStyle w:val="ListParagraph"/>
        <w:spacing w:lineRule="auto" w:line="240" w:before="0" w:after="0"/>
        <w:ind w:left="709"/>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Срок действия договора и порядок его расторжения </w:t>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Настоящий Договор вступает в силу с момента его подписания Сторонами и действует до момента полного исполнения Сторонами своих обязательств, предусмотренных настоящим Договором.</w:t>
      </w:r>
    </w:p>
    <w:p>
      <w:pPr>
        <w:pStyle w:val="Normal"/>
        <w:tabs>
          <w:tab w:val="clear" w:pos="708"/>
          <w:tab w:val="left" w:pos="720"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Досрочное расторжение Договора</w:t>
      </w:r>
    </w:p>
    <w:p>
      <w:pPr>
        <w:pStyle w:val="Normal"/>
        <w:tabs>
          <w:tab w:val="clear" w:pos="708"/>
          <w:tab w:val="left" w:pos="0" w:leader="none"/>
        </w:tabs>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10.1.</w:t>
        <w:tab/>
        <w:t>Настоящий Договор может быть расторгнут по письменному соглашению Сторон, в одностороннем порядке в соответствии с законодательством Российской Федерации или по решению суда.</w:t>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10.2.</w:t>
        <w:tab/>
        <w:t>Заказчик вправе отказаться от исполнения настоящего Договора в одностороннем порядке в случае существенного нарушения Исполнителем сроков оказания услуг, установленных в пунктах 2.10. – 2.11. настоящего договора, направив при этом в адрес Исполнителя письменное уведомление за 10 (десять) календарных дней до даты его расторжения.</w:t>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10.3.</w:t>
        <w:tab/>
        <w:t>В случае, если в течение 6 месяцев с момента подписания настоящего Договора, Заказчиком не подготовлено установленное в Приложении 2 к Договору количество готовых комплектов документов для направления в орган аттестации на обработку персональных данных, Договор автоматически считается фиктивным в части неподготовленного количества комплектов документов. Авансовая оплата за фиктивную часть договора Заказчику не возвращается. Акт выполненных работ подписывается Сторонами исходя из зафиксированного Приложении 2 к Договору количества лиц для проведения проверки в целях аттестации.</w:t>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10.4.</w:t>
        <w:tab/>
        <w:t>Заказчик не вправе отказаться от исполнения обязательств по настоящему Договору в одностороннем порядке в случае внесения изменений в действующее законодательство в области транспортной безопасности.</w:t>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Прочие условия</w:t>
      </w:r>
    </w:p>
    <w:p>
      <w:pPr>
        <w:pStyle w:val="Normal"/>
        <w:tabs>
          <w:tab w:val="clear" w:pos="708"/>
          <w:tab w:val="left" w:pos="0" w:leader="none"/>
        </w:tabs>
        <w:spacing w:lineRule="auto" w:line="240" w:before="0" w:after="0"/>
        <w:ind w:firstLine="709"/>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zh-CN"/>
        </w:rPr>
        <w:t>Настоящий Договор составлен и подписан в 2 (двух) подлинных экземплярах, имеющих одинаковую юридическую силу, по одному экземпляру для каждой из Сторон.</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Все изменения и дополнения к Договору действительны, при условии, если они совершены в письменной форме, путем оформления дополнительного соглашения к Договору и/или изложения Приложений к договору в новой редакции, и подписаны надлежащим образом уполномоченными на то представителями сторон.</w:t>
      </w:r>
    </w:p>
    <w:p>
      <w:pPr>
        <w:pStyle w:val="ListParagraph"/>
        <w:numPr>
          <w:ilvl w:val="1"/>
          <w:numId w:val="2"/>
        </w:numPr>
        <w:tabs>
          <w:tab w:val="clear" w:pos="708"/>
          <w:tab w:val="left" w:pos="0" w:leader="none"/>
        </w:tabs>
        <w:spacing w:lineRule="auto" w:line="240" w:before="0" w:after="0"/>
        <w:ind w:firstLine="709"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Стороны, основываясь на п. 2 ст. 434 Гражданского кодекса Российской Федерации, позволяющем признать, при обоюдном согласии Сторон, юридическую силу документов полученных путем обмена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признают юридическую силу за всей информацией, сведениями и документами, поступившими в письменном (текстовом) виде по указанным каналам связи, включая приложения и вложения.</w:t>
      </w:r>
    </w:p>
    <w:p>
      <w:pPr>
        <w:pStyle w:val="ListParagraph"/>
        <w:spacing w:lineRule="auto" w:line="240" w:before="0" w:after="0"/>
        <w:contextualSpacing/>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ListParagraph"/>
        <w:numPr>
          <w:ilvl w:val="0"/>
          <w:numId w:val="2"/>
        </w:numPr>
        <w:spacing w:lineRule="auto" w:line="240" w:before="0" w:after="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Юридические адреса и реквизиты сторон</w:t>
      </w:r>
    </w:p>
    <w:p>
      <w:pPr>
        <w:pStyle w:val="ListParagraph"/>
        <w:numPr>
          <w:ilvl w:val="0"/>
          <w:numId w:val="0"/>
        </w:numPr>
        <w:spacing w:lineRule="auto" w:line="240" w:before="0" w:after="0"/>
        <w:ind w:hanging="0" w:left="360"/>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tbl>
      <w:tblPr>
        <w:tblW w:w="10206"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5103"/>
        <w:gridCol w:w="5102"/>
      </w:tblGrid>
      <w:tr>
        <w:trPr>
          <w:trHeight w:val="3583" w:hRule="atLeast"/>
        </w:trPr>
        <w:tc>
          <w:tcPr>
            <w:tcW w:w="5103" w:type="dxa"/>
            <w:tcBorders/>
          </w:tcPr>
          <w:p>
            <w:pPr>
              <w:pStyle w:val="Normal"/>
              <w:suppressAutoHyphens w:val="true"/>
              <w:spacing w:lineRule="auto" w:line="240" w:before="0" w:after="0"/>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Исполнитель:</w:t>
            </w:r>
          </w:p>
        </w:tc>
        <w:tc>
          <w:tcPr>
            <w:tcW w:w="5102" w:type="dxa"/>
            <w:tcBorders/>
          </w:tcPr>
          <w:p>
            <w:pPr>
              <w:pStyle w:val="Normal"/>
              <w:suppressAutoHyphens w:val="true"/>
              <w:spacing w:lineRule="auto" w:line="240" w:before="0" w:after="0"/>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Заказчик:</w:t>
            </w:r>
          </w:p>
        </w:tc>
      </w:tr>
    </w:tbl>
    <w:p>
      <w:pPr>
        <w:pStyle w:val="Normal"/>
        <w:rPr/>
      </w:pPr>
      <w:r>
        <w:rPr/>
      </w:r>
      <w:r>
        <w:br w:type="page"/>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Приложение № 1</w:t>
      </w:r>
    </w:p>
    <w:p>
      <w:pPr>
        <w:pStyle w:val="Normal"/>
        <w:spacing w:lineRule="auto" w:line="240" w:before="0" w:after="0"/>
        <w:ind w:hanging="709" w:left="709"/>
        <w:jc w:val="right"/>
        <w:rPr>
          <w:rFonts w:ascii="Times New Roman" w:hAnsi="Times New Roman" w:cs="Times New Roman"/>
          <w:sz w:val="24"/>
          <w:szCs w:val="24"/>
        </w:rPr>
      </w:pPr>
      <w:r>
        <w:rPr>
          <w:rFonts w:cs="Times New Roman" w:ascii="Times New Roman" w:hAnsi="Times New Roman"/>
          <w:sz w:val="24"/>
          <w:szCs w:val="24"/>
        </w:rPr>
        <w:t>к Договору</w:t>
      </w:r>
    </w:p>
    <w:p>
      <w:pPr>
        <w:pStyle w:val="NoSpacing"/>
        <w:jc w:val="center"/>
        <w:rPr>
          <w:rFonts w:ascii="Times New Roman" w:hAnsi="Times New Roman" w:cs="Times New Roman"/>
          <w:b/>
          <w:sz w:val="16"/>
          <w:szCs w:val="16"/>
        </w:rPr>
      </w:pPr>
      <w:r>
        <w:rPr>
          <w:rFonts w:cs="Times New Roman" w:ascii="Times New Roman" w:hAnsi="Times New Roman"/>
          <w:b/>
          <w:sz w:val="16"/>
          <w:szCs w:val="16"/>
        </w:rPr>
      </w:r>
    </w:p>
    <w:p>
      <w:pPr>
        <w:pStyle w:val="NoSpacing"/>
        <w:jc w:val="center"/>
        <w:rPr>
          <w:rFonts w:ascii="Times New Roman" w:hAnsi="Times New Roman" w:cs="Times New Roman"/>
          <w:b/>
          <w:sz w:val="24"/>
          <w:szCs w:val="24"/>
        </w:rPr>
      </w:pPr>
      <w:bookmarkStart w:id="2" w:name="_Hlk494455646"/>
      <w:r>
        <w:rPr>
          <w:rFonts w:cs="Times New Roman" w:ascii="Times New Roman" w:hAnsi="Times New Roman"/>
          <w:b/>
          <w:sz w:val="24"/>
          <w:szCs w:val="24"/>
        </w:rPr>
        <w:t>Перечень и стоимость услуг</w:t>
      </w:r>
      <w:bookmarkEnd w:id="2"/>
    </w:p>
    <w:p>
      <w:pPr>
        <w:pStyle w:val="NoSpacing"/>
        <w:jc w:val="center"/>
        <w:rPr>
          <w:rFonts w:ascii="Times New Roman" w:hAnsi="Times New Roman" w:cs="Times New Roman"/>
          <w:b/>
          <w:sz w:val="24"/>
          <w:szCs w:val="24"/>
        </w:rPr>
      </w:pPr>
      <w:r>
        <w:rPr>
          <w:rFonts w:cs="Times New Roman" w:ascii="Times New Roman" w:hAnsi="Times New Roman"/>
          <w:b/>
          <w:sz w:val="24"/>
          <w:szCs w:val="24"/>
        </w:rPr>
        <w:t>на проведения проверок в целях аттестации</w:t>
      </w:r>
    </w:p>
    <w:p>
      <w:pPr>
        <w:pStyle w:val="NoSpacing"/>
        <w:jc w:val="center"/>
        <w:rPr>
          <w:rFonts w:ascii="Times New Roman" w:hAnsi="Times New Roman" w:cs="Times New Roman"/>
          <w:b/>
          <w:sz w:val="24"/>
          <w:szCs w:val="24"/>
        </w:rPr>
      </w:pPr>
      <w:r>
        <w:rPr>
          <w:rFonts w:cs="Times New Roman" w:ascii="Times New Roman" w:hAnsi="Times New Roman"/>
          <w:b/>
          <w:sz w:val="24"/>
          <w:szCs w:val="24"/>
        </w:rPr>
        <w:t>сил обеспечения транспортной безопасности</w:t>
      </w:r>
    </w:p>
    <w:p>
      <w:pPr>
        <w:pStyle w:val="NoSpacing"/>
        <w:jc w:val="center"/>
        <w:rPr>
          <w:rFonts w:ascii="Times New Roman" w:hAnsi="Times New Roman" w:cs="Times New Roman"/>
          <w:b/>
          <w:sz w:val="16"/>
          <w:szCs w:val="16"/>
        </w:rPr>
      </w:pPr>
      <w:r>
        <w:rPr>
          <w:rFonts w:cs="Times New Roman" w:ascii="Times New Roman" w:hAnsi="Times New Roman"/>
          <w:b/>
          <w:sz w:val="16"/>
          <w:szCs w:val="16"/>
        </w:rPr>
      </w:r>
    </w:p>
    <w:tbl>
      <w:tblPr>
        <w:tblStyle w:val="a4"/>
        <w:tblW w:w="1033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560"/>
        <w:gridCol w:w="2559"/>
        <w:gridCol w:w="1843"/>
        <w:gridCol w:w="849"/>
        <w:gridCol w:w="1277"/>
        <w:gridCol w:w="1531"/>
        <w:gridCol w:w="1716"/>
      </w:tblGrid>
      <w:tr>
        <w:trPr>
          <w:trHeight w:val="1679" w:hRule="atLeast"/>
        </w:trPr>
        <w:tc>
          <w:tcPr>
            <w:tcW w:w="560" w:type="dxa"/>
            <w:tcBorders/>
          </w:tcPr>
          <w:p>
            <w:pPr>
              <w:pStyle w:val="Normal"/>
              <w:widowControl/>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 xml:space="preserve">№ </w:t>
            </w:r>
            <w:r>
              <w:rPr>
                <w:rFonts w:eastAsia="Calibri" w:cs="Times New Roman" w:ascii="Times New Roman" w:hAnsi="Times New Roman"/>
                <w:b/>
                <w:kern w:val="0"/>
                <w:sz w:val="20"/>
                <w:szCs w:val="20"/>
                <w:lang w:val="ru-RU" w:eastAsia="en-US" w:bidi="ar-SA"/>
              </w:rPr>
              <w:t>п/п</w:t>
            </w:r>
          </w:p>
        </w:tc>
        <w:tc>
          <w:tcPr>
            <w:tcW w:w="2559" w:type="dxa"/>
            <w:tcBorders/>
          </w:tcPr>
          <w:p>
            <w:pPr>
              <w:pStyle w:val="Normal"/>
              <w:widowControl/>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Наименование услуг</w:t>
            </w:r>
          </w:p>
        </w:tc>
        <w:tc>
          <w:tcPr>
            <w:tcW w:w="1843" w:type="dxa"/>
            <w:tcBorders/>
          </w:tcPr>
          <w:p>
            <w:pPr>
              <w:pStyle w:val="Normal"/>
              <w:widowControl/>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Состав услуг по проведению проверки в целях аттестации</w:t>
            </w:r>
          </w:p>
        </w:tc>
        <w:tc>
          <w:tcPr>
            <w:tcW w:w="849" w:type="dxa"/>
            <w:tcBorders/>
          </w:tcPr>
          <w:p>
            <w:pPr>
              <w:pStyle w:val="Normal"/>
              <w:widowControl/>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Категория</w:t>
            </w:r>
          </w:p>
        </w:tc>
        <w:tc>
          <w:tcPr>
            <w:tcW w:w="1277" w:type="dxa"/>
            <w:tcBorders/>
          </w:tcPr>
          <w:p>
            <w:pPr>
              <w:pStyle w:val="Normal"/>
              <w:widowControl/>
              <w:suppressAutoHyphens w:val="true"/>
              <w:spacing w:lineRule="auto" w:line="240" w:before="0" w:after="0"/>
              <w:jc w:val="center"/>
              <w:rPr>
                <w:rFonts w:ascii="Times New Roman" w:hAnsi="Times New Roman" w:cs="Times New Roman"/>
                <w:b/>
                <w:sz w:val="20"/>
                <w:szCs w:val="20"/>
                <w:highlight w:val="yellow"/>
              </w:rPr>
            </w:pPr>
            <w:r>
              <w:rPr>
                <w:rFonts w:eastAsia="Calibri" w:cs="Times New Roman" w:ascii="Times New Roman" w:hAnsi="Times New Roman"/>
                <w:b/>
                <w:kern w:val="0"/>
                <w:sz w:val="20"/>
                <w:szCs w:val="20"/>
                <w:lang w:val="ru-RU" w:eastAsia="en-US" w:bidi="ar-SA"/>
              </w:rPr>
              <w:t>Количество лиц, планируемых к проверке в целях аттестации</w:t>
            </w:r>
          </w:p>
        </w:tc>
        <w:tc>
          <w:tcPr>
            <w:tcW w:w="1531" w:type="dxa"/>
            <w:tcBorders/>
          </w:tcPr>
          <w:p>
            <w:pPr>
              <w:pStyle w:val="Normal"/>
              <w:widowControl/>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Стоимость услуг за одного проверяемого, руб.</w:t>
            </w:r>
            <w:r>
              <w:rPr>
                <w:rFonts w:eastAsia="Calibri" w:cs=""/>
                <w:kern w:val="0"/>
                <w:sz w:val="20"/>
                <w:szCs w:val="20"/>
                <w:lang w:val="ru-RU" w:eastAsia="en-US" w:bidi="ar-SA"/>
              </w:rPr>
              <w:t xml:space="preserve"> </w:t>
            </w:r>
            <w:r>
              <w:rPr>
                <w:rFonts w:eastAsia="Calibri" w:cs="Times New Roman" w:ascii="Times New Roman" w:hAnsi="Times New Roman"/>
                <w:b/>
                <w:kern w:val="0"/>
                <w:sz w:val="20"/>
                <w:szCs w:val="20"/>
                <w:lang w:val="ru-RU" w:eastAsia="en-US" w:bidi="ar-SA"/>
              </w:rPr>
              <w:t>(НДС не облагается)</w:t>
            </w:r>
          </w:p>
        </w:tc>
        <w:tc>
          <w:tcPr>
            <w:tcW w:w="1716" w:type="dxa"/>
            <w:tcBorders/>
          </w:tcPr>
          <w:p>
            <w:pPr>
              <w:pStyle w:val="Normal"/>
              <w:widowControl/>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Стоимость услуг по категории, руб.</w:t>
            </w:r>
            <w:r>
              <w:rPr>
                <w:rFonts w:eastAsia="Calibri" w:cs=""/>
                <w:kern w:val="0"/>
                <w:sz w:val="20"/>
                <w:szCs w:val="20"/>
                <w:lang w:val="ru-RU" w:eastAsia="en-US" w:bidi="ar-SA"/>
              </w:rPr>
              <w:t xml:space="preserve"> </w:t>
            </w:r>
            <w:r>
              <w:rPr>
                <w:rFonts w:eastAsia="Calibri" w:cs="Times New Roman" w:ascii="Times New Roman" w:hAnsi="Times New Roman"/>
                <w:b/>
                <w:kern w:val="0"/>
                <w:sz w:val="20"/>
                <w:szCs w:val="20"/>
                <w:lang w:val="ru-RU" w:eastAsia="en-US" w:bidi="ar-SA"/>
              </w:rPr>
              <w:t>(НДС не облагается)</w:t>
            </w:r>
          </w:p>
        </w:tc>
      </w:tr>
      <w:tr>
        <w:trPr/>
        <w:tc>
          <w:tcPr>
            <w:tcW w:w="560"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2559"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w:t>
            </w:r>
          </w:p>
        </w:tc>
        <w:tc>
          <w:tcPr>
            <w:tcW w:w="849"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w:t>
            </w:r>
          </w:p>
        </w:tc>
        <w:tc>
          <w:tcPr>
            <w:tcW w:w="1277"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5</w:t>
            </w:r>
          </w:p>
        </w:tc>
        <w:tc>
          <w:tcPr>
            <w:tcW w:w="1531"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w:t>
            </w:r>
          </w:p>
        </w:tc>
        <w:tc>
          <w:tcPr>
            <w:tcW w:w="1716"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7</w:t>
            </w:r>
          </w:p>
        </w:tc>
      </w:tr>
      <w:tr>
        <w:trPr/>
        <w:tc>
          <w:tcPr>
            <w:tcW w:w="560" w:type="dxa"/>
            <w:tcBorders/>
          </w:tcPr>
          <w:p>
            <w:pPr>
              <w:pStyle w:val="Normal"/>
              <w:widowControl/>
              <w:suppressAutoHyphens w:val="true"/>
              <w:spacing w:lineRule="auto" w:line="240" w:before="0" w:after="0"/>
              <w:jc w:val="center"/>
              <w:rPr>
                <w:rFonts w:ascii="Times New Roman" w:hAnsi="Times New Roman" w:cs="Times New Roman"/>
              </w:rPr>
            </w:pPr>
            <w:r>
              <w:rPr/>
            </w:r>
          </w:p>
        </w:tc>
        <w:tc>
          <w:tcPr>
            <w:tcW w:w="2559" w:type="dxa"/>
            <w:tcBorders/>
            <w:vAlign w:val="center"/>
          </w:tcPr>
          <w:p>
            <w:pPr>
              <w:pStyle w:val="Normal"/>
              <w:widowControl/>
              <w:suppressAutoHyphens w:val="true"/>
              <w:spacing w:lineRule="auto" w:line="216" w:before="0" w:after="0"/>
              <w:jc w:val="left"/>
              <w:rPr>
                <w:rFonts w:ascii="Times New Roman" w:hAnsi="Times New Roman" w:cs="Times New Roman"/>
                <w:sz w:val="20"/>
                <w:szCs w:val="20"/>
              </w:rPr>
            </w:pPr>
            <w:r>
              <w:rPr/>
            </w:r>
          </w:p>
        </w:tc>
        <w:tc>
          <w:tcPr>
            <w:tcW w:w="1843" w:type="dxa"/>
            <w:tcBorders/>
            <w:vAlign w:val="center"/>
          </w:tcPr>
          <w:p>
            <w:pPr>
              <w:pStyle w:val="Normal"/>
              <w:widowControl/>
              <w:suppressAutoHyphens w:val="true"/>
              <w:spacing w:lineRule="auto" w:line="216" w:before="0" w:after="0"/>
              <w:jc w:val="left"/>
              <w:rPr>
                <w:rFonts w:ascii="Times New Roman" w:hAnsi="Times New Roman" w:cs="Times New Roman"/>
                <w:sz w:val="20"/>
                <w:szCs w:val="20"/>
              </w:rPr>
            </w:pPr>
            <w:r>
              <w:rPr/>
            </w:r>
          </w:p>
        </w:tc>
        <w:tc>
          <w:tcPr>
            <w:tcW w:w="849" w:type="dxa"/>
            <w:tcBorders/>
            <w:vAlign w:val="center"/>
          </w:tcPr>
          <w:p>
            <w:pPr>
              <w:pStyle w:val="Normal"/>
              <w:widowControl/>
              <w:suppressAutoHyphens w:val="true"/>
              <w:spacing w:lineRule="auto" w:line="216" w:before="0" w:after="0"/>
              <w:jc w:val="center"/>
              <w:rPr>
                <w:rFonts w:ascii="Times New Roman" w:hAnsi="Times New Roman" w:eastAsia="Times New Roman" w:cs="Times New Roman"/>
                <w:bCs/>
                <w:sz w:val="20"/>
                <w:szCs w:val="20"/>
                <w:lang w:val="en-US" w:eastAsia="ru-RU"/>
              </w:rPr>
            </w:pPr>
            <w:r>
              <w:rPr/>
            </w:r>
          </w:p>
        </w:tc>
        <w:tc>
          <w:tcPr>
            <w:tcW w:w="1277" w:type="dxa"/>
            <w:tcBorders/>
            <w:vAlign w:val="center"/>
          </w:tcPr>
          <w:p>
            <w:pPr>
              <w:pStyle w:val="Normal"/>
              <w:widowControl/>
              <w:suppressAutoHyphens w:val="true"/>
              <w:spacing w:lineRule="auto" w:line="216" w:before="0" w:after="0"/>
              <w:jc w:val="center"/>
              <w:rPr>
                <w:rFonts w:ascii="Times New Roman" w:hAnsi="Times New Roman" w:cs="Times New Roman"/>
                <w:sz w:val="20"/>
                <w:szCs w:val="20"/>
              </w:rPr>
            </w:pPr>
            <w:r>
              <w:rPr/>
            </w:r>
          </w:p>
        </w:tc>
        <w:tc>
          <w:tcPr>
            <w:tcW w:w="1531" w:type="dxa"/>
            <w:tcBorders/>
            <w:vAlign w:val="center"/>
          </w:tcPr>
          <w:p>
            <w:pPr>
              <w:pStyle w:val="Normal"/>
              <w:widowControl/>
              <w:suppressAutoHyphens w:val="true"/>
              <w:spacing w:lineRule="auto" w:line="216" w:before="0" w:after="0"/>
              <w:jc w:val="center"/>
              <w:rPr>
                <w:rFonts w:ascii="Times New Roman" w:hAnsi="Times New Roman" w:cs="Times New Roman"/>
                <w:sz w:val="20"/>
                <w:szCs w:val="20"/>
              </w:rPr>
            </w:pPr>
            <w:r>
              <w:rPr/>
            </w:r>
          </w:p>
        </w:tc>
        <w:tc>
          <w:tcPr>
            <w:tcW w:w="1716" w:type="dxa"/>
            <w:tcBorders/>
            <w:vAlign w:val="center"/>
          </w:tcPr>
          <w:p>
            <w:pPr>
              <w:pStyle w:val="Normal"/>
              <w:widowControl/>
              <w:suppressAutoHyphens w:val="true"/>
              <w:spacing w:lineRule="auto" w:line="216" w:before="0" w:after="0"/>
              <w:jc w:val="center"/>
              <w:rPr>
                <w:rFonts w:ascii="Times New Roman" w:hAnsi="Times New Roman" w:cs="Times New Roman"/>
                <w:sz w:val="20"/>
                <w:szCs w:val="20"/>
              </w:rPr>
            </w:pPr>
            <w:r>
              <w:rPr/>
            </w:r>
          </w:p>
        </w:tc>
      </w:tr>
      <w:tr>
        <w:trPr/>
        <w:tc>
          <w:tcPr>
            <w:tcW w:w="560"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8059" w:type="dxa"/>
            <w:gridSpan w:val="5"/>
            <w:tcBorders/>
          </w:tcPr>
          <w:p>
            <w:pPr>
              <w:pStyle w:val="Normal"/>
              <w:widowControl/>
              <w:suppressAutoHyphens w:val="true"/>
              <w:spacing w:lineRule="auto" w:line="240" w:before="0" w:after="0"/>
              <w:jc w:val="right"/>
              <w:rPr>
                <w:rFonts w:ascii="Times New Roman" w:hAnsi="Times New Roman" w:cs="Times New Roman"/>
                <w:b/>
                <w:sz w:val="24"/>
                <w:szCs w:val="24"/>
              </w:rPr>
            </w:pPr>
            <w:r>
              <w:rPr>
                <w:rFonts w:eastAsia="Calibri" w:cs="Times New Roman" w:ascii="Times New Roman" w:hAnsi="Times New Roman"/>
                <w:b/>
                <w:kern w:val="0"/>
                <w:sz w:val="24"/>
                <w:szCs w:val="24"/>
                <w:lang w:val="ru-RU" w:eastAsia="en-US" w:bidi="ar-SA"/>
              </w:rPr>
              <w:t>ИТОГО:</w:t>
            </w:r>
          </w:p>
        </w:tc>
        <w:tc>
          <w:tcPr>
            <w:tcW w:w="1716" w:type="dxa"/>
            <w:tcBorders/>
          </w:tcPr>
          <w:p>
            <w:pPr>
              <w:pStyle w:val="Normal"/>
              <w:widowControl/>
              <w:suppressAutoHyphens w:val="true"/>
              <w:spacing w:lineRule="auto" w:line="240" w:before="0" w:after="0"/>
              <w:jc w:val="center"/>
              <w:rPr>
                <w:rFonts w:ascii="Times New Roman" w:hAnsi="Times New Roman" w:cs="Times New Roman"/>
                <w:b/>
                <w:sz w:val="24"/>
                <w:szCs w:val="24"/>
              </w:rPr>
            </w:pPr>
            <w:r>
              <w:rPr/>
            </w:r>
          </w:p>
        </w:tc>
      </w:tr>
    </w:tbl>
    <w:p>
      <w:pPr>
        <w:pStyle w:val="Normal"/>
        <w:spacing w:lineRule="auto" w:line="240" w:before="0" w:after="0"/>
        <w:ind w:hanging="709" w:left="709"/>
        <w:jc w:val="center"/>
        <w:rPr>
          <w:rFonts w:ascii="Times New Roman" w:hAnsi="Times New Roman" w:cs="Times New Roman"/>
          <w:b/>
          <w:sz w:val="24"/>
          <w:szCs w:val="24"/>
        </w:rPr>
      </w:pPr>
      <w:r>
        <w:rPr>
          <w:rFonts w:cs="Times New Roman" w:ascii="Times New Roman" w:hAnsi="Times New Roman"/>
          <w:b/>
          <w:sz w:val="24"/>
          <w:szCs w:val="24"/>
        </w:rPr>
      </w:r>
    </w:p>
    <w:p>
      <w:pPr>
        <w:pStyle w:val="Normal"/>
        <w:ind w:hanging="709" w:left="709"/>
        <w:jc w:val="both"/>
        <w:rPr>
          <w:rFonts w:ascii="Times New Roman" w:hAnsi="Times New Roman" w:eastAsia="Calibri" w:cs="Times New Roman"/>
          <w:sz w:val="24"/>
          <w:szCs w:val="24"/>
        </w:rPr>
      </w:pPr>
      <w:r>
        <w:rPr/>
      </w:r>
    </w:p>
    <w:p>
      <w:pPr>
        <w:pStyle w:val="Normal"/>
        <w:ind w:hanging="709" w:left="709"/>
        <w:jc w:val="center"/>
        <w:rPr>
          <w:rFonts w:ascii="Times New Roman" w:hAnsi="Times New Roman" w:eastAsia="Calibri" w:cs="Times New Roman"/>
          <w:b/>
          <w:sz w:val="24"/>
          <w:szCs w:val="24"/>
        </w:rPr>
      </w:pPr>
      <w:r>
        <w:rPr>
          <w:rFonts w:eastAsia="Calibri" w:cs="Times New Roman" w:ascii="Times New Roman" w:hAnsi="Times New Roman"/>
          <w:b/>
          <w:sz w:val="24"/>
          <w:szCs w:val="24"/>
        </w:rPr>
        <w:t>ИСПОЛНИТЕЛЬ:                                                         ЗАКАЗЧИК:</w:t>
      </w:r>
    </w:p>
    <w:tbl>
      <w:tblPr>
        <w:tblStyle w:val="a4"/>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69"/>
        <w:gridCol w:w="5068"/>
      </w:tblGrid>
      <w:tr>
        <w:trPr/>
        <w:tc>
          <w:tcPr>
            <w:tcW w:w="5069"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eastAsia="Calibri" w:cs="Times New Roman"/>
                <w:b/>
                <w:sz w:val="24"/>
                <w:szCs w:val="24"/>
              </w:rPr>
            </w:pPr>
            <w:r>
              <w:rPr/>
            </w:r>
          </w:p>
        </w:tc>
        <w:tc>
          <w:tcPr>
            <w:tcW w:w="5068" w:type="dxa"/>
            <w:tcBorders>
              <w:top w:val="nil"/>
              <w:left w:val="nil"/>
              <w:bottom w:val="nil"/>
              <w:right w:val="nil"/>
            </w:tcBorders>
            <w:vAlign w:val="center"/>
          </w:tcPr>
          <w:p>
            <w:pPr>
              <w:pStyle w:val="Normal"/>
              <w:widowControl/>
              <w:suppressAutoHyphens w:val="true"/>
              <w:spacing w:lineRule="auto" w:line="240" w:before="0" w:after="0"/>
              <w:jc w:val="center"/>
              <w:rPr>
                <w:rFonts w:ascii="Times New Roman" w:hAnsi="Times New Roman" w:eastAsia="Calibri" w:cs="Times New Roman"/>
                <w:b/>
                <w:sz w:val="24"/>
                <w:szCs w:val="24"/>
              </w:rPr>
            </w:pPr>
            <w:r>
              <w:rPr/>
            </w:r>
          </w:p>
        </w:tc>
      </w:tr>
    </w:tbl>
    <w:p>
      <w:pPr>
        <w:pStyle w:val="Normal"/>
        <w:ind w:hanging="709" w:left="709"/>
        <w:jc w:val="both"/>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40" w:before="0" w:after="0"/>
        <w:jc w:val="right"/>
        <w:rPr>
          <w:rFonts w:ascii="Times New Roman" w:hAnsi="Times New Roman" w:cs="Times New Roman"/>
          <w:sz w:val="24"/>
          <w:szCs w:val="24"/>
        </w:rPr>
      </w:pPr>
      <w:bookmarkStart w:id="3" w:name="_Hlk494480891"/>
      <w:r>
        <w:rPr>
          <w:rFonts w:cs="Times New Roman" w:ascii="Times New Roman" w:hAnsi="Times New Roman"/>
          <w:sz w:val="24"/>
          <w:szCs w:val="24"/>
        </w:rPr>
        <w:t>Приложение № 2</w:t>
      </w:r>
      <w:bookmarkEnd w:id="3"/>
    </w:p>
    <w:p>
      <w:pPr>
        <w:pStyle w:val="Normal"/>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before="0" w:after="0"/>
        <w:jc w:val="center"/>
        <w:rPr>
          <w:rFonts w:ascii="Times New Roman" w:hAnsi="Times New Roman" w:cs="Times New Roman"/>
          <w:b/>
          <w:sz w:val="28"/>
          <w:szCs w:val="28"/>
        </w:rPr>
      </w:pPr>
      <w:r>
        <w:rPr>
          <w:rFonts w:cs="Times New Roman" w:ascii="Times New Roman" w:hAnsi="Times New Roman"/>
          <w:b/>
          <w:sz w:val="28"/>
          <w:szCs w:val="28"/>
        </w:rPr>
        <w:t>Заявка</w:t>
      </w:r>
    </w:p>
    <w:p>
      <w:pPr>
        <w:pStyle w:val="Normal"/>
        <w:spacing w:before="0" w:after="0"/>
        <w:jc w:val="center"/>
        <w:rPr>
          <w:rFonts w:ascii="Times New Roman" w:hAnsi="Times New Roman" w:cs="Times New Roman"/>
          <w:b/>
          <w:sz w:val="28"/>
          <w:szCs w:val="28"/>
        </w:rPr>
      </w:pPr>
      <w:r>
        <w:rPr>
          <w:rFonts w:cs="Times New Roman" w:ascii="Times New Roman" w:hAnsi="Times New Roman"/>
          <w:b/>
          <w:sz w:val="28"/>
          <w:szCs w:val="28"/>
        </w:rPr>
        <w:t>на оказание услуг по</w:t>
      </w:r>
      <w:r>
        <w:rPr>
          <w:rFonts w:cs="Times New Roman" w:ascii="Times New Roman" w:hAnsi="Times New Roman"/>
          <w:sz w:val="24"/>
          <w:szCs w:val="24"/>
        </w:rPr>
        <w:t xml:space="preserve"> </w:t>
      </w:r>
      <w:r>
        <w:rPr>
          <w:rFonts w:cs="Times New Roman" w:ascii="Times New Roman" w:hAnsi="Times New Roman"/>
          <w:b/>
          <w:sz w:val="28"/>
          <w:szCs w:val="28"/>
        </w:rPr>
        <w:t>проведению</w:t>
      </w:r>
      <w:r>
        <w:rPr>
          <w:rFonts w:cs="Times New Roman" w:ascii="Times New Roman" w:hAnsi="Times New Roman"/>
          <w:sz w:val="24"/>
          <w:szCs w:val="24"/>
        </w:rPr>
        <w:t xml:space="preserve"> </w:t>
      </w:r>
      <w:r>
        <w:rPr>
          <w:rFonts w:cs="Times New Roman" w:ascii="Times New Roman" w:hAnsi="Times New Roman"/>
          <w:b/>
          <w:sz w:val="28"/>
          <w:szCs w:val="28"/>
        </w:rPr>
        <w:t>проверок в целях аттестации сил обеспечения транспортной безопасности</w:t>
      </w:r>
    </w:p>
    <w:p>
      <w:pPr>
        <w:pStyle w:val="Normal"/>
        <w:spacing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jc w:val="both"/>
        <w:rPr>
          <w:rFonts w:ascii="Times New Roman" w:hAnsi="Times New Roman" w:eastAsia="Times New Roman" w:cs="Times New Roman"/>
          <w:spacing w:val="56"/>
          <w:sz w:val="28"/>
          <w:szCs w:val="28"/>
          <w:lang w:eastAsia="ru-RU"/>
        </w:rPr>
      </w:pPr>
      <w:r>
        <w:rPr>
          <w:rFonts w:cs="Times New Roman" w:ascii="Times New Roman" w:hAnsi="Times New Roman"/>
          <w:b/>
          <w:sz w:val="24"/>
          <w:szCs w:val="24"/>
        </w:rPr>
        <w:t xml:space="preserve">    </w:t>
      </w:r>
      <w:r>
        <w:rPr>
          <w:rFonts w:cs="Times New Roman" w:ascii="Times New Roman" w:hAnsi="Times New Roman"/>
          <w:b/>
          <w:sz w:val="24"/>
          <w:szCs w:val="24"/>
        </w:rPr>
        <w:tab/>
      </w:r>
      <w:r>
        <w:rPr>
          <w:rFonts w:cs="Times New Roman" w:ascii="Times New Roman" w:hAnsi="Times New Roman"/>
          <w:sz w:val="24"/>
          <w:szCs w:val="24"/>
        </w:rPr>
        <w:t xml:space="preserve">Прошу оказать услуги по проведению проверок в целях аттестации в отношении Акционерное Общество «Транспортная Компания РусГидро» (АО ТК «РусГидро») в соответствии с Договором № </w:t>
      </w:r>
      <w:r>
        <w:rPr>
          <w:rFonts w:eastAsia="Times New Roman" w:cs="Times New Roman" w:ascii="Times New Roman" w:hAnsi="Times New Roman"/>
          <w:spacing w:val="56"/>
          <w:sz w:val="28"/>
          <w:szCs w:val="28"/>
          <w:lang w:eastAsia="ru-RU"/>
        </w:rPr>
        <w:t xml:space="preserve">                                 .</w:t>
      </w:r>
    </w:p>
    <w:p>
      <w:pPr>
        <w:pStyle w:val="Normal"/>
        <w:jc w:val="center"/>
        <w:rPr>
          <w:rFonts w:ascii="Times New Roman" w:hAnsi="Times New Roman" w:eastAsia="Times New Roman" w:cs="Times New Roman"/>
          <w:color w:val="000000"/>
          <w:spacing w:val="56"/>
          <w:sz w:val="28"/>
          <w:szCs w:val="28"/>
          <w:lang w:eastAsia="ru-RU"/>
        </w:rPr>
      </w:pPr>
      <w:r>
        <w:rPr>
          <w:rFonts w:cs="Times New Roman" w:ascii="Times New Roman" w:hAnsi="Times New Roman"/>
          <w:b/>
          <w:lang w:eastAsia="ru-RU"/>
        </w:rPr>
        <w:t xml:space="preserve">СПИСОК ЛИЦ, ПРОВЕРЯЕМЫХ В ЦЕЛЯХ АТТЕСТАЦИИ  </w:t>
      </w:r>
    </w:p>
    <w:tbl>
      <w:tblPr>
        <w:tblStyle w:val="11"/>
        <w:tblW w:w="1003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57"/>
        <w:gridCol w:w="4980"/>
        <w:gridCol w:w="4394"/>
      </w:tblGrid>
      <w:tr>
        <w:trPr/>
        <w:tc>
          <w:tcPr>
            <w:tcW w:w="657" w:type="dxa"/>
            <w:tcBorders/>
            <w:vAlign w:val="center"/>
          </w:tcPr>
          <w:p>
            <w:pPr>
              <w:pStyle w:val="Normal"/>
              <w:widowControl/>
              <w:suppressAutoHyphens w:val="true"/>
              <w:spacing w:lineRule="auto" w:line="240" w:before="0" w:after="0"/>
              <w:jc w:val="center"/>
              <w:rPr>
                <w:szCs w:val="28"/>
              </w:rPr>
            </w:pPr>
            <w:r>
              <w:rPr>
                <w:rFonts w:eastAsia="Times New Roman" w:cs="Times New Roman" w:ascii="Times New Roman" w:hAnsi="Times New Roman"/>
                <w:kern w:val="0"/>
                <w:sz w:val="28"/>
                <w:szCs w:val="28"/>
                <w:lang w:val="ru-RU" w:eastAsia="ru-RU" w:bidi="ar-SA"/>
              </w:rPr>
              <w:t xml:space="preserve">№ </w:t>
            </w:r>
            <w:r>
              <w:rPr>
                <w:rFonts w:eastAsia="Times New Roman" w:cs="Times New Roman" w:ascii="Times New Roman" w:hAnsi="Times New Roman"/>
                <w:kern w:val="0"/>
                <w:sz w:val="28"/>
                <w:szCs w:val="28"/>
                <w:lang w:val="ru-RU" w:eastAsia="ru-RU" w:bidi="ar-SA"/>
              </w:rPr>
              <w:t>п.п.</w:t>
            </w:r>
          </w:p>
        </w:tc>
        <w:tc>
          <w:tcPr>
            <w:tcW w:w="4980" w:type="dxa"/>
            <w:tcBorders/>
            <w:vAlign w:val="center"/>
          </w:tcPr>
          <w:p>
            <w:pPr>
              <w:pStyle w:val="Normal"/>
              <w:widowControl/>
              <w:suppressAutoHyphens w:val="true"/>
              <w:spacing w:lineRule="auto" w:line="240" w:before="0" w:after="0"/>
              <w:jc w:val="center"/>
              <w:rPr>
                <w:szCs w:val="28"/>
              </w:rPr>
            </w:pPr>
            <w:r>
              <w:rPr>
                <w:rFonts w:eastAsia="Times New Roman" w:cs="Times New Roman" w:ascii="Times New Roman" w:hAnsi="Times New Roman"/>
                <w:kern w:val="0"/>
                <w:sz w:val="28"/>
                <w:szCs w:val="28"/>
                <w:lang w:val="ru-RU" w:eastAsia="en-US" w:bidi="ar-SA"/>
              </w:rPr>
              <w:t>Категория</w:t>
            </w:r>
          </w:p>
          <w:p>
            <w:pPr>
              <w:pStyle w:val="Normal"/>
              <w:widowControl/>
              <w:suppressAutoHyphens w:val="true"/>
              <w:spacing w:lineRule="auto" w:line="240" w:before="0" w:after="0"/>
              <w:jc w:val="center"/>
              <w:rPr>
                <w:szCs w:val="28"/>
              </w:rPr>
            </w:pPr>
            <w:r>
              <w:rPr>
                <w:rFonts w:eastAsia="Times New Roman" w:cs="Times New Roman" w:ascii="Times New Roman" w:hAnsi="Times New Roman"/>
                <w:kern w:val="0"/>
                <w:sz w:val="28"/>
                <w:szCs w:val="28"/>
                <w:lang w:val="ru-RU" w:eastAsia="en-US" w:bidi="ar-SA"/>
              </w:rPr>
              <w:t>проведения проверок в целях аттестации лиц</w:t>
            </w:r>
          </w:p>
        </w:tc>
        <w:tc>
          <w:tcPr>
            <w:tcW w:w="4394" w:type="dxa"/>
            <w:tcBorders/>
          </w:tcPr>
          <w:p>
            <w:pPr>
              <w:pStyle w:val="Normal"/>
              <w:widowControl/>
              <w:suppressAutoHyphens w:val="true"/>
              <w:spacing w:lineRule="auto" w:line="240" w:before="0" w:after="0"/>
              <w:jc w:val="center"/>
              <w:rPr>
                <w:szCs w:val="28"/>
              </w:rPr>
            </w:pPr>
            <w:r>
              <w:rPr>
                <w:rFonts w:eastAsia="Times New Roman" w:cs="Times New Roman" w:ascii="Times New Roman" w:hAnsi="Times New Roman"/>
                <w:kern w:val="0"/>
                <w:sz w:val="28"/>
                <w:szCs w:val="28"/>
                <w:lang w:val="ru-RU" w:eastAsia="en-US" w:bidi="ar-SA"/>
              </w:rPr>
              <w:t>Кол-во человек</w:t>
            </w:r>
          </w:p>
        </w:tc>
      </w:tr>
      <w:tr>
        <w:trPr/>
        <w:tc>
          <w:tcPr>
            <w:tcW w:w="657" w:type="dxa"/>
            <w:tcBorders/>
            <w:vAlign w:val="center"/>
          </w:tcPr>
          <w:p>
            <w:pPr>
              <w:pStyle w:val="Normal"/>
              <w:widowControl/>
              <w:suppressAutoHyphens w:val="true"/>
              <w:spacing w:lineRule="auto" w:line="240" w:before="0" w:after="0"/>
              <w:jc w:val="center"/>
              <w:rPr>
                <w:szCs w:val="28"/>
                <w:lang w:eastAsia="ru-RU"/>
              </w:rPr>
            </w:pPr>
            <w:r>
              <w:rPr>
                <w:rFonts w:eastAsia="Times New Roman" w:cs="Times New Roman" w:ascii="Times New Roman" w:hAnsi="Times New Roman"/>
                <w:kern w:val="0"/>
                <w:sz w:val="28"/>
                <w:szCs w:val="28"/>
                <w:lang w:val="ru-RU" w:eastAsia="ru-RU" w:bidi="ar-SA"/>
              </w:rPr>
              <w:t>1</w:t>
            </w:r>
          </w:p>
        </w:tc>
        <w:tc>
          <w:tcPr>
            <w:tcW w:w="4980" w:type="dxa"/>
            <w:tcBorders/>
            <w:vAlign w:val="center"/>
          </w:tcPr>
          <w:p>
            <w:pPr>
              <w:pStyle w:val="Normal"/>
              <w:widowControl/>
              <w:suppressAutoHyphens w:val="true"/>
              <w:spacing w:lineRule="auto" w:line="240" w:before="0" w:after="0"/>
              <w:jc w:val="center"/>
              <w:rPr>
                <w:szCs w:val="28"/>
              </w:rPr>
            </w:pPr>
            <w:r>
              <w:rPr>
                <w:rFonts w:eastAsia="Times New Roman" w:cs="Times New Roman" w:ascii="Times New Roman" w:hAnsi="Times New Roman"/>
                <w:kern w:val="0"/>
                <w:sz w:val="28"/>
                <w:szCs w:val="28"/>
                <w:lang w:val="ru-RU" w:eastAsia="en-US" w:bidi="ar-SA"/>
              </w:rPr>
              <w:t>Вторая</w:t>
            </w:r>
          </w:p>
        </w:tc>
        <w:tc>
          <w:tcPr>
            <w:tcW w:w="4394" w:type="dxa"/>
            <w:tcBorders/>
          </w:tcPr>
          <w:p>
            <w:pPr>
              <w:pStyle w:val="Normal"/>
              <w:widowControl/>
              <w:suppressAutoHyphens w:val="true"/>
              <w:spacing w:lineRule="auto" w:line="240" w:before="0" w:after="0"/>
              <w:jc w:val="center"/>
              <w:rPr>
                <w:szCs w:val="28"/>
              </w:rPr>
            </w:pPr>
            <w:r>
              <w:rPr>
                <w:rFonts w:eastAsia="Times New Roman" w:cs="Times New Roman" w:ascii="Times New Roman" w:hAnsi="Times New Roman"/>
                <w:kern w:val="0"/>
                <w:sz w:val="28"/>
                <w:szCs w:val="28"/>
                <w:lang w:val="ru-RU" w:eastAsia="en-US" w:bidi="ar-SA"/>
              </w:rPr>
              <w:t>4</w:t>
            </w:r>
          </w:p>
        </w:tc>
      </w:tr>
    </w:tbl>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90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90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tbl>
      <w:tblPr>
        <w:tblW w:w="10060"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5387"/>
        <w:gridCol w:w="4672"/>
      </w:tblGrid>
      <w:tr>
        <w:trPr>
          <w:trHeight w:val="548" w:hRule="atLeast"/>
        </w:trPr>
        <w:tc>
          <w:tcPr>
            <w:tcW w:w="5387" w:type="dxa"/>
            <w:tcBorders/>
            <w:vAlign w:val="center"/>
          </w:tcPr>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ОТ ИСПОЛНИТЕЛЯ</w:t>
            </w:r>
          </w:p>
        </w:tc>
        <w:tc>
          <w:tcPr>
            <w:tcW w:w="4672" w:type="dxa"/>
            <w:tcBorders/>
            <w:vAlign w:val="center"/>
          </w:tcPr>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ОТ ЗАКАЗЧИКА</w:t>
            </w:r>
          </w:p>
        </w:tc>
      </w:tr>
      <w:tr>
        <w:trPr/>
        <w:tc>
          <w:tcPr>
            <w:tcW w:w="5387" w:type="dxa"/>
            <w:tcBorders/>
          </w:tcPr>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tc>
        <w:tc>
          <w:tcPr>
            <w:tcW w:w="4672" w:type="dxa"/>
            <w:tcBorders/>
          </w:tcPr>
          <w:p>
            <w:pPr>
              <w:pStyle w:val="Normal"/>
              <w:spacing w:lineRule="auto" w:line="240" w:before="0" w:after="0"/>
              <w:jc w:val="both"/>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tc>
      </w:tr>
    </w:tbl>
    <w:tbl>
      <w:tblPr>
        <w:tblStyle w:val="a4"/>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69"/>
        <w:gridCol w:w="5068"/>
      </w:tblGrid>
      <w:tr>
        <w:trPr/>
        <w:tc>
          <w:tcPr>
            <w:tcW w:w="5069"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eastAsia="Calibri" w:cs="Times New Roman"/>
                <w:b/>
                <w:sz w:val="24"/>
                <w:szCs w:val="24"/>
              </w:rPr>
            </w:pPr>
            <w:r>
              <w:rPr/>
            </w:r>
          </w:p>
        </w:tc>
        <w:tc>
          <w:tcPr>
            <w:tcW w:w="5068"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eastAsia="Calibri" w:cs="Times New Roman"/>
                <w:b/>
                <w:sz w:val="24"/>
                <w:szCs w:val="24"/>
              </w:rPr>
            </w:pPr>
            <w:r>
              <w:rPr/>
            </w:r>
          </w:p>
        </w:tc>
      </w:tr>
    </w:tbl>
    <w:p>
      <w:pPr>
        <w:pStyle w:val="Normal"/>
        <w:rPr/>
      </w:pPr>
      <w:r>
        <w:rPr/>
      </w:r>
    </w:p>
    <w:p>
      <w:pPr>
        <w:pStyle w:val="Normal"/>
        <w:rPr/>
      </w:pPr>
      <w:r>
        <w:rPr/>
      </w:r>
      <w:r>
        <w:br w:type="page"/>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Приложение № 3</w:t>
      </w:r>
    </w:p>
    <w:p>
      <w:pPr>
        <w:pStyle w:val="Normal"/>
        <w:rPr/>
      </w:pPr>
      <w:r>
        <w:rPr/>
      </w:r>
    </w:p>
    <w:p>
      <w:pPr>
        <w:pStyle w:val="Normal"/>
        <w:rPr/>
      </w:pPr>
      <w:r>
        <w:rPr/>
      </w:r>
    </w:p>
    <w:p>
      <w:pPr>
        <w:pStyle w:val="Normal"/>
        <w:spacing w:lineRule="auto" w:line="240"/>
        <w:jc w:val="center"/>
        <w:rPr>
          <w:rFonts w:ascii="Times New Roman" w:hAnsi="Times New Roman" w:cs="Times New Roman"/>
          <w:b/>
          <w:sz w:val="28"/>
          <w:szCs w:val="24"/>
        </w:rPr>
      </w:pPr>
      <w:r>
        <w:rPr>
          <w:rFonts w:cs="Times New Roman" w:ascii="Times New Roman" w:hAnsi="Times New Roman"/>
          <w:b/>
          <w:sz w:val="28"/>
          <w:szCs w:val="24"/>
        </w:rPr>
        <w:t>Перечень исходных данных и документов, предоставляемых для проведения проверок в целях аттестации сил обеспечения транспортной безопасности</w:t>
      </w:r>
    </w:p>
    <w:p>
      <w:pPr>
        <w:pStyle w:val="Normal"/>
        <w:spacing w:lineRule="auto" w:line="240"/>
        <w:jc w:val="center"/>
        <w:rPr>
          <w:rFonts w:ascii="Times New Roman" w:hAnsi="Times New Roman" w:cs="Times New Roman"/>
          <w:b/>
          <w:sz w:val="28"/>
          <w:szCs w:val="24"/>
        </w:rPr>
      </w:pPr>
      <w:r>
        <w:rPr>
          <w:rFonts w:cs="Times New Roman" w:ascii="Times New Roman" w:hAnsi="Times New Roman"/>
          <w:b/>
          <w:sz w:val="28"/>
          <w:szCs w:val="24"/>
        </w:rPr>
      </w:r>
    </w:p>
    <w:p>
      <w:pPr>
        <w:pStyle w:val="Normal"/>
        <w:shd w:val="clear" w:color="auto" w:fill="FFFFFF"/>
        <w:spacing w:lineRule="auto" w:line="240" w:before="105" w:after="105"/>
        <w:ind w:firstLine="708"/>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Категории аттестуемых лиц:</w:t>
      </w:r>
    </w:p>
    <w:p>
      <w:pPr>
        <w:pStyle w:val="Normal"/>
        <w:shd w:val="clear" w:color="auto" w:fill="FFFFFF"/>
        <w:spacing w:lineRule="auto" w:line="240" w:before="105" w:after="105"/>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Cs/>
          <w:sz w:val="24"/>
          <w:szCs w:val="24"/>
          <w:lang w:eastAsia="ru-RU"/>
        </w:rPr>
        <w:t>(Категория 2) Работники субъекта транспортной инфраструктуры, ответственные за обеспечение транспортной безопасности на объекте транспортной инфраструктуры и/или транспортном средстве</w:t>
      </w:r>
    </w:p>
    <w:p>
      <w:pPr>
        <w:pStyle w:val="Normal"/>
        <w:shd w:val="clear" w:color="auto" w:fill="FFFFFF"/>
        <w:spacing w:lineRule="auto" w:line="240" w:before="105" w:after="105"/>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hd w:val="clear" w:color="auto" w:fill="FFFFFF"/>
        <w:spacing w:lineRule="auto" w:line="240" w:before="105" w:after="105"/>
        <w:ind w:firstLine="708"/>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bCs/>
          <w:sz w:val="24"/>
          <w:szCs w:val="24"/>
          <w:lang w:eastAsia="ru-RU"/>
        </w:rPr>
        <w:t xml:space="preserve">Все нижеперечисленные документы и сведения предоставляются в виде оригиналов на бумажных носителях, а также в форме электронной копии на </w:t>
      </w:r>
      <w:r>
        <w:rPr>
          <w:rFonts w:eastAsia="Times New Roman" w:cs="Times New Roman" w:ascii="Times New Roman" w:hAnsi="Times New Roman"/>
          <w:bCs/>
          <w:sz w:val="24"/>
          <w:szCs w:val="24"/>
          <w:lang w:val="en-US" w:eastAsia="ru-RU"/>
        </w:rPr>
        <w:t>CD</w:t>
      </w:r>
      <w:r>
        <w:rPr>
          <w:rFonts w:eastAsia="Times New Roman" w:cs="Times New Roman" w:ascii="Times New Roman" w:hAnsi="Times New Roman"/>
          <w:bCs/>
          <w:sz w:val="24"/>
          <w:szCs w:val="24"/>
          <w:lang w:eastAsia="ru-RU"/>
        </w:rPr>
        <w:t>-</w:t>
      </w:r>
      <w:r>
        <w:rPr>
          <w:rFonts w:eastAsia="Times New Roman" w:cs="Times New Roman" w:ascii="Times New Roman" w:hAnsi="Times New Roman"/>
          <w:bCs/>
          <w:sz w:val="24"/>
          <w:szCs w:val="24"/>
          <w:lang w:val="en-US" w:eastAsia="ru-RU"/>
        </w:rPr>
        <w:t>RW</w:t>
      </w:r>
      <w:r>
        <w:rPr>
          <w:rFonts w:eastAsia="Times New Roman" w:cs="Times New Roman" w:ascii="Times New Roman" w:hAnsi="Times New Roman"/>
          <w:bCs/>
          <w:sz w:val="24"/>
          <w:szCs w:val="24"/>
          <w:lang w:eastAsia="ru-RU"/>
        </w:rPr>
        <w:t xml:space="preserve">-диске отдельно </w:t>
      </w:r>
      <w:r>
        <w:rPr>
          <w:rFonts w:eastAsia="Times New Roman" w:cs="Times New Roman" w:ascii="Times New Roman" w:hAnsi="Times New Roman"/>
          <w:b/>
          <w:bCs/>
          <w:sz w:val="24"/>
          <w:szCs w:val="24"/>
          <w:lang w:eastAsia="ru-RU"/>
        </w:rPr>
        <w:t>на каждое аттестуемое лицо.</w:t>
      </w:r>
    </w:p>
    <w:p>
      <w:pPr>
        <w:pStyle w:val="Normal"/>
        <w:shd w:val="clear" w:color="auto" w:fill="FFFFFF"/>
        <w:spacing w:lineRule="auto" w:line="240" w:before="105" w:after="105"/>
        <w:ind w:firstLine="708"/>
        <w:jc w:val="both"/>
        <w:rPr>
          <w:rFonts w:ascii="Times New Roman" w:hAnsi="Times New Roman" w:eastAsia="Times New Roman" w:cs="Times New Roman"/>
          <w:b/>
          <w:bCs/>
          <w:sz w:val="24"/>
          <w:szCs w:val="24"/>
          <w:lang w:eastAsia="ru-RU"/>
        </w:rPr>
      </w:pPr>
      <w:r>
        <w:rPr/>
      </w:r>
    </w:p>
    <w:p>
      <w:pPr>
        <w:pStyle w:val="Normal"/>
        <w:shd w:val="clear" w:color="auto" w:fill="FFFFFF"/>
        <w:spacing w:lineRule="auto" w:line="240" w:before="105" w:after="105"/>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bCs/>
          <w:sz w:val="24"/>
          <w:szCs w:val="24"/>
          <w:lang w:eastAsia="ru-RU"/>
        </w:rPr>
        <w:t>Электронный адрес для отправки информации:</w:t>
      </w:r>
      <w:r>
        <w:rPr>
          <w:rFonts w:eastAsia="Times New Roman" w:cs="Times New Roman" w:ascii="Times New Roman" w:hAnsi="Times New Roman"/>
          <w:bCs/>
          <w:sz w:val="24"/>
          <w:szCs w:val="24"/>
          <w:lang w:eastAsia="ru-RU"/>
        </w:rPr>
        <w:t xml:space="preserve"> </w:t>
      </w:r>
    </w:p>
    <w:p>
      <w:pPr>
        <w:pStyle w:val="Normal"/>
        <w:shd w:val="clear" w:color="auto" w:fill="FFFFFF"/>
        <w:spacing w:lineRule="auto" w:line="240" w:before="105" w:after="105"/>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bCs/>
          <w:sz w:val="24"/>
          <w:szCs w:val="24"/>
          <w:lang w:eastAsia="ru-RU"/>
        </w:rPr>
        <w:t>Почтовый адрес для отправки информации:</w:t>
      </w:r>
      <w:r>
        <w:rPr>
          <w:rFonts w:eastAsia="Times New Roman" w:cs="Times New Roman" w:ascii="Times New Roman" w:hAnsi="Times New Roman"/>
          <w:bCs/>
          <w:sz w:val="24"/>
          <w:szCs w:val="24"/>
          <w:lang w:eastAsia="ru-RU"/>
        </w:rPr>
        <w:t xml:space="preserve"> </w:t>
      </w:r>
    </w:p>
    <w:p>
      <w:pPr>
        <w:pStyle w:val="Normal"/>
        <w:spacing w:lineRule="auto" w:line="240"/>
        <w:jc w:val="center"/>
        <w:rPr/>
      </w:pPr>
      <w:r>
        <w:rPr/>
      </w:r>
    </w:p>
    <w:p>
      <w:pPr>
        <w:pStyle w:val="Normal"/>
        <w:shd w:val="clear" w:color="auto" w:fill="FFFFFF"/>
        <w:spacing w:lineRule="auto" w:line="240" w:before="105" w:after="105"/>
        <w:ind w:firstLine="708"/>
        <w:jc w:val="both"/>
        <w:rPr>
          <w:rFonts w:ascii="Times New Roman" w:hAnsi="Times New Roman" w:eastAsia="Times New Roman" w:cs="Times New Roman"/>
          <w:bCs/>
          <w:sz w:val="24"/>
          <w:szCs w:val="24"/>
          <w:lang w:eastAsia="ru-RU"/>
        </w:rPr>
      </w:pPr>
      <w:r>
        <w:rPr/>
      </w:r>
    </w:p>
    <w:p>
      <w:pPr>
        <w:pStyle w:val="Normal"/>
        <w:shd w:val="clear" w:color="auto" w:fill="FFFFFF"/>
        <w:spacing w:lineRule="auto" w:line="240" w:before="105" w:after="105"/>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shd w:val="clear" w:color="auto" w:fill="FFFFFF"/>
        <w:spacing w:lineRule="auto" w:line="240" w:before="105" w:after="105"/>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shd w:val="clear" w:color="auto" w:fill="FFFFFF"/>
        <w:spacing w:lineRule="auto" w:line="240" w:before="105" w:after="105"/>
        <w:ind w:firstLine="709"/>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tbl>
      <w:tblPr>
        <w:tblW w:w="9630"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4956"/>
        <w:gridCol w:w="4673"/>
      </w:tblGrid>
      <w:tr>
        <w:trPr>
          <w:trHeight w:val="548" w:hRule="atLeast"/>
        </w:trPr>
        <w:tc>
          <w:tcPr>
            <w:tcW w:w="4956" w:type="dxa"/>
            <w:tcBorders/>
            <w:vAlign w:val="center"/>
          </w:tcPr>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ОТ ИСПОЛНИТЕЛЯ</w:t>
            </w:r>
          </w:p>
        </w:tc>
        <w:tc>
          <w:tcPr>
            <w:tcW w:w="4673" w:type="dxa"/>
            <w:tcBorders/>
            <w:vAlign w:val="center"/>
          </w:tcPr>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ОТ ЗАКАЗЧИКА</w:t>
            </w:r>
          </w:p>
        </w:tc>
      </w:tr>
    </w:tbl>
    <w:tbl>
      <w:tblPr>
        <w:tblStyle w:val="a4"/>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69"/>
        <w:gridCol w:w="5068"/>
      </w:tblGrid>
      <w:tr>
        <w:trPr>
          <w:trHeight w:val="2271" w:hRule="atLeast"/>
        </w:trPr>
        <w:tc>
          <w:tcPr>
            <w:tcW w:w="5069"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eastAsia="Calibri" w:cs="Times New Roman"/>
                <w:b/>
                <w:sz w:val="24"/>
                <w:szCs w:val="24"/>
              </w:rPr>
            </w:pPr>
            <w:r>
              <w:rPr/>
            </w:r>
          </w:p>
        </w:tc>
        <w:tc>
          <w:tcPr>
            <w:tcW w:w="5068"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eastAsia="Calibri" w:cs="Times New Roman"/>
                <w:b/>
                <w:sz w:val="24"/>
                <w:szCs w:val="24"/>
              </w:rPr>
            </w:pPr>
            <w:r>
              <w:rPr/>
            </w:r>
          </w:p>
        </w:tc>
      </w:tr>
    </w:tbl>
    <w:p>
      <w:pPr>
        <w:pStyle w:val="Normal"/>
        <w:shd w:val="clear" w:color="auto" w:fill="FFFFFF"/>
        <w:spacing w:lineRule="auto" w:line="240" w:before="105" w:after="105"/>
        <w:ind w:firstLine="708"/>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sectPr>
      <w:type w:val="nextPage"/>
      <w:pgSz w:w="11906" w:h="16838"/>
      <w:pgMar w:left="993" w:right="991" w:gutter="0" w:header="0" w:top="851"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Calibri Light">
    <w:charset w:val="01"/>
    <w:family w:val="roman"/>
    <w:pitch w:val="variable"/>
  </w:font>
  <w:font w:name="Segoe UI">
    <w:charset w:val="01"/>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rPr>
        <w:b w:val="false"/>
      </w:rPr>
    </w:lvl>
    <w:lvl w:ilvl="2">
      <w:start w:val="1"/>
      <w:numFmt w:val="decimal"/>
      <w:lvlText w:val="%1.%2.%3."/>
      <w:lvlJc w:val="left"/>
      <w:pPr>
        <w:tabs>
          <w:tab w:val="num" w:pos="1571"/>
        </w:tabs>
        <w:ind w:left="1571" w:hanging="720"/>
      </w:pPr>
      <w:rPr>
        <w:sz w:val="24"/>
        <w:b w:val="false"/>
        <w:szCs w:val="24"/>
      </w:rPr>
    </w:lvl>
    <w:lvl w:ilvl="3">
      <w:start w:val="1"/>
      <w:numFmt w:val="decimal"/>
      <w:lvlText w:val="%1.%2.%3.%4."/>
      <w:lvlJc w:val="left"/>
      <w:pPr>
        <w:tabs>
          <w:tab w:val="num" w:pos="1080"/>
        </w:tabs>
        <w:ind w:left="1080" w:hanging="1080"/>
      </w:pPr>
      <w:rPr/>
    </w:lvl>
    <w:lvl w:ilvl="4">
      <w:start w:val="1"/>
      <w:numFmt w:val="decimal"/>
      <w:lvlText w:val="%1.%2.%3.%4.%5."/>
      <w:lvlJc w:val="left"/>
      <w:pPr>
        <w:tabs>
          <w:tab w:val="num" w:pos="1080"/>
        </w:tabs>
        <w:ind w:left="1080" w:hanging="1080"/>
      </w:pPr>
      <w:rPr/>
    </w:lvl>
    <w:lvl w:ilvl="5">
      <w:start w:val="1"/>
      <w:numFmt w:val="decimal"/>
      <w:lvlText w:val="%1.%2.%3.%4.%5.%6."/>
      <w:lvlJc w:val="left"/>
      <w:pPr>
        <w:tabs>
          <w:tab w:val="num" w:pos="1440"/>
        </w:tabs>
        <w:ind w:left="1440" w:hanging="1440"/>
      </w:pPr>
      <w:rPr/>
    </w:lvl>
    <w:lvl w:ilvl="6">
      <w:start w:val="1"/>
      <w:numFmt w:val="decimal"/>
      <w:lvlText w:val="%1.%2.%3.%4.%5.%6.%7."/>
      <w:lvlJc w:val="left"/>
      <w:pPr>
        <w:tabs>
          <w:tab w:val="num" w:pos="1800"/>
        </w:tabs>
        <w:ind w:left="1800" w:hanging="1800"/>
      </w:pPr>
      <w:rPr/>
    </w:lvl>
    <w:lvl w:ilvl="7">
      <w:start w:val="1"/>
      <w:numFmt w:val="decimal"/>
      <w:lvlText w:val="%1.%2.%3.%4.%5.%6.%7.%8."/>
      <w:lvlJc w:val="left"/>
      <w:pPr>
        <w:tabs>
          <w:tab w:val="num" w:pos="1800"/>
        </w:tabs>
        <w:ind w:left="1800" w:hanging="1800"/>
      </w:pPr>
      <w:rPr/>
    </w:lvl>
    <w:lvl w:ilvl="8">
      <w:start w:val="1"/>
      <w:numFmt w:val="decimal"/>
      <w:lvlText w:val="%1.%2.%3.%4.%5.%6.%7.%8.%9."/>
      <w:lvlJc w:val="left"/>
      <w:pPr>
        <w:tabs>
          <w:tab w:val="num" w:pos="2160"/>
        </w:tabs>
        <w:ind w:left="2160" w:hanging="2160"/>
      </w:pPr>
      <w:rPr/>
    </w:lvl>
  </w:abstractNum>
  <w:abstractNum w:abstractNumId="3">
    <w:lvl w:ilvl="0">
      <w:start w:val="1"/>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rPr>
        <w:b w:val="false"/>
      </w:rPr>
    </w:lvl>
    <w:lvl w:ilvl="2">
      <w:start w:val="1"/>
      <w:numFmt w:val="decimal"/>
      <w:lvlText w:val="%1.%2.%3."/>
      <w:lvlJc w:val="left"/>
      <w:pPr>
        <w:tabs>
          <w:tab w:val="num" w:pos="1571"/>
        </w:tabs>
        <w:ind w:left="1571" w:hanging="720"/>
      </w:pPr>
      <w:rPr>
        <w:sz w:val="24"/>
        <w:b w:val="false"/>
        <w:szCs w:val="24"/>
      </w:rPr>
    </w:lvl>
    <w:lvl w:ilvl="3">
      <w:start w:val="1"/>
      <w:numFmt w:val="decimal"/>
      <w:lvlText w:val="%1.%2.%3.%4."/>
      <w:lvlJc w:val="left"/>
      <w:pPr>
        <w:tabs>
          <w:tab w:val="num" w:pos="1080"/>
        </w:tabs>
        <w:ind w:left="1080" w:hanging="1080"/>
      </w:pPr>
      <w:rPr/>
    </w:lvl>
    <w:lvl w:ilvl="4">
      <w:start w:val="1"/>
      <w:numFmt w:val="decimal"/>
      <w:lvlText w:val="%1.%2.%3.%4.%5."/>
      <w:lvlJc w:val="left"/>
      <w:pPr>
        <w:tabs>
          <w:tab w:val="num" w:pos="1080"/>
        </w:tabs>
        <w:ind w:left="1080" w:hanging="1080"/>
      </w:pPr>
      <w:rPr/>
    </w:lvl>
    <w:lvl w:ilvl="5">
      <w:start w:val="1"/>
      <w:numFmt w:val="decimal"/>
      <w:lvlText w:val="%1.%2.%3.%4.%5.%6."/>
      <w:lvlJc w:val="left"/>
      <w:pPr>
        <w:tabs>
          <w:tab w:val="num" w:pos="1440"/>
        </w:tabs>
        <w:ind w:left="1440" w:hanging="1440"/>
      </w:pPr>
      <w:rPr/>
    </w:lvl>
    <w:lvl w:ilvl="6">
      <w:start w:val="1"/>
      <w:numFmt w:val="decimal"/>
      <w:lvlText w:val="%1.%2.%3.%4.%5.%6.%7."/>
      <w:lvlJc w:val="left"/>
      <w:pPr>
        <w:tabs>
          <w:tab w:val="num" w:pos="1800"/>
        </w:tabs>
        <w:ind w:left="1800" w:hanging="1800"/>
      </w:pPr>
      <w:rPr/>
    </w:lvl>
    <w:lvl w:ilvl="7">
      <w:start w:val="1"/>
      <w:numFmt w:val="decimal"/>
      <w:lvlText w:val="%1.%2.%3.%4.%5.%6.%7.%8."/>
      <w:lvlJc w:val="left"/>
      <w:pPr>
        <w:tabs>
          <w:tab w:val="num" w:pos="1800"/>
        </w:tabs>
        <w:ind w:left="1800" w:hanging="1800"/>
      </w:pPr>
      <w:rPr/>
    </w:lvl>
    <w:lvl w:ilvl="8">
      <w:start w:val="1"/>
      <w:numFmt w:val="decimal"/>
      <w:lvlText w:val="%1.%2.%3.%4.%5.%6.%7.%8.%9."/>
      <w:lvlJc w:val="left"/>
      <w:pPr>
        <w:tabs>
          <w:tab w:val="num" w:pos="2160"/>
        </w:tabs>
        <w:ind w:left="2160" w:hanging="2160"/>
      </w:pPr>
      <w:rPr/>
    </w:lvl>
  </w:abstractNum>
  <w:num w:numId="1">
    <w:abstractNumId w:val="1"/>
  </w:num>
  <w:num w:numId="2">
    <w:abstractNumId w:val="2"/>
  </w:num>
  <w:num w:numId="3">
    <w:abstractNumId w:val="3"/>
  </w:num>
  <w:num w:numId="4">
    <w:abstractNumId w:val="2"/>
    <w:lvlOverride w:ilvl="0">
      <w:startOverride w:val="1"/>
    </w:lvlOverride>
    <w:lvlOverride w:ilvl="1">
      <w:startOverride w:val="1"/>
    </w:lvlOverride>
  </w:num>
</w:numbering>
</file>

<file path=word/settings.xml><?xml version="1.0" encoding="utf-8"?>
<w:settings xmlns:w="http://schemas.openxmlformats.org/wordprocessingml/2006/main">
  <w:zoom w:percent="118"/>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a1afe"/>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uiPriority w:val="9"/>
    <w:qFormat/>
    <w:rsid w:val="00d402c8"/>
    <w:pPr>
      <w:keepNext w:val="true"/>
      <w:keepLines/>
      <w:spacing w:before="480" w:after="0"/>
      <w:outlineLvl w:val="0"/>
    </w:pPr>
    <w:rPr>
      <w:rFonts w:ascii="Calibri Light" w:hAnsi="Calibri Light" w:eastAsia="" w:cs="" w:asciiTheme="majorHAnsi" w:cstheme="majorBidi" w:eastAsiaTheme="majorEastAsia" w:hAnsiTheme="majorHAnsi"/>
      <w:b/>
      <w:bCs/>
      <w:color w:val="2E74B5" w:themeColor="accent1" w:themeShade="bf"/>
      <w:sz w:val="28"/>
      <w:szCs w:val="28"/>
    </w:rPr>
  </w:style>
  <w:style w:type="character" w:styleId="DefaultParagraphFont" w:default="1">
    <w:name w:val="Default Paragraph Font"/>
    <w:uiPriority w:val="1"/>
    <w:semiHidden/>
    <w:unhideWhenUsed/>
    <w:qFormat/>
    <w:rPr/>
  </w:style>
  <w:style w:type="character" w:styleId="Style8" w:customStyle="1">
    <w:name w:val="Верхний колонтитул Знак"/>
    <w:basedOn w:val="DefaultParagraphFont"/>
    <w:uiPriority w:val="99"/>
    <w:qFormat/>
    <w:rsid w:val="00651f05"/>
    <w:rPr/>
  </w:style>
  <w:style w:type="character" w:styleId="Style9" w:customStyle="1">
    <w:name w:val="Нижний колонтитул Знак"/>
    <w:basedOn w:val="DefaultParagraphFont"/>
    <w:uiPriority w:val="99"/>
    <w:qFormat/>
    <w:rsid w:val="00651f05"/>
    <w:rPr/>
  </w:style>
  <w:style w:type="character" w:styleId="Hyperlink">
    <w:name w:val="Hyperlink"/>
    <w:basedOn w:val="DefaultParagraphFont"/>
    <w:uiPriority w:val="99"/>
    <w:unhideWhenUsed/>
    <w:rsid w:val="00395143"/>
    <w:rPr>
      <w:color w:val="0563C1" w:themeColor="hyperlink"/>
      <w:u w:val="single"/>
    </w:rPr>
  </w:style>
  <w:style w:type="character" w:styleId="Style10" w:customStyle="1">
    <w:name w:val="Текст выноски Знак"/>
    <w:basedOn w:val="DefaultParagraphFont"/>
    <w:link w:val="BalloonText"/>
    <w:uiPriority w:val="99"/>
    <w:semiHidden/>
    <w:qFormat/>
    <w:rsid w:val="003e345f"/>
    <w:rPr>
      <w:rFonts w:ascii="Segoe UI" w:hAnsi="Segoe UI" w:cs="Segoe UI"/>
      <w:sz w:val="18"/>
      <w:szCs w:val="18"/>
    </w:rPr>
  </w:style>
  <w:style w:type="character" w:styleId="1" w:customStyle="1">
    <w:name w:val="Заголовок 1 Знак"/>
    <w:basedOn w:val="DefaultParagraphFont"/>
    <w:uiPriority w:val="9"/>
    <w:qFormat/>
    <w:rsid w:val="00d402c8"/>
    <w:rPr>
      <w:rFonts w:ascii="Calibri Light" w:hAnsi="Calibri Light" w:eastAsia="" w:cs="" w:asciiTheme="majorHAnsi" w:cstheme="majorBidi" w:eastAsiaTheme="majorEastAsia" w:hAnsiTheme="majorHAnsi"/>
      <w:b/>
      <w:bCs/>
      <w:color w:val="2E74B5" w:themeColor="accent1" w:themeShade="bf"/>
      <w:sz w:val="28"/>
      <w:szCs w:val="28"/>
    </w:rPr>
  </w:style>
  <w:style w:type="character" w:styleId="UnresolvedMention">
    <w:name w:val="Unresolved Mention"/>
    <w:basedOn w:val="DefaultParagraphFont"/>
    <w:uiPriority w:val="99"/>
    <w:semiHidden/>
    <w:unhideWhenUsed/>
    <w:qFormat/>
    <w:rsid w:val="00e123fb"/>
    <w:rPr>
      <w:color w:val="605E5C"/>
      <w:shd w:fill="E1DFDD" w:val="clear"/>
    </w:rPr>
  </w:style>
  <w:style w:type="paragraph" w:styleId="Style11">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2">
    <w:name w:val="Указатель"/>
    <w:basedOn w:val="Normal"/>
    <w:qFormat/>
    <w:pPr>
      <w:suppressLineNumbers/>
    </w:pPr>
    <w:rPr>
      <w:rFonts w:cs="Arial Unicode MS"/>
    </w:rPr>
  </w:style>
  <w:style w:type="paragraph" w:styleId="ListParagraph">
    <w:name w:val="List Paragraph"/>
    <w:basedOn w:val="Normal"/>
    <w:uiPriority w:val="34"/>
    <w:qFormat/>
    <w:rsid w:val="00bc5a17"/>
    <w:pPr>
      <w:spacing w:before="0" w:after="160"/>
      <w:ind w:left="720"/>
      <w:contextualSpacing/>
    </w:pPr>
    <w:rPr/>
  </w:style>
  <w:style w:type="paragraph" w:styleId="Style13">
    <w:name w:val="Колонтитул"/>
    <w:basedOn w:val="Normal"/>
    <w:qFormat/>
    <w:pPr/>
    <w:rPr/>
  </w:style>
  <w:style w:type="paragraph" w:styleId="Header">
    <w:name w:val="Header"/>
    <w:basedOn w:val="Normal"/>
    <w:link w:val="Style8"/>
    <w:uiPriority w:val="99"/>
    <w:unhideWhenUsed/>
    <w:rsid w:val="00651f05"/>
    <w:pPr>
      <w:tabs>
        <w:tab w:val="clear" w:pos="708"/>
        <w:tab w:val="center" w:pos="4677" w:leader="none"/>
        <w:tab w:val="right" w:pos="9355" w:leader="none"/>
      </w:tabs>
      <w:spacing w:lineRule="auto" w:line="240" w:before="0" w:after="0"/>
    </w:pPr>
    <w:rPr/>
  </w:style>
  <w:style w:type="paragraph" w:styleId="Footer">
    <w:name w:val="Footer"/>
    <w:basedOn w:val="Normal"/>
    <w:link w:val="Style9"/>
    <w:uiPriority w:val="99"/>
    <w:unhideWhenUsed/>
    <w:rsid w:val="00651f05"/>
    <w:pPr>
      <w:tabs>
        <w:tab w:val="clear" w:pos="708"/>
        <w:tab w:val="center" w:pos="4677" w:leader="none"/>
        <w:tab w:val="right" w:pos="9355" w:leader="none"/>
      </w:tabs>
      <w:spacing w:lineRule="auto" w:line="240" w:before="0" w:after="0"/>
    </w:pPr>
    <w:rPr/>
  </w:style>
  <w:style w:type="paragraph" w:styleId="NoSpacing">
    <w:name w:val="No Spacing"/>
    <w:uiPriority w:val="1"/>
    <w:qFormat/>
    <w:rsid w:val="00f613ab"/>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BalloonText">
    <w:name w:val="Balloon Text"/>
    <w:basedOn w:val="Normal"/>
    <w:link w:val="Style10"/>
    <w:uiPriority w:val="99"/>
    <w:semiHidden/>
    <w:unhideWhenUsed/>
    <w:qFormat/>
    <w:rsid w:val="003e345f"/>
    <w:pPr>
      <w:spacing w:lineRule="auto" w:line="240" w:before="0" w:after="0"/>
    </w:pPr>
    <w:rPr>
      <w:rFonts w:ascii="Segoe UI" w:hAnsi="Segoe UI" w:cs="Segoe UI"/>
      <w:sz w:val="18"/>
      <w:szCs w:val="18"/>
    </w:rPr>
  </w:style>
  <w:style w:type="paragraph" w:styleId="Style14">
    <w:name w:val="Содержимое таблицы"/>
    <w:basedOn w:val="Normal"/>
    <w:qFormat/>
    <w:pPr>
      <w:widowControl w:val="false"/>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4">
    <w:name w:val="Table Grid"/>
    <w:basedOn w:val="a1"/>
    <w:uiPriority w:val="39"/>
    <w:rsid w:val="00fc306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Сетка таблицы1"/>
    <w:basedOn w:val="a1"/>
    <w:uiPriority w:val="39"/>
    <w:rsid w:val="007c5e7a"/>
    <w:pPr>
      <w:spacing w:after="0" w:line="240" w:lineRule="auto"/>
    </w:pPr>
    <w:rPr>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98D72-405D-4F98-921B-5B7589B9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1933</TotalTime>
  <Application>AlterOffice/2026.2.0.0$Linux_X86_64 LibreOffice_project/bc4ef1adf80b36c7a6365f8ed6cbf29021361edd</Application>
  <AppVersion>15.0000</AppVersion>
  <Pages>9</Pages>
  <Words>2255</Words>
  <Characters>15660</Characters>
  <CharactersWithSpaces>18085</CharactersWithSpaces>
  <Paragraphs>132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2017-02-28T12:07:00Z</dcterms:created>
  <dc:creator>Dima</dc:creator>
  <dc:description/>
  <dc:language>ru-RU</dc:language>
  <cp:lastModifiedBy>tkachenkoana@corp.gidroogk.com</cp:lastModifiedBy>
  <cp:lastPrinted>2017-04-11T12:26:00Z</cp:lastPrinted>
  <dcterms:modified xsi:type="dcterms:W3CDTF">2026-09-28T16:14:23Z</dcterms:modified>
  <cp:revision>210</cp:revision>
  <dc:subject/>
  <dc:title/>
</cp:coreProperties>
</file>

<file path=docProps/custom.xml><?xml version="1.0" encoding="utf-8"?>
<Properties xmlns="http://schemas.openxmlformats.org/officeDocument/2006/custom-properties" xmlns:vt="http://schemas.openxmlformats.org/officeDocument/2006/docPropsVTypes"/>
</file>