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75545841"/>
      <w:bookmarkStart w:id="1" w:name="_Toc1398562871"/>
      <w:bookmarkStart w:id="2" w:name="_Toc1416967041"/>
      <w:bookmarkStart w:id="3" w:name="_Toc1375545841"/>
      <w:bookmarkStart w:id="4" w:name="_Toc1398562871"/>
      <w:bookmarkStart w:id="5" w:name="_Toc1416967041"/>
      <w:bookmarkEnd w:id="3"/>
      <w:bookmarkEnd w:id="4"/>
      <w:bookmarkEnd w:id="5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1A1A1A"/>
          <w:spacing w:val="0"/>
          <w:sz w:val="24"/>
          <w:szCs w:val="24"/>
          <w:shd w:fill="auto" w:val="clear"/>
        </w:rPr>
        <w:t>ОКПД 2: 28.13.32.120 Поставка расходных материалов к компрессорам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 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для нужд </w:t>
      </w:r>
      <w:r>
        <w:rPr>
          <w:b w:val="false"/>
          <w:bCs w:val="false"/>
          <w:i w:val="false"/>
          <w:iCs w:val="false"/>
          <w:color w:val="000000"/>
          <w:sz w:val="24"/>
          <w:szCs w:val="24"/>
        </w:rPr>
        <w:t xml:space="preserve">Нижегородского производственного участка Чебоксарского филиала </w:t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color w:val="000000"/>
          <w:sz w:val="24"/>
          <w:szCs w:val="24"/>
        </w:rPr>
        <w:t>АО «Гидроремонт ВКК» г. Новочебоксарск</w:t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color w:val="000000"/>
          <w:sz w:val="24"/>
          <w:szCs w:val="24"/>
        </w:rPr>
        <w:t>лот</w:t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6" w:name="_Toc75446568"/>
      <w:bookmarkStart w:id="7" w:name="_Toc46743506"/>
      <w:r>
        <w:rPr>
          <w:i w:val="false"/>
          <w:iCs w:val="false"/>
          <w:sz w:val="24"/>
          <w:szCs w:val="24"/>
        </w:rPr>
        <w:t>Наименование закупаемой продукции</w:t>
      </w:r>
      <w:bookmarkEnd w:id="6"/>
      <w:bookmarkEnd w:id="7"/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1A1A1A"/>
          <w:spacing w:val="0"/>
          <w:sz w:val="24"/>
          <w:szCs w:val="24"/>
          <w:shd w:fill="auto" w:val="clear"/>
        </w:rPr>
        <w:t xml:space="preserve">ОКПД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2: 28.13.32.120 Поставка расходных материалов к компрессорам</w:t>
      </w:r>
      <w:r>
        <w:rPr>
          <w:b w:val="false"/>
          <w:bCs w:val="false"/>
          <w:i w:val="false"/>
          <w:iCs w:val="false"/>
          <w:color w:val="000000"/>
          <w:sz w:val="24"/>
          <w:szCs w:val="24"/>
          <w:shd w:fill="auto" w:val="clear"/>
        </w:rPr>
        <w:t xml:space="preserve"> 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для нужд </w:t>
      </w:r>
      <w:r>
        <w:rPr>
          <w:b w:val="false"/>
          <w:bCs w:val="false"/>
          <w:i w:val="false"/>
          <w:iCs w:val="false"/>
          <w:color w:val="000000"/>
          <w:sz w:val="24"/>
          <w:szCs w:val="24"/>
        </w:rPr>
        <w:t xml:space="preserve">Нижегородского производственного участка Чебоксарского филиала </w:t>
      </w: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lang w:eastAsia="x-none"/>
        </w:rPr>
        <w:t>АО «Гидроремонт ВКК» г. Новочебоксарск.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>
          <w:i w:val="false"/>
          <w:i w:val="false"/>
          <w:iCs w:val="false"/>
          <w:sz w:val="24"/>
          <w:szCs w:val="24"/>
        </w:rPr>
      </w:pPr>
      <w:bookmarkStart w:id="8" w:name="_Toc75446569"/>
      <w:bookmarkStart w:id="9" w:name="_Toc46743507"/>
      <w:r>
        <w:rPr>
          <w:i w:val="false"/>
          <w:iCs w:val="false"/>
          <w:sz w:val="24"/>
          <w:szCs w:val="24"/>
        </w:rPr>
        <w:t xml:space="preserve">Цель </w:t>
      </w:r>
      <w:bookmarkEnd w:id="9"/>
      <w:r>
        <w:rPr>
          <w:i w:val="false"/>
          <w:iCs w:val="false"/>
          <w:sz w:val="24"/>
          <w:szCs w:val="24"/>
          <w:lang w:val="ru-RU"/>
        </w:rPr>
        <w:t xml:space="preserve">использования закупаемой продукции </w:t>
      </w:r>
      <w:bookmarkEnd w:id="8"/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  <w:lang w:eastAsia="x-none"/>
        </w:rPr>
        <w:t xml:space="preserve">Исполнение договора № 1240-315-2023 от 03.11.2023 г. «Капитальный и текущий ремонт оборудования, зданий, сооружений филиала ПАО “РусГидро”-“Нижегородская ГЭС», заключенный между ПАО «РусГидро»- «Нижегородская ГЭС» и Нижегородским ПУ Чебоксарского филиала АО «Гидроремонт-ВКК».  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 w:val="false"/>
          <w:i w:val="false"/>
          <w:iCs w:val="false"/>
          <w:sz w:val="24"/>
          <w:szCs w:val="24"/>
        </w:rPr>
      </w:pPr>
      <w:bookmarkStart w:id="10" w:name="_Toc51339693"/>
      <w:bookmarkStart w:id="11" w:name="_Toc75446573"/>
      <w:bookmarkStart w:id="12" w:name="_Toc46743510"/>
      <w:bookmarkStart w:id="13" w:name="_Toc50125126"/>
      <w:bookmarkEnd w:id="12"/>
      <w:bookmarkEnd w:id="13"/>
      <w:r>
        <w:rPr>
          <w:i w:val="false"/>
          <w:iCs w:val="false"/>
          <w:sz w:val="24"/>
          <w:szCs w:val="24"/>
        </w:rPr>
        <w:t>Требования к продукции</w:t>
      </w:r>
      <w:bookmarkEnd w:id="10"/>
      <w:bookmarkEnd w:id="11"/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14" w:name="_Toc75446574"/>
      <w:r>
        <w:rPr>
          <w:i w:val="false"/>
          <w:iCs w:val="false"/>
          <w:sz w:val="24"/>
          <w:szCs w:val="24"/>
        </w:rPr>
        <w:t xml:space="preserve">Требования к объемам и срокам </w:t>
      </w:r>
      <w:r>
        <w:rPr>
          <w:i w:val="false"/>
          <w:iCs w:val="false"/>
          <w:sz w:val="24"/>
          <w:szCs w:val="24"/>
          <w:lang w:val="ru-RU"/>
        </w:rPr>
        <w:t>поставки</w:t>
      </w:r>
      <w:bookmarkEnd w:id="14"/>
    </w:p>
    <w:p>
      <w:pPr>
        <w:pStyle w:val="Heading3"/>
        <w:numPr>
          <w:ilvl w:val="2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15" w:name="_Toc75446575"/>
      <w:r>
        <w:rPr>
          <w:i w:val="false"/>
          <w:iCs w:val="false"/>
          <w:sz w:val="24"/>
          <w:szCs w:val="24"/>
          <w:lang w:val="ru-RU"/>
        </w:rPr>
        <w:t>Перечень и объем закупаемой продукции</w:t>
      </w:r>
      <w:bookmarkEnd w:id="15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i w:val="false"/>
          <w:i w:val="false"/>
          <w:iCs w:val="false"/>
          <w:sz w:val="24"/>
          <w:szCs w:val="24"/>
        </w:rPr>
      </w:pPr>
      <w:bookmarkStart w:id="16" w:name="_Toc75446576"/>
      <w:bookmarkStart w:id="17" w:name="_Toc51339695"/>
      <w:r>
        <w:rPr>
          <w:i w:val="false"/>
          <w:iCs w:val="false"/>
          <w:sz w:val="24"/>
          <w:szCs w:val="24"/>
        </w:rPr>
        <w:t xml:space="preserve">Таблица </w:t>
      </w:r>
      <w:r>
        <w:rPr>
          <w:i w:val="false"/>
          <w:iCs w:val="false"/>
          <w:sz w:val="24"/>
          <w:szCs w:val="24"/>
          <w:lang w:val="ru-RU"/>
        </w:rPr>
        <w:t>1.1</w:t>
      </w:r>
      <w:r>
        <w:rPr>
          <w:i w:val="false"/>
          <w:iCs w:val="false"/>
          <w:sz w:val="24"/>
          <w:szCs w:val="24"/>
        </w:rPr>
        <w:t xml:space="preserve"> </w:t>
      </w:r>
      <w:r>
        <w:rPr>
          <w:i w:val="false"/>
          <w:iCs w:val="false"/>
          <w:sz w:val="24"/>
          <w:szCs w:val="24"/>
          <w:lang w:val="ru-RU"/>
        </w:rPr>
        <w:t xml:space="preserve">Перечень </w:t>
      </w:r>
      <w:bookmarkEnd w:id="17"/>
      <w:r>
        <w:rPr>
          <w:i w:val="false"/>
          <w:iCs w:val="false"/>
          <w:sz w:val="24"/>
          <w:szCs w:val="24"/>
          <w:lang w:val="ru-RU"/>
        </w:rPr>
        <w:t>и объем закупаемой продукции</w:t>
      </w:r>
      <w:bookmarkEnd w:id="1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tbl>
      <w:tblPr>
        <w:tblW w:w="9765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94"/>
        <w:gridCol w:w="6136"/>
        <w:gridCol w:w="1424"/>
        <w:gridCol w:w="1410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6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Единица измерения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6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fill="FFFFFF"/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6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shd w:val="clear" w:fill="FFFFFF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  <w:lang w:eastAsia="x-none"/>
              </w:rPr>
              <w:t>Набор сервисный Atlas Copco 2901145381 для компрессора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шт.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613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bidi="ar-SA"/>
              </w:rPr>
              <w:t>Набор сервисный Atlas Copco 2901056400 для компрессора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bidi="ar-SA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18" w:name="_Toc75446578"/>
      <w:bookmarkStart w:id="19" w:name="_Toc51339696"/>
      <w:r>
        <w:rPr>
          <w:i w:val="false"/>
          <w:iCs w:val="false"/>
          <w:sz w:val="24"/>
          <w:szCs w:val="24"/>
          <w:lang w:val="ru-RU"/>
        </w:rPr>
        <w:t xml:space="preserve">Требования </w:t>
      </w:r>
      <w:bookmarkEnd w:id="19"/>
      <w:r>
        <w:rPr>
          <w:i w:val="false"/>
          <w:iCs w:val="false"/>
          <w:sz w:val="24"/>
          <w:szCs w:val="24"/>
          <w:lang w:val="ru-RU"/>
        </w:rPr>
        <w:t>к срокам поставки продукции и оказания сопутствующих услуг</w:t>
      </w:r>
      <w:bookmarkEnd w:id="18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i w:val="false"/>
          <w:i w:val="false"/>
          <w:iCs w:val="false"/>
          <w:sz w:val="24"/>
          <w:szCs w:val="24"/>
        </w:rPr>
      </w:pPr>
      <w:bookmarkStart w:id="20" w:name="_Toc75446579"/>
      <w:bookmarkStart w:id="21" w:name="_Toc51339697"/>
      <w:bookmarkStart w:id="22" w:name="_Toc50125127"/>
      <w:bookmarkStart w:id="23" w:name="_Toc501251261"/>
      <w:bookmarkEnd w:id="23"/>
      <w:r>
        <w:rPr>
          <w:i w:val="false"/>
          <w:iCs w:val="false"/>
          <w:sz w:val="24"/>
          <w:szCs w:val="24"/>
        </w:rPr>
        <w:t xml:space="preserve">Таблица </w:t>
      </w:r>
      <w:r>
        <w:rPr>
          <w:i w:val="false"/>
          <w:iCs w:val="false"/>
          <w:sz w:val="24"/>
          <w:szCs w:val="24"/>
          <w:lang w:val="ru-RU"/>
        </w:rPr>
        <w:t>2</w:t>
      </w:r>
      <w:r>
        <w:rPr>
          <w:i w:val="false"/>
          <w:iCs w:val="false"/>
          <w:sz w:val="24"/>
          <w:szCs w:val="24"/>
        </w:rPr>
        <w:t>.</w:t>
      </w:r>
      <w:r>
        <w:rPr>
          <w:i w:val="false"/>
          <w:iCs w:val="false"/>
          <w:sz w:val="24"/>
          <w:szCs w:val="24"/>
          <w:lang w:val="ru-RU"/>
        </w:rPr>
        <w:t>1</w:t>
      </w:r>
      <w:r>
        <w:rPr>
          <w:i w:val="false"/>
          <w:iCs w:val="false"/>
          <w:sz w:val="24"/>
          <w:szCs w:val="24"/>
        </w:rPr>
        <w:t xml:space="preserve"> </w:t>
      </w:r>
      <w:bookmarkStart w:id="24" w:name="_Hlk50465284"/>
      <w:r>
        <w:rPr>
          <w:i w:val="false"/>
          <w:iCs w:val="false"/>
          <w:sz w:val="24"/>
          <w:szCs w:val="24"/>
        </w:rPr>
        <w:t xml:space="preserve">Требования по срокам </w:t>
      </w:r>
      <w:bookmarkEnd w:id="21"/>
      <w:bookmarkEnd w:id="22"/>
      <w:bookmarkEnd w:id="24"/>
      <w:r>
        <w:rPr>
          <w:i w:val="false"/>
          <w:iCs w:val="false"/>
          <w:sz w:val="24"/>
          <w:szCs w:val="24"/>
          <w:lang w:val="ru-RU"/>
        </w:rPr>
        <w:t>поставки продукции</w:t>
      </w:r>
      <w:bookmarkEnd w:id="20"/>
      <w:r>
        <w:rPr>
          <w:i w:val="false"/>
          <w:iCs w:val="false"/>
          <w:sz w:val="24"/>
          <w:szCs w:val="24"/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x-none"/>
              </w:rPr>
              <w:t>Продукция в соответствии с Таблицей 1.1 Технических требований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Не позднее 10.04.2027 года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shd w:val="clear" w:fill="FFFFFF"/>
        <w:rPr>
          <w:i w:val="false"/>
          <w:i w:val="false"/>
          <w:iCs w:val="false"/>
          <w:sz w:val="24"/>
          <w:szCs w:val="24"/>
        </w:rPr>
      </w:pPr>
      <w:bookmarkStart w:id="25" w:name="_Toc51339698"/>
      <w:bookmarkStart w:id="26" w:name="_Toc75446581"/>
      <w:bookmarkStart w:id="27" w:name="_Toc46743511"/>
      <w:bookmarkStart w:id="28" w:name="_Toc467435101"/>
      <w:bookmarkEnd w:id="28"/>
      <w:r>
        <w:rPr>
          <w:i w:val="false"/>
          <w:iCs w:val="false"/>
          <w:sz w:val="24"/>
          <w:szCs w:val="24"/>
        </w:rPr>
        <w:t xml:space="preserve">Требования к </w:t>
      </w:r>
      <w:bookmarkEnd w:id="27"/>
      <w:r>
        <w:rPr>
          <w:i w:val="false"/>
          <w:iCs w:val="false"/>
          <w:sz w:val="24"/>
          <w:szCs w:val="24"/>
          <w:lang w:val="ru-RU"/>
        </w:rPr>
        <w:t>качеству продукции</w:t>
      </w:r>
      <w:bookmarkEnd w:id="26"/>
    </w:p>
    <w:p>
      <w:pPr>
        <w:pStyle w:val="Heading1"/>
        <w:keepLines/>
        <w:numPr>
          <w:ilvl w:val="0"/>
          <w:numId w:val="0"/>
        </w:numPr>
        <w:shd w:val="clear" w:fill="FFFFFF"/>
        <w:spacing w:before="240" w:after="60"/>
        <w:ind w:hanging="0" w:left="0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 </w:t>
      </w:r>
      <w:bookmarkStart w:id="29" w:name="_Toc75446582"/>
      <w:r>
        <w:rPr>
          <w:i w:val="false"/>
          <w:iCs w:val="false"/>
          <w:sz w:val="24"/>
          <w:szCs w:val="24"/>
        </w:rPr>
        <w:t>Таблица </w:t>
      </w:r>
      <w:r>
        <w:rPr>
          <w:i w:val="false"/>
          <w:iCs w:val="false"/>
          <w:sz w:val="24"/>
          <w:szCs w:val="24"/>
          <w:lang w:val="ru-RU"/>
        </w:rPr>
        <w:t>3</w:t>
      </w:r>
      <w:r>
        <w:rPr>
          <w:i w:val="false"/>
          <w:iCs w:val="false"/>
          <w:sz w:val="24"/>
          <w:szCs w:val="24"/>
        </w:rPr>
        <w:t xml:space="preserve">. Требования к качеству </w:t>
      </w:r>
      <w:r>
        <w:rPr>
          <w:i w:val="false"/>
          <w:iCs w:val="false"/>
          <w:sz w:val="24"/>
          <w:szCs w:val="24"/>
          <w:lang w:val="ru-RU"/>
        </w:rPr>
        <w:t>продукции</w:t>
      </w:r>
      <w:bookmarkEnd w:id="29"/>
      <w:r>
        <w:rPr>
          <w:i w:val="false"/>
          <w:iCs w:val="false"/>
          <w:sz w:val="24"/>
          <w:szCs w:val="24"/>
        </w:rPr>
        <w:t xml:space="preserve"> </w:t>
      </w:r>
      <w:bookmarkEnd w:id="25"/>
    </w:p>
    <w:p>
      <w:pPr>
        <w:pStyle w:val="Normal"/>
        <w:numPr>
          <w:ilvl w:val="1"/>
        </w:numPr>
        <w:shd w:val="clear" w:fill="FFFFFF"/>
        <w:jc w:val="both"/>
        <w:rPr>
          <w:i w:val="false"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</w:rPr>
        <w:t xml:space="preserve">Наименование продукции </w:t>
      </w:r>
      <w:r>
        <w:rPr>
          <w:rFonts w:eastAsia="Calibri"/>
          <w:b/>
          <w:bCs/>
          <w:i w:val="false"/>
          <w:iCs w:val="false"/>
          <w:sz w:val="24"/>
          <w:szCs w:val="24"/>
        </w:rPr>
        <w:t>(позиции №1-№2 - Таблицы 1.1 ТТ)</w:t>
      </w:r>
      <w:r>
        <w:rPr>
          <w:b/>
          <w:bCs/>
          <w:i w:val="false"/>
          <w:iCs w:val="false"/>
          <w:sz w:val="24"/>
          <w:szCs w:val="24"/>
        </w:rPr>
        <w:t>:</w:t>
      </w:r>
      <w:r>
        <w:rPr>
          <w:rFonts w:eastAsia="Calibri"/>
          <w:b/>
          <w:bCs/>
          <w:i w:val="false"/>
          <w:iCs w:val="false"/>
          <w:sz w:val="24"/>
          <w:szCs w:val="24"/>
        </w:rPr>
        <w:t xml:space="preserve"> </w:t>
      </w:r>
      <w:r>
        <w:rPr>
          <w:rFonts w:eastAsia="Calibri"/>
          <w:b w:val="false"/>
          <w:bCs w:val="false"/>
          <w:i w:val="false"/>
          <w:iCs w:val="false"/>
          <w:caps w:val="false"/>
          <w:smallCaps w:val="false"/>
          <w:color w:val="1A1A1A"/>
          <w:spacing w:val="0"/>
          <w:sz w:val="24"/>
          <w:szCs w:val="24"/>
          <w:shd w:fill="auto" w:val="clear"/>
          <w:lang w:eastAsia="x-none"/>
        </w:rPr>
        <w:t xml:space="preserve">ОКПД 2: </w:t>
      </w:r>
      <w:r>
        <w:rPr>
          <w:rFonts w:eastAsia="Calibri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x-none"/>
        </w:rPr>
        <w:t>28.13.32.120</w:t>
      </w:r>
      <w:r>
        <w:rPr>
          <w:rFonts w:eastAsia="Calibri"/>
          <w:b w:val="false"/>
          <w:bCs w:val="false"/>
          <w:i w:val="false"/>
          <w:iCs w:val="false"/>
          <w:caps w:val="false"/>
          <w:smallCaps w:val="false"/>
          <w:color w:val="1A1A1A"/>
          <w:spacing w:val="0"/>
          <w:sz w:val="24"/>
          <w:szCs w:val="24"/>
          <w:shd w:fill="auto" w:val="clear"/>
          <w:lang w:eastAsia="x-none"/>
        </w:rPr>
        <w:t xml:space="preserve"> на поставку </w:t>
      </w:r>
      <w:r>
        <w:rPr>
          <w:rFonts w:eastAsia="Calibri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x-none"/>
        </w:rPr>
        <w:t>расходных материалов к компрессорам</w:t>
      </w:r>
      <w:r>
        <w:rPr>
          <w:rFonts w:eastAsia="Calibri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eastAsia="x-none"/>
        </w:rPr>
        <w:t xml:space="preserve"> для нужд Нижегородского производственного участка Чебоксарского филиала АО «Гидроремонт ВКК» г. Новочебоксарск.</w:t>
      </w:r>
    </w:p>
    <w:tbl>
      <w:tblPr>
        <w:tblStyle w:val="af"/>
        <w:tblW w:w="1527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97"/>
        <w:gridCol w:w="3873"/>
        <w:gridCol w:w="3689"/>
        <w:gridCol w:w="3796"/>
        <w:gridCol w:w="3320"/>
      </w:tblGrid>
      <w:tr>
        <w:trPr>
          <w:trHeight w:val="735" w:hRule="atLeast"/>
        </w:trPr>
        <w:tc>
          <w:tcPr>
            <w:tcW w:w="59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873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Наименование продукции</w:t>
            </w:r>
          </w:p>
        </w:tc>
        <w:tc>
          <w:tcPr>
            <w:tcW w:w="368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79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320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Соответствие стандартам</w:t>
            </w:r>
          </w:p>
        </w:tc>
      </w:tr>
      <w:tr>
        <w:trPr/>
        <w:tc>
          <w:tcPr>
            <w:tcW w:w="59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873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689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796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32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597" w:type="dxa"/>
            <w:tcBorders>
              <w:right w:val="nil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hd w:val="clear" w:fill="FFFFFF"/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eastAsia="Calibri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  <w:lang w:eastAsia="x-none"/>
              </w:rPr>
            </w:r>
          </w:p>
        </w:tc>
        <w:tc>
          <w:tcPr>
            <w:tcW w:w="14678" w:type="dxa"/>
            <w:gridSpan w:val="4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493" w:hRule="atLeast"/>
        </w:trPr>
        <w:tc>
          <w:tcPr>
            <w:tcW w:w="597" w:type="dxa"/>
            <w:vMerge w:val="restart"/>
            <w:tcBorders>
              <w:right w:val="nil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shd w:fill="FFFFFF" w:val="clear"/>
              </w:rPr>
              <w:t>1.1</w:t>
            </w:r>
          </w:p>
        </w:tc>
        <w:tc>
          <w:tcPr>
            <w:tcW w:w="3873" w:type="dxa"/>
            <w:vMerge w:val="restart"/>
            <w:tcBorders>
              <w:right w:val="nil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5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Набор сервисный Atlas Copco для компрессора</w:t>
            </w:r>
          </w:p>
        </w:tc>
        <w:tc>
          <w:tcPr>
            <w:tcW w:w="3689" w:type="dxa"/>
            <w:tcBorders>
              <w:right w:val="nil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Бренд</w:t>
            </w:r>
          </w:p>
        </w:tc>
        <w:tc>
          <w:tcPr>
            <w:tcW w:w="3796" w:type="dxa"/>
            <w:tcBorders/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FFFFFF" w:val="clear"/>
                <w:em w:val="none"/>
                <w:lang w:val="ru-RU" w:eastAsia="ru-RU" w:bidi="ar-SA"/>
              </w:rPr>
              <w:t>Atlas Copco</w:t>
            </w:r>
          </w:p>
        </w:tc>
        <w:tc>
          <w:tcPr>
            <w:tcW w:w="3320" w:type="dxa"/>
            <w:vMerge w:val="restart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shd w:fill="FFFFFF" w:val="clear"/>
              </w:rPr>
              <w:t>-//-</w:t>
            </w:r>
          </w:p>
        </w:tc>
      </w:tr>
      <w:tr>
        <w:trPr>
          <w:trHeight w:val="510" w:hRule="atLeast"/>
        </w:trPr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i w:val="false"/>
                <w:i w:val="false"/>
                <w:i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</w:r>
          </w:p>
        </w:tc>
        <w:tc>
          <w:tcPr>
            <w:tcW w:w="3873" w:type="dxa"/>
            <w:vMerge w:val="continue"/>
            <w:tcBorders>
              <w:top w:val="nil"/>
              <w:right w:val="nil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highlight w:val="none"/>
                <w:shd w:fill="FFFFFF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FFFFFF" w:val="clear"/>
              </w:rPr>
            </w:r>
          </w:p>
        </w:tc>
        <w:tc>
          <w:tcPr>
            <w:tcW w:w="3689" w:type="dxa"/>
            <w:tcBorders>
              <w:top w:val="nil"/>
              <w:right w:val="nil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Артикул производителя</w:t>
            </w:r>
          </w:p>
        </w:tc>
        <w:tc>
          <w:tcPr>
            <w:tcW w:w="3796" w:type="dxa"/>
            <w:tcBorders>
              <w:top w:val="nil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5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2901145381</w:t>
            </w:r>
          </w:p>
        </w:tc>
        <w:tc>
          <w:tcPr>
            <w:tcW w:w="3320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597" w:type="dxa"/>
            <w:vMerge w:val="restart"/>
            <w:tcBorders>
              <w:top w:val="nil"/>
              <w:right w:val="nil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shd w:fill="FFFFFF" w:val="clear"/>
              </w:rPr>
              <w:t>1.2</w:t>
            </w:r>
          </w:p>
        </w:tc>
        <w:tc>
          <w:tcPr>
            <w:tcW w:w="3873" w:type="dxa"/>
            <w:vMerge w:val="restart"/>
            <w:tcBorders>
              <w:top w:val="nil"/>
              <w:right w:val="nil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Набор сервисный Atlas Copco для компрессора</w:t>
            </w:r>
          </w:p>
        </w:tc>
        <w:tc>
          <w:tcPr>
            <w:tcW w:w="3689" w:type="dxa"/>
            <w:tcBorders>
              <w:top w:val="nil"/>
              <w:right w:val="nil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Бренд</w:t>
            </w:r>
          </w:p>
        </w:tc>
        <w:tc>
          <w:tcPr>
            <w:tcW w:w="3796" w:type="dxa"/>
            <w:tcBorders>
              <w:top w:val="nil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FFFFFF" w:val="clear"/>
                <w:em w:val="none"/>
                <w:lang w:val="ru-RU" w:eastAsia="ru-RU" w:bidi="ar-SA"/>
              </w:rPr>
              <w:t>Atlas Copco</w:t>
            </w:r>
          </w:p>
        </w:tc>
        <w:tc>
          <w:tcPr>
            <w:tcW w:w="3320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>
          <w:trHeight w:val="555" w:hRule="atLeast"/>
        </w:trPr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i w:val="false"/>
                <w:i w:val="false"/>
                <w:iCs w:val="false"/>
                <w:sz w:val="24"/>
                <w:szCs w:val="24"/>
                <w:highlight w:val="none"/>
                <w:shd w:fill="FFFFFF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FFFFFF" w:val="clear"/>
              </w:rPr>
            </w:r>
          </w:p>
        </w:tc>
        <w:tc>
          <w:tcPr>
            <w:tcW w:w="3873" w:type="dxa"/>
            <w:vMerge w:val="continue"/>
            <w:tcBorders>
              <w:top w:val="nil"/>
              <w:right w:val="nil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highlight w:val="none"/>
                <w:shd w:fill="FFFFFF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FFFFFF" w:val="clear"/>
              </w:rPr>
            </w:r>
          </w:p>
        </w:tc>
        <w:tc>
          <w:tcPr>
            <w:tcW w:w="3689" w:type="dxa"/>
            <w:tcBorders>
              <w:top w:val="nil"/>
              <w:right w:val="nil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Артикул производителя</w:t>
            </w:r>
          </w:p>
        </w:tc>
        <w:tc>
          <w:tcPr>
            <w:tcW w:w="3796" w:type="dxa"/>
            <w:tcBorders>
              <w:top w:val="nil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2901056400</w:t>
            </w:r>
          </w:p>
        </w:tc>
        <w:tc>
          <w:tcPr>
            <w:tcW w:w="3320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97" w:type="dxa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2.</w:t>
            </w:r>
          </w:p>
        </w:tc>
        <w:tc>
          <w:tcPr>
            <w:tcW w:w="11358" w:type="dxa"/>
            <w:gridSpan w:val="3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320" w:type="dxa"/>
            <w:vMerge w:val="restart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shd w:fill="FFFFFF" w:val="clear"/>
              </w:rPr>
              <w:t>-//-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97" w:type="dxa"/>
            <w:tcBorders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2.1</w:t>
            </w:r>
          </w:p>
        </w:tc>
        <w:tc>
          <w:tcPr>
            <w:tcW w:w="3873" w:type="dxa"/>
            <w:tcBorders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Место поставки</w:t>
            </w:r>
          </w:p>
        </w:tc>
        <w:tc>
          <w:tcPr>
            <w:tcW w:w="7485" w:type="dxa"/>
            <w:gridSpan w:val="2"/>
            <w:tcBorders>
              <w:right w:val="nil"/>
            </w:tcBorders>
          </w:tcPr>
          <w:p>
            <w:pPr>
              <w:pStyle w:val="ListParagraph"/>
              <w:numPr>
                <w:ilvl w:val="1"/>
              </w:numPr>
              <w:shd w:val="clear" w:color="auto" w:fill="FFFFFF"/>
              <w:tabs>
                <w:tab w:val="clear" w:pos="708"/>
                <w:tab w:val="left" w:pos="142" w:leader="none"/>
                <w:tab w:val="left" w:pos="540" w:leader="none"/>
              </w:tabs>
              <w:spacing w:lineRule="auto" w:line="276" w:before="0" w:after="120"/>
              <w:ind w:hanging="0" w:left="0"/>
              <w:contextualSpacing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606520, РФ, Нижегородская обл., Городецкий м.о., г. Заволжье, Привокзальная 14</w:t>
            </w:r>
          </w:p>
        </w:tc>
        <w:tc>
          <w:tcPr>
            <w:tcW w:w="3320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2.2</w:t>
            </w:r>
          </w:p>
        </w:tc>
        <w:tc>
          <w:tcPr>
            <w:tcW w:w="3873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Приемка продукции</w:t>
            </w:r>
          </w:p>
        </w:tc>
        <w:tc>
          <w:tcPr>
            <w:tcW w:w="748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рабочие дни с 9-00 до 11-00 и с 13-00 до 16-00.</w:t>
            </w:r>
          </w:p>
        </w:tc>
        <w:tc>
          <w:tcPr>
            <w:tcW w:w="3320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2.3</w:t>
            </w:r>
          </w:p>
        </w:tc>
        <w:tc>
          <w:tcPr>
            <w:tcW w:w="3873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Информация о транспорте</w:t>
            </w:r>
          </w:p>
        </w:tc>
        <w:tc>
          <w:tcPr>
            <w:tcW w:w="748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3320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3.</w:t>
            </w:r>
          </w:p>
        </w:tc>
        <w:tc>
          <w:tcPr>
            <w:tcW w:w="11358" w:type="dxa"/>
            <w:gridSpan w:val="3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320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597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3.1</w:t>
            </w:r>
          </w:p>
        </w:tc>
        <w:tc>
          <w:tcPr>
            <w:tcW w:w="3873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Срок гарантии</w:t>
            </w:r>
          </w:p>
        </w:tc>
        <w:tc>
          <w:tcPr>
            <w:tcW w:w="748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color="auto" w:fill="FFFFFF"/>
              <w:tabs>
                <w:tab w:val="clear" w:pos="708"/>
                <w:tab w:val="left" w:pos="1134" w:leader="none"/>
                <w:tab w:val="left" w:pos="1276" w:leader="none"/>
              </w:tabs>
              <w:spacing w:lineRule="auto" w:line="276" w:before="0" w:after="12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 Продукцию устанавливается гарантийный срок, не менее 12 (двенадцати) месяцев, исчисляемый с даты подписания Сторонами товарной накладной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3320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9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4.</w:t>
            </w:r>
          </w:p>
        </w:tc>
        <w:tc>
          <w:tcPr>
            <w:tcW w:w="11358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320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>
          <w:trHeight w:val="1826" w:hRule="atLeast"/>
        </w:trPr>
        <w:tc>
          <w:tcPr>
            <w:tcW w:w="59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4.1</w:t>
            </w:r>
          </w:p>
        </w:tc>
        <w:tc>
          <w:tcPr>
            <w:tcW w:w="3873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7485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134" w:leader="none"/>
                <w:tab w:val="left" w:pos="1276" w:leader="none"/>
              </w:tabs>
              <w:spacing w:lineRule="auto" w:line="276" w:before="0" w:after="12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0" w:leader="none"/>
                <w:tab w:val="left" w:pos="786" w:leader="none"/>
                <w:tab w:val="left" w:pos="900" w:leader="none"/>
                <w:tab w:val="left" w:pos="1134" w:leader="none"/>
                <w:tab w:val="left" w:pos="1276" w:leader="none"/>
              </w:tabs>
              <w:spacing w:lineRule="auto" w:line="276" w:before="0" w:after="12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- Сертификат качества в 1 экз.;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0" w:leader="none"/>
                <w:tab w:val="left" w:pos="786" w:leader="none"/>
                <w:tab w:val="left" w:pos="900" w:leader="none"/>
                <w:tab w:val="left" w:pos="1134" w:leader="none"/>
                <w:tab w:val="left" w:pos="1276" w:leader="none"/>
              </w:tabs>
              <w:spacing w:lineRule="auto" w:line="276" w:before="0" w:after="12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- Технический паспорт на русском языке в 1 экз.;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786" w:leader="none"/>
              </w:tabs>
              <w:spacing w:lineRule="auto" w:line="276" w:before="0" w:after="120"/>
              <w:ind w:hanging="0" w:left="0"/>
              <w:contextualSpacing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- Инструкция по эксплуатации (монтажу и т.п.) на русском языке в 1 экз.;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851" w:leader="none"/>
              </w:tabs>
              <w:spacing w:lineRule="auto" w:line="276" w:before="0" w:after="12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- 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товара, Лицензии и т.п.) в зависимости от номенклатуры поставляемой Продукции;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lineRule="auto" w:line="276" w:before="0" w:after="12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Обязательные первичные документы: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720" w:leader="none"/>
                <w:tab w:val="left" w:pos="1134" w:leader="none"/>
                <w:tab w:val="left" w:pos="1276" w:leader="none"/>
              </w:tabs>
              <w:spacing w:lineRule="auto" w:line="276" w:before="0" w:after="12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- 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1 экз.;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720" w:leader="none"/>
                <w:tab w:val="left" w:pos="1134" w:leader="none"/>
                <w:tab w:val="left" w:pos="1276" w:leader="none"/>
              </w:tabs>
              <w:spacing w:lineRule="auto" w:line="276" w:before="0" w:after="12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- Товарную накладную по форме ТОРГ-12 или Универсальный передаточный документ (УПД) в 2 экз.</w:t>
            </w:r>
          </w:p>
        </w:tc>
        <w:tc>
          <w:tcPr>
            <w:tcW w:w="3320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5.</w:t>
            </w:r>
          </w:p>
        </w:tc>
        <w:tc>
          <w:tcPr>
            <w:tcW w:w="11358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3320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5.1</w:t>
            </w:r>
          </w:p>
        </w:tc>
        <w:tc>
          <w:tcPr>
            <w:tcW w:w="11358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bookmarkStart w:id="30" w:name="_GoBack"/>
            <w:bookmarkEnd w:id="30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не бывшей в употреблении, пригодной для использования по своему назначению. Поставщик гарантирует, что Продукция принадлежит ему на законном основании, в споре, залоге или под арестом не состоит, правами третьих лиц не обременена.</w:t>
            </w:r>
          </w:p>
        </w:tc>
        <w:tc>
          <w:tcPr>
            <w:tcW w:w="3320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5.2</w:t>
            </w:r>
          </w:p>
        </w:tc>
        <w:tc>
          <w:tcPr>
            <w:tcW w:w="11358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>
            <w:pPr>
              <w:pStyle w:val="Normal"/>
              <w:widowControl w:val="false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3320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</w:tbl>
    <w:p>
      <w:pPr>
        <w:pStyle w:val="Normal"/>
        <w:shd w:val="clear" w:fill="FFFFFF"/>
        <w:tabs>
          <w:tab w:val="clear" w:pos="708"/>
          <w:tab w:val="left" w:pos="2320" w:leader="none"/>
        </w:tabs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Heading1"/>
        <w:numPr>
          <w:ilvl w:val="0"/>
          <w:numId w:val="0"/>
        </w:numPr>
        <w:spacing w:before="120" w:after="60"/>
        <w:ind w:hanging="0" w:left="0" w:right="114"/>
        <w:jc w:val="lef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15ab6"/>
    <w:rPr>
      <w:color w:val="605E5C"/>
      <w:shd w:fill="E1DFDD" w:val="clear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>
    <w:name w:val="Нумерованный 123"/>
    <w:qFormat/>
  </w:style>
  <w:style w:type="numbering" w:styleId="12565345991">
    <w:name w:val="125653459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3C3C5-6943-45C4-BFF8-16AE08C99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8001</TotalTime>
  <Application>AlterOffice/2026.2.0.0$Linux_X86_64 LibreOffice_project/bc4ef1adf80b36c7a6365f8ed6cbf29021361edd</Application>
  <AppVersion>15.0000</AppVersion>
  <Pages>3</Pages>
  <Words>652</Words>
  <Characters>4484</Characters>
  <CharactersWithSpaces>5026</CharactersWithSpaces>
  <Paragraphs>110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2023-01-13T08:52:00Z</dcterms:created>
  <dc:creator>Быстров Олег Геннадьевич</dc:creator>
  <dc:description/>
  <dc:language>ru-RU</dc:language>
  <cp:lastModifiedBy/>
  <dcterms:modified xsi:type="dcterms:W3CDTF">2026-09-25T15:12:23Z</dcterms:modified>
  <cp:revision>90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