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</w:rPr>
      </w:pPr>
      <w:r>
        <w:rPr>
          <w:rFonts w:eastAsia="Calibri"/>
          <w:b/>
          <w:sz w:val="32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  <w:t>ОКПД2 49.41.20.000 Оказание услуг по предоставлению спецтехники с экипажем для нужд Воткинского филиала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b w:val="false"/>
          <w:bCs w:val="false"/>
        </w:rPr>
      </w:pPr>
      <w:r>
        <w:rPr>
          <w:rFonts w:eastAsia="Calibri"/>
          <w:b w:val="false"/>
          <w:bCs w:val="false"/>
        </w:rPr>
        <w:t>Л</w:t>
      </w:r>
      <w:r>
        <w:rPr>
          <w:rFonts w:eastAsia="Calibri"/>
          <w:b w:val="false"/>
          <w:bCs w:val="false"/>
          <w:color w:val="000000"/>
        </w:rPr>
        <w:t>о</w:t>
      </w:r>
      <w:r>
        <w:rPr>
          <w:rFonts w:eastAsia="Calibri"/>
          <w:b w:val="false"/>
          <w:bCs w:val="false"/>
          <w:color w:val="000000"/>
          <w:shd w:fill="auto" w:val="clear"/>
        </w:rPr>
        <w:t>т</w:t>
      </w:r>
      <w:r>
        <w:rPr>
          <w:rFonts w:eastAsia="Calibri"/>
          <w:b w:val="false"/>
          <w:bCs w:val="false"/>
          <w:color w:val="000000"/>
          <w:sz w:val="28"/>
          <w:szCs w:val="28"/>
          <w:shd w:fill="auto" w:val="clear"/>
        </w:rPr>
        <w:t xml:space="preserve">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0012-ТПиР БЕЗОП ДОХ-2026-ГРВКК-ВотФ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10196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  <w:rFonts w:eastAsia="Calibri"/>
            </w:rPr>
            <w:fldChar w:fldCharType="separate"/>
          </w:r>
          <w:hyperlink w:anchor="_Toc212809314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5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6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7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18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Таблица 1. Перечень объектов заказчика.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9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Иные требования и сведения общего характера.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0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1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2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Требования к перечню и объему услуг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3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4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5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6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  <w:lang w:val="x-none" w:eastAsia="x-none"/>
              </w:rPr>
              <w:t>2.3.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  <w:lang w:val="x-none" w:eastAsia="x-none"/>
              </w:rPr>
              <w:t xml:space="preserve">Требования к </w:t>
            </w:r>
            <w:r>
              <w:rPr>
                <w:rStyle w:val="Style14"/>
                <w:rFonts w:eastAsia="Calibri"/>
                <w:sz w:val="24"/>
                <w:szCs w:val="24"/>
                <w:lang w:eastAsia="x-none"/>
              </w:rPr>
              <w:t>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7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  <w:lang w:val="x-none" w:eastAsia="x-none"/>
              </w:rPr>
              <w:t>Таблица </w:t>
            </w:r>
            <w:r>
              <w:rPr>
                <w:rStyle w:val="Style14"/>
                <w:rFonts w:eastAsia="Calibri"/>
                <w:sz w:val="24"/>
                <w:szCs w:val="24"/>
                <w:lang w:eastAsia="x-none"/>
              </w:rPr>
              <w:t>4</w:t>
            </w:r>
            <w:r>
              <w:rPr>
                <w:rStyle w:val="Style14"/>
                <w:rFonts w:eastAsia="Calibri"/>
                <w:sz w:val="24"/>
                <w:szCs w:val="24"/>
                <w:lang w:val="x-none" w:eastAsia="x-none"/>
              </w:rPr>
              <w:t xml:space="preserve">. Требования к </w:t>
            </w:r>
            <w:r>
              <w:rPr>
                <w:rStyle w:val="Style14"/>
                <w:rFonts w:eastAsia="Calibri"/>
                <w:sz w:val="24"/>
                <w:szCs w:val="24"/>
                <w:lang w:eastAsia="x-none"/>
              </w:rPr>
              <w:t>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8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sz w:val="24"/>
              <w:szCs w:val="24"/>
              <w:vanish w:val="false"/>
            </w:rPr>
            <w:fldChar w:fldCharType="end"/>
          </w:r>
        </w:p>
      </w:sdtContent>
    </w:sdt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rFonts w:eastAsia="" w:eastAsiaTheme="minorEastAsia"/>
        </w:rPr>
      </w:pPr>
      <w:r>
        <w:rPr>
          <w:rFonts w:eastAsia="" w:eastAsiaTheme="minorEastAsia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212809314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212809315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Style w:val="Style7"/>
                <w:b w:val="false"/>
                <w:bCs/>
                <w:i w:val="false"/>
                <w:i w:val="false"/>
                <w:sz w:val="24"/>
                <w:szCs w:val="22"/>
              </w:rPr>
            </w:pPr>
            <w:r>
              <w:rPr>
                <w:sz w:val="24"/>
                <w:szCs w:val="22"/>
                <w:lang w:val="en-US"/>
              </w:rPr>
              <w:t>Камская</w:t>
            </w:r>
            <w:r>
              <w:rPr>
                <w:sz w:val="24"/>
                <w:szCs w:val="22"/>
              </w:rPr>
              <w:t xml:space="preserve"> 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7"/>
                <w:b w:val="false"/>
                <w:bCs/>
                <w:i w:val="false"/>
                <w:i w:val="false"/>
                <w:sz w:val="24"/>
                <w:szCs w:val="22"/>
              </w:rPr>
            </w:pPr>
            <w:r>
              <w:rPr>
                <w:sz w:val="24"/>
                <w:szCs w:val="22"/>
              </w:rPr>
              <w:t>Филиала ПАО «РусГидро» – «Камская ГЭС».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Воткинский филиал АО «Гидроремонт-ВКК» в г. Чайковский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3"/>
              <w:widowControl w:val="false"/>
              <w:shd w:val="clear" w:color="auto" w:fill="auto"/>
              <w:spacing w:lineRule="auto" w:line="240"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3"/>
              <w:widowControl w:val="false"/>
              <w:shd w:val="clear" w:color="auto" w:fill="auto"/>
              <w:spacing w:lineRule="auto" w:line="240" w:before="40" w:after="4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Подъемное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сооружение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4" w:name="_Toc212809316"/>
      <w:r>
        <w:rPr/>
        <w:t>Наименование закупаемой продукции</w:t>
      </w:r>
      <w:bookmarkEnd w:id="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ОКПД2 49.41.20.000 Оказание услуг по предоставлению спецтехники с экипажем для нужд Воткинского филиала. </w:t>
      </w:r>
    </w:p>
    <w:p>
      <w:pPr>
        <w:pStyle w:val="Heading4"/>
        <w:numPr>
          <w:ilvl w:val="1"/>
          <w:numId w:val="3"/>
        </w:numPr>
        <w:rPr/>
      </w:pPr>
      <w:bookmarkStart w:id="5" w:name="_Toc212809317"/>
      <w:bookmarkStart w:id="6" w:name="_Toc75446569"/>
      <w:bookmarkStart w:id="7" w:name="_Toc46743507"/>
      <w:r>
        <w:rPr/>
        <w:t xml:space="preserve">Цель </w:t>
      </w:r>
      <w:bookmarkEnd w:id="6"/>
      <w:bookmarkEnd w:id="7"/>
      <w:r>
        <w:rPr>
          <w:lang w:val="ru-RU"/>
        </w:rPr>
        <w:t>оказания услуг</w:t>
      </w:r>
      <w:bookmarkEnd w:id="5"/>
    </w:p>
    <w:p>
      <w:pPr>
        <w:pStyle w:val="Normal"/>
        <w:tabs>
          <w:tab w:val="clear" w:pos="708"/>
          <w:tab w:val="left" w:pos="993" w:leader="none"/>
        </w:tabs>
        <w:jc w:val="both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Оказание услуг по предоставлению спецтехники с экипажем для выполнения работ по лоту № 0102-ТПиР БЕЗОП-2026-КамГЭС «ОКПД2 42.22.23.901 Монтаж защитного ограждения автотрансформатора и дизель-генераторной установки Камской ГЭС», по договору ___ заключаемому с филиалом ПАО «РусГидро»-«Камская ГЭС»</w:t>
      </w:r>
      <w:r>
        <w:rPr>
          <w:iCs/>
          <w:color w:val="000000" w:themeColor="text1"/>
          <w:sz w:val="24"/>
          <w:szCs w:val="24"/>
          <w:shd w:fill="auto" w:val="clear"/>
        </w:rPr>
        <w:t>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Heading1"/>
        <w:tabs>
          <w:tab w:val="clear" w:pos="0"/>
        </w:tabs>
        <w:ind w:left="284" w:hanging="284"/>
        <w:rPr>
          <w:rStyle w:val="Style7"/>
          <w:b/>
          <w:bCs/>
          <w:color w:val="000000" w:themeColor="text1"/>
          <w:sz w:val="24"/>
          <w:szCs w:val="24"/>
        </w:rPr>
      </w:pPr>
      <w:bookmarkStart w:id="8" w:name="_Toc125982700"/>
      <w:bookmarkStart w:id="9" w:name="_Toc212809318"/>
      <w:r>
        <w:rPr>
          <w:sz w:val="24"/>
          <w:szCs w:val="24"/>
        </w:rPr>
        <w:t>Таблица 1. Перечень объектов заказчика.</w:t>
      </w:r>
      <w:bookmarkEnd w:id="8"/>
      <w:bookmarkEnd w:id="9"/>
    </w:p>
    <w:tbl>
      <w:tblPr>
        <w:tblW w:w="10173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58"/>
        <w:gridCol w:w="2121"/>
        <w:gridCol w:w="2850"/>
        <w:gridCol w:w="3118"/>
        <w:gridCol w:w="1526"/>
      </w:tblGrid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Расположение объекта</w:t>
              <w:br/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5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>
        <w:trPr>
          <w:trHeight w:val="881" w:hRule="atLeast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200"/>
              <w:ind w:left="284" w:hanging="279"/>
              <w:contextualSpacing/>
              <w:rPr>
                <w:i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73" w:hanging="6"/>
              <w:jc w:val="both"/>
              <w:rPr/>
            </w:pPr>
            <w:r>
              <w:rPr>
                <w:sz w:val="24"/>
                <w:szCs w:val="24"/>
              </w:rPr>
              <w:t>Филиал ПАО «РусГидро» - «Камская ГЭС»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before="0" w:after="0"/>
              <w:contextualSpacing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РФ, </w:t>
            </w:r>
            <w:r>
              <w:rPr>
                <w:rStyle w:val="Style7"/>
                <w:b w:val="false"/>
                <w:i w:val="false"/>
                <w:color w:val="000000"/>
                <w:sz w:val="24"/>
                <w:szCs w:val="24"/>
                <w:shd w:fill="FFFFFF" w:val="clear"/>
              </w:rPr>
              <w:t>Пермский край, г.Пермь, филиал ПАО «РусГидро» - «Камская ГЭС».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/>
              <w:jc w:val="both"/>
              <w:rPr>
                <w:highlight w:val="none"/>
                <w:shd w:fill="auto" w:val="clear"/>
              </w:rPr>
            </w:pPr>
            <w:r>
              <w:rPr>
                <w:iCs/>
                <w:color w:val="000000"/>
                <w:sz w:val="24"/>
                <w:szCs w:val="24"/>
                <w:shd w:fill="auto" w:val="clear"/>
              </w:rPr>
              <w:t>Выполнение работ по доходному Договору, указанному в п. 1.3. Т</w:t>
            </w:r>
            <w:r>
              <w:rPr>
                <w:iCs/>
                <w:color w:val="000000"/>
                <w:sz w:val="24"/>
                <w:szCs w:val="24"/>
                <w:shd w:fill="auto" w:val="clear"/>
                <w:lang w:val="en-US"/>
              </w:rPr>
              <w:t>Т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13" w:hanging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0" w:name="_Toc125982701"/>
      <w:bookmarkStart w:id="11" w:name="_Toc212809319"/>
      <w:bookmarkStart w:id="12" w:name="_Toc54643701"/>
      <w:r>
        <w:rPr/>
        <w:t>Иные требования и сведения общего характера</w:t>
      </w:r>
      <w:bookmarkEnd w:id="12"/>
      <w:r>
        <w:rPr/>
        <w:t>.</w:t>
      </w:r>
      <w:bookmarkEnd w:id="10"/>
      <w:bookmarkEnd w:id="11"/>
    </w:p>
    <w:p>
      <w:pPr>
        <w:pStyle w:val="ListParagraph"/>
        <w:numPr>
          <w:ilvl w:val="1"/>
          <w:numId w:val="7"/>
        </w:numPr>
        <w:tabs>
          <w:tab w:val="clear" w:pos="708"/>
          <w:tab w:val="left" w:pos="993" w:leader="none"/>
        </w:tabs>
        <w:jc w:val="both"/>
        <w:rPr>
          <w:vanish/>
          <w:sz w:val="24"/>
          <w:szCs w:val="24"/>
        </w:rPr>
      </w:pPr>
      <w:r>
        <w:rPr>
          <w:vanish/>
          <w:sz w:val="24"/>
          <w:szCs w:val="24"/>
        </w:rPr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993" w:leader="none"/>
        </w:tabs>
        <w:jc w:val="both"/>
        <w:rPr>
          <w:vanish/>
          <w:sz w:val="24"/>
          <w:szCs w:val="24"/>
        </w:rPr>
      </w:pPr>
      <w:r>
        <w:rPr>
          <w:vanish/>
          <w:sz w:val="24"/>
          <w:szCs w:val="24"/>
        </w:rPr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993" w:leader="none"/>
        </w:tabs>
        <w:jc w:val="both"/>
        <w:rPr>
          <w:vanish/>
          <w:sz w:val="24"/>
          <w:szCs w:val="24"/>
        </w:rPr>
      </w:pPr>
      <w:r>
        <w:rPr>
          <w:vanish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1.4.1.</w:t>
        <w:tab/>
        <w:t xml:space="preserve">Заказчик планирует использовать (применять) спецтехнику в соответствии с номенклатурой (согласно п. 2.1. настоящих Технических требований) и продолжительностью применения, указанных в подаваемых заявках Заказчика. При этом Заказчик оставляет за собой право исполнить договор не в полном объёме и не применять какую-либо единицу техники в соответствии с номенклатурой (согласно п.2.1.) в случае отсутствия необходимости. 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1.4.2. </w:t>
      </w:r>
      <w:r>
        <w:rPr>
          <w:sz w:val="24"/>
          <w:szCs w:val="24"/>
          <w:shd w:fill="FFFF00" w:val="clear"/>
        </w:rPr>
        <w:t>Работы подъемных сооружений и автомобилей производятся в электроустановках (ОРУ 110кВ - 220кВ, освещение, охранная зона ВЛ и т.п.)</w:t>
      </w:r>
      <w:r>
        <w:rPr>
          <w:sz w:val="24"/>
          <w:szCs w:val="24"/>
        </w:rPr>
        <w:t xml:space="preserve"> у водителей-операторов подъемника, машинистов крана, </w:t>
      </w:r>
      <w:r>
        <w:rPr>
          <w:sz w:val="24"/>
          <w:szCs w:val="24"/>
          <w:shd w:fill="FFFF00" w:val="clear"/>
        </w:rPr>
        <w:t>водителей автомобиля</w:t>
      </w:r>
      <w:r>
        <w:rPr>
          <w:sz w:val="24"/>
          <w:szCs w:val="24"/>
        </w:rPr>
        <w:t xml:space="preserve"> необходимо наличие удостоверения по электробезопасности не ниже второй группы согласно Правилам по охране труда при эксплуатации электроустановок.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1.4.3. Предоставляемая спецтехника должна находиться в технически исправном состоянии с заправкой ГСМ и необходимой документацией (в т.ч. путевым листом), укомплектованная необходимыми вспомогательными средствами: огнетушителем, аварийным знаком, аптечкой с медикаментами, в соответствии с согласованными Сторонами в Заявке временем и местом подачи. Исполнитель несет ответственность за техническое состояние спецтехники. Исполнитель должен обеспечить соблюдение водителями </w:t>
      </w:r>
      <w:r>
        <w:rPr>
          <w:sz w:val="24"/>
          <w:szCs w:val="24"/>
          <w:shd w:fill="FFFF00" w:val="clear"/>
        </w:rPr>
        <w:t>(машинистами, операторами подъемника, машинистами кранов)</w:t>
      </w:r>
      <w:r>
        <w:rPr>
          <w:sz w:val="24"/>
          <w:szCs w:val="24"/>
        </w:rPr>
        <w:t xml:space="preserve"> правил и инструкций по охране труда, безопасности дорожного движения, пожарной и электробезопасности во время оказания услуг. Исполнитель несет ответственность за соблюдение действующих норм и правил при работе с подъемными сооружениями.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1.4.4. 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спецтехнику с аналогичными техническими характеристиками, соответствующими условиям Договора и на условиях, согласованных в Заявках. Время простоя, по причине неисправной техники, не оплачивается.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1.4.5. Лица, управляющие спецтехникой, должны иметь действующие квалификационные удостоверения на работу с спецтехники в действующих электроустановках и водительское удостоверение с разрешенной категорией. 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1.4.6. Исполнитель должен соблюдать законодательство РФ при эксплуатации, обслуживании и предоставлении транспортных средств, подъемных сооружений и т.д. указанных в п.2.1. данных технических требований.</w:t>
      </w:r>
    </w:p>
    <w:p>
      <w:pPr>
        <w:pStyle w:val="Heading1"/>
        <w:numPr>
          <w:ilvl w:val="0"/>
          <w:numId w:val="3"/>
        </w:numPr>
        <w:spacing w:before="62" w:after="6"/>
        <w:ind w:left="0" w:hanging="0"/>
        <w:rPr>
          <w:sz w:val="24"/>
          <w:szCs w:val="24"/>
        </w:rPr>
      </w:pPr>
      <w:bookmarkStart w:id="13" w:name="_Toc125982704"/>
      <w:bookmarkStart w:id="14" w:name="_Toc513396931"/>
      <w:bookmarkStart w:id="15" w:name="_Toc546437021"/>
      <w:bookmarkStart w:id="16" w:name="_Toc212809320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3"/>
      <w:bookmarkEnd w:id="14"/>
      <w:bookmarkEnd w:id="15"/>
      <w:bookmarkEnd w:id="16"/>
    </w:p>
    <w:p>
      <w:pPr>
        <w:pStyle w:val="Heading2"/>
        <w:numPr>
          <w:ilvl w:val="1"/>
          <w:numId w:val="3"/>
        </w:numPr>
        <w:spacing w:before="62" w:after="6"/>
        <w:rPr/>
      </w:pPr>
      <w:bookmarkStart w:id="17" w:name="_Toc125982705"/>
      <w:bookmarkStart w:id="18" w:name="_Toc546437031"/>
      <w:bookmarkStart w:id="19" w:name="_Toc212809321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  <w:bookmarkEnd w:id="18"/>
      <w:bookmarkEnd w:id="19"/>
    </w:p>
    <w:p>
      <w:pPr>
        <w:pStyle w:val="Heading2"/>
        <w:numPr>
          <w:ilvl w:val="1"/>
          <w:numId w:val="3"/>
        </w:numPr>
        <w:spacing w:before="62" w:after="6"/>
        <w:rPr/>
      </w:pPr>
      <w:bookmarkStart w:id="20" w:name="_Toc546437041"/>
      <w:bookmarkStart w:id="21" w:name="_Toc212809322"/>
      <w:bookmarkStart w:id="22" w:name="_Toc125982706"/>
      <w:r>
        <w:rPr/>
        <w:t>Требования к перечню и объему услуг</w:t>
      </w:r>
      <w:bookmarkEnd w:id="20"/>
      <w:bookmarkEnd w:id="21"/>
      <w:bookmarkEnd w:id="22"/>
    </w:p>
    <w:p>
      <w:pPr>
        <w:pStyle w:val="Heading1"/>
        <w:tabs>
          <w:tab w:val="clear" w:pos="0"/>
        </w:tabs>
        <w:spacing w:before="62" w:after="6"/>
        <w:ind w:left="426" w:hanging="426"/>
        <w:rPr/>
      </w:pPr>
      <w:bookmarkStart w:id="23" w:name="_Toc546437051"/>
      <w:bookmarkStart w:id="24" w:name="_Toc125982707"/>
      <w:bookmarkStart w:id="25" w:name="_Toc212809323"/>
      <w:bookmarkStart w:id="26" w:name="_Toc51339695"/>
      <w:r>
        <w:rPr>
          <w:sz w:val="24"/>
          <w:szCs w:val="24"/>
        </w:rPr>
        <w:t xml:space="preserve">Таблица 2. Перечень </w:t>
      </w:r>
      <w:bookmarkEnd w:id="26"/>
      <w:r>
        <w:rPr>
          <w:sz w:val="24"/>
          <w:szCs w:val="24"/>
        </w:rPr>
        <w:t>и объем оказываемых услуг</w:t>
      </w:r>
      <w:bookmarkEnd w:id="23"/>
      <w:bookmarkEnd w:id="24"/>
      <w:bookmarkEnd w:id="25"/>
    </w:p>
    <w:tbl>
      <w:tblPr>
        <w:tblW w:w="99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10"/>
        <w:gridCol w:w="2120"/>
        <w:gridCol w:w="3742"/>
        <w:gridCol w:w="1703"/>
        <w:gridCol w:w="1657"/>
      </w:tblGrid>
      <w:tr>
        <w:trPr>
          <w:trHeight w:val="725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Ориентиро-вочное кол-во</w:t>
            </w:r>
          </w:p>
        </w:tc>
      </w:tr>
      <w:tr>
        <w:trPr>
          <w:trHeight w:val="351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0" w:right="0" w:hanging="57"/>
              <w:jc w:val="center"/>
              <w:rPr/>
            </w:pPr>
            <w:r>
              <w:rPr/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Авто</w:t>
            </w:r>
            <w:r>
              <w:rPr>
                <w:rFonts w:eastAsia="Calibri"/>
                <w:sz w:val="24"/>
                <w:szCs w:val="24"/>
                <w:shd w:fill="auto" w:val="clear"/>
                <w:lang w:val="en-US" w:eastAsia="en-US"/>
              </w:rPr>
              <w:t xml:space="preserve">мобильный </w:t>
            </w: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подъемник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suppressAutoHyphens w:val="true"/>
              <w:bidi w:val="0"/>
              <w:spacing w:before="0" w:after="0"/>
              <w:ind w:left="57" w:right="0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Высота подъема - от 18 до 22 метров.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suppressAutoHyphens w:val="true"/>
              <w:bidi w:val="0"/>
              <w:spacing w:before="0" w:after="0"/>
              <w:ind w:left="57" w:right="0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Наличие координатной защиты.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час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  <w:lang w:val="en-US"/>
              </w:rPr>
              <w:t>32</w:t>
            </w:r>
          </w:p>
        </w:tc>
      </w:tr>
      <w:tr>
        <w:trPr>
          <w:trHeight w:val="1483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Автокран</w:t>
            </w:r>
          </w:p>
        </w:tc>
        <w:tc>
          <w:tcPr>
            <w:tcW w:w="3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Грузоподъемность</w:t>
            </w:r>
            <w:r>
              <w:rPr>
                <w:sz w:val="24"/>
                <w:szCs w:val="24"/>
                <w:shd w:fill="auto" w:val="clear"/>
                <w:lang w:val="en-US"/>
              </w:rPr>
              <w:t xml:space="preserve">, </w:t>
            </w:r>
            <w:r>
              <w:rPr>
                <w:sz w:val="24"/>
                <w:szCs w:val="24"/>
                <w:shd w:fill="auto" w:val="clear"/>
              </w:rPr>
              <w:t xml:space="preserve"> не менее 32 т.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Вылет стрелы крана не менее 16 метров при подаче груза весом 2 тонны.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Наличие координатной защиты.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  <w:lang w:val="en-US"/>
              </w:rPr>
              <w:t>483</w:t>
            </w:r>
          </w:p>
        </w:tc>
      </w:tr>
      <w:tr>
        <w:trPr>
          <w:trHeight w:val="450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Автокран</w:t>
            </w:r>
          </w:p>
        </w:tc>
        <w:tc>
          <w:tcPr>
            <w:tcW w:w="3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Грузоподъемность,  не менее 16 т.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Наличие координатной защиты.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56</w:t>
            </w:r>
          </w:p>
        </w:tc>
      </w:tr>
      <w:tr>
        <w:trPr>
          <w:trHeight w:val="478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0" w:right="0" w:hanging="57"/>
              <w:jc w:val="center"/>
              <w:rPr/>
            </w:pPr>
            <w:r>
              <w:rPr/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Автомобиль бортовой</w:t>
            </w:r>
          </w:p>
        </w:tc>
        <w:tc>
          <w:tcPr>
            <w:tcW w:w="3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Грузоподъемность 10 т.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Высота автомашины не более 4 метров.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364</w:t>
            </w:r>
          </w:p>
        </w:tc>
      </w:tr>
    </w:tbl>
    <w:p>
      <w:pPr>
        <w:pStyle w:val="Heading1"/>
        <w:rPr>
          <w:sz w:val="24"/>
          <w:szCs w:val="24"/>
        </w:rPr>
      </w:pPr>
      <w:bookmarkStart w:id="27" w:name="_Toc125982708"/>
      <w:bookmarkStart w:id="28" w:name="_Toc212809324"/>
      <w:r>
        <w:rPr>
          <w:sz w:val="24"/>
          <w:szCs w:val="24"/>
        </w:rPr>
        <w:t>Требования к срокам оказания услуг</w:t>
      </w:r>
      <w:bookmarkEnd w:id="27"/>
      <w:bookmarkEnd w:id="28"/>
    </w:p>
    <w:p>
      <w:pPr>
        <w:pStyle w:val="Heading1"/>
        <w:tabs>
          <w:tab w:val="clear" w:pos="0"/>
        </w:tabs>
        <w:ind w:left="426" w:hanging="426"/>
        <w:rPr>
          <w:sz w:val="24"/>
          <w:szCs w:val="24"/>
          <w:lang w:val="ru-RU"/>
        </w:rPr>
      </w:pPr>
      <w:bookmarkStart w:id="29" w:name="_Toc125982709"/>
      <w:bookmarkStart w:id="30" w:name="_Toc54643707"/>
      <w:bookmarkStart w:id="31" w:name="_Toc212809325"/>
      <w:bookmarkStart w:id="32" w:name="_Toc513396971"/>
      <w:bookmarkStart w:id="33" w:name="_Toc50125127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4" w:name="_Hlk504652841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2"/>
      <w:bookmarkEnd w:id="33"/>
      <w:bookmarkEnd w:id="34"/>
      <w:r>
        <w:rPr>
          <w:sz w:val="24"/>
          <w:szCs w:val="24"/>
          <w:lang w:val="ru-RU"/>
        </w:rPr>
        <w:t>оказания услуг</w:t>
      </w:r>
      <w:bookmarkEnd w:id="29"/>
      <w:bookmarkEnd w:id="30"/>
      <w:bookmarkEnd w:id="31"/>
    </w:p>
    <w:tbl>
      <w:tblPr>
        <w:tblW w:w="10093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8"/>
        <w:gridCol w:w="4002"/>
        <w:gridCol w:w="2695"/>
        <w:gridCol w:w="2687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/>
            </w:pPr>
            <w:r>
              <w:rPr/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Оказание услуг по предоставлению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спецтехники с экипажем для нужд Воткинского филиала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 момента подписания договора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</w:t>
            </w:r>
            <w:r>
              <w:rPr>
                <w:sz w:val="24"/>
                <w:szCs w:val="24"/>
                <w:shd w:fill="auto" w:val="clear"/>
                <w:lang w:val="en-US"/>
              </w:rPr>
              <w:t>0</w:t>
            </w:r>
            <w:r>
              <w:rPr>
                <w:sz w:val="24"/>
                <w:szCs w:val="24"/>
                <w:shd w:fill="auto" w:val="clear"/>
              </w:rPr>
              <w:t>.</w:t>
            </w:r>
            <w:r>
              <w:rPr>
                <w:sz w:val="24"/>
                <w:szCs w:val="24"/>
                <w:shd w:fill="auto" w:val="clear"/>
                <w:lang w:val="en-US"/>
              </w:rPr>
              <w:t>11</w:t>
            </w:r>
            <w:r>
              <w:rPr>
                <w:sz w:val="24"/>
                <w:szCs w:val="24"/>
                <w:shd w:fill="auto" w:val="clear"/>
              </w:rPr>
              <w:t>.202</w:t>
            </w:r>
            <w:bookmarkStart w:id="35" w:name="_Toc54646399"/>
            <w:bookmarkStart w:id="36" w:name="_Toc46743508"/>
            <w:bookmarkEnd w:id="35"/>
            <w:bookmarkEnd w:id="36"/>
            <w:r>
              <w:rPr>
                <w:sz w:val="24"/>
                <w:szCs w:val="24"/>
                <w:shd w:fill="auto" w:val="clear"/>
              </w:rPr>
              <w:t>6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first" r:id="rId5"/>
          <w:type w:val="nextPage"/>
          <w:pgSz w:w="11906" w:h="16838"/>
          <w:pgMar w:left="1134" w:right="566" w:gutter="0" w:header="680" w:top="1134" w:footer="737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ListParagraph"/>
        <w:keepNext w:val="true"/>
        <w:numPr>
          <w:ilvl w:val="1"/>
          <w:numId w:val="3"/>
        </w:numPr>
        <w:tabs>
          <w:tab w:val="clear" w:pos="708"/>
          <w:tab w:val="left" w:pos="0" w:leader="none"/>
          <w:tab w:val="left" w:pos="567" w:leader="none"/>
          <w:tab w:val="left" w:pos="851" w:leader="none"/>
        </w:tabs>
        <w:suppressAutoHyphens w:val="false"/>
        <w:spacing w:before="120" w:after="200"/>
        <w:contextualSpacing/>
        <w:jc w:val="both"/>
        <w:outlineLvl w:val="1"/>
        <w:rPr>
          <w:rFonts w:eastAsia="Calibri"/>
          <w:b/>
          <w:bCs/>
          <w:sz w:val="24"/>
          <w:szCs w:val="24"/>
          <w:lang w:val="x-none" w:eastAsia="x-none"/>
        </w:rPr>
      </w:pPr>
      <w:bookmarkStart w:id="37" w:name="_Toc125982710"/>
      <w:bookmarkStart w:id="38" w:name="_Toc212809326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/>
          <w:b/>
          <w:bCs/>
          <w:sz w:val="24"/>
          <w:szCs w:val="24"/>
          <w:lang w:eastAsia="x-none"/>
        </w:rPr>
        <w:t>качеству услуг</w:t>
      </w:r>
      <w:bookmarkEnd w:id="37"/>
      <w:bookmarkEnd w:id="38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  <w:tab w:val="left" w:pos="567" w:leader="none"/>
          <w:tab w:val="left" w:pos="851" w:leader="none"/>
        </w:tabs>
        <w:suppressAutoHyphens w:val="false"/>
        <w:spacing w:before="120" w:after="60"/>
        <w:ind w:left="426" w:hanging="426"/>
        <w:outlineLvl w:val="0"/>
        <w:rPr>
          <w:rFonts w:eastAsia="Calibri"/>
          <w:b/>
          <w:sz w:val="24"/>
          <w:szCs w:val="24"/>
          <w:lang w:val="x-none" w:eastAsia="x-none"/>
        </w:rPr>
      </w:pPr>
      <w:bookmarkStart w:id="39" w:name="_Toc212809327"/>
      <w:r>
        <w:rPr>
          <w:rFonts w:eastAsia="Calibri"/>
          <w:b/>
          <w:sz w:val="24"/>
          <w:szCs w:val="24"/>
          <w:lang w:val="x-none" w:eastAsia="x-none"/>
        </w:rPr>
        <w:t>Таблица </w:t>
      </w:r>
      <w:r>
        <w:rPr>
          <w:rFonts w:eastAsia="Calibri"/>
          <w:b/>
          <w:sz w:val="24"/>
          <w:szCs w:val="24"/>
          <w:lang w:eastAsia="x-none"/>
        </w:rPr>
        <w:t>4</w:t>
      </w:r>
      <w:r>
        <w:rPr>
          <w:rFonts w:eastAsia="Calibri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/>
          <w:b/>
          <w:sz w:val="24"/>
          <w:szCs w:val="24"/>
          <w:lang w:eastAsia="x-none"/>
        </w:rPr>
        <w:t>качеству услуг</w:t>
      </w:r>
      <w:bookmarkEnd w:id="39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uppressAutoHyphens w:val="false"/>
        <w:rPr>
          <w:i/>
          <w:i/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>Наименование услуг: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</w:rPr>
        <w:t xml:space="preserve">ОКПД2 49.41.20.000 Оказание услуги по предоставлению спецтехники с экипажем для нужд Воткинского филиала. </w:t>
      </w:r>
    </w:p>
    <w:tbl>
      <w:tblPr>
        <w:tblStyle w:val="affff7"/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91"/>
        <w:gridCol w:w="2143"/>
        <w:gridCol w:w="3"/>
        <w:gridCol w:w="5794"/>
        <w:gridCol w:w="2834"/>
        <w:gridCol w:w="3261"/>
      </w:tblGrid>
      <w:tr>
        <w:trPr>
          <w:trHeight w:val="562" w:hRule="atLeast"/>
        </w:trPr>
        <w:tc>
          <w:tcPr>
            <w:tcW w:w="99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14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7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21" w:hRule="atLeast"/>
        </w:trPr>
        <w:tc>
          <w:tcPr>
            <w:tcW w:w="99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14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7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 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b/>
                <w:sz w:val="22"/>
                <w:szCs w:val="22"/>
              </w:rPr>
            </w:pPr>
            <w:bookmarkStart w:id="40" w:name="_Hlk51253264"/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  <w:bookmarkEnd w:id="40"/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1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5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14035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услуги норм и правил нормативно-технических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«Правила организации технического обслуживания и ремонта объектов электроэнергетики», зарегистрирован 26.03.2019; приказ Минэнерго России от 25.10.2017 №1013;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-Правила по охране труда при эксплуатации электроустановок», приказ Минтруда России от 15.12.2020 №903н;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-Приказ №461 от 26.11.2020 г. 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Правила по охране труда на автомобильном транспорте (утв. приказом Минтруда России от 18.12.2020 №871н.</w:t>
            </w:r>
          </w:p>
        </w:tc>
        <w:tc>
          <w:tcPr>
            <w:tcW w:w="2834" w:type="dxa"/>
            <w:vMerge w:val="restart"/>
            <w:tcBorders>
              <w:bottom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Документация, предоставляемая Исполнителем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обязательными требованиями промышленной безопасности</w:t>
            </w:r>
          </w:p>
        </w:tc>
        <w:tc>
          <w:tcPr>
            <w:tcW w:w="5794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-свидетельство о регистрации опасного производственного объекта (включая приложения) (копия);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-сведения характеризующие опасный производственной объект, в составе которого эксплуатируется предоставляемый автомобильный подъемник, грузоподъемный кран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-паспорт изготовителя предоставляемого автомобильного подъемника, грузоподъемного крана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-руководство (инструкция) по эксплуатации изготовителя предоставляемого автомобильного подъемника, грузоподъемного крана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-внесенное в реестр Ростехнадзора заключение экспертизы промышленной безопасности с выводами о соответствии ПС требованиям промышленной безопасности (для автомобильного подъемника, грузоподъемного крана с истёкшим срок службы),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-страховой полис обязательного страхования гражданской ответственности владельца опасного объекта за причинение вреда в результате аварии в составе которых эксплуатируются предоставляемый автомобильный подъемник, грузоподъемный кран;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-копии удостоверений, протоколов проверки знаний персонала, обслуживающего автомобильные подъемники, грузоподъемные краны.                   Документация предоставляет во время заключения Договора.</w:t>
            </w:r>
          </w:p>
        </w:tc>
        <w:tc>
          <w:tcPr>
            <w:tcW w:w="2834" w:type="dxa"/>
            <w:vMerge w:val="continue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ind w:right="-104" w:hanging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использования</w:t>
            </w:r>
          </w:p>
        </w:tc>
        <w:tc>
          <w:tcPr>
            <w:tcW w:w="5794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планирует использовать (применять) спецтехнику в соответствии с Таблицей 2 ТТ «Перечень и объем оказываемых услуг» и продолжительностью применения, указанной в подаваемых заявках.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этом Заказчик оставляет за собой право исполнить договор не в полном объёме и не применять какую-либо из перечисленной спецтехники в случае отсутствия необходимости.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и место оказания услуг</w:t>
            </w:r>
          </w:p>
        </w:tc>
        <w:tc>
          <w:tcPr>
            <w:tcW w:w="5794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Планируемый объем и место оказания услуг указывается в подаваемых Заказчиком в заявках.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x-none" w:bidi="ar-SA"/>
              </w:rPr>
              <w:t>1.2.1.</w:t>
            </w:r>
          </w:p>
        </w:tc>
        <w:tc>
          <w:tcPr>
            <w:tcW w:w="214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расходы, связанные с эксплуатацией спецтехники, включая, расходы на заработную плату водителей (машинистов, операторов подъемников, машинистов кранов), оплату топлива, горюче-смазочных материалов и эксплуатационных жидкостей, оплату ремонта и запасных частей, налоговых пошлин, страховых сборов, штрафов, и иных расходов, возникающих в связи с эксплуатацией спецтехники в рамках Договора.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к применяемым при оказании услуг 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оборудованию и материалам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Спецтехника</w:t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 предоставляться в исправном состоянии вместе с экипажем (водителями, машинистами, операторами подъемников, машинистами кранов).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находиться в технически исправном состоянии и с необходимой документацией (в т.ч. путевым листом, вахтенным журналом);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-быть укомплектованы необходимыми вспомогательными средствами: огнетушителем, аварийным знаком, аптечкой с медикаментами,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заземляющим устройством - проводник сечением не менее 10 мм2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>
          <w:trHeight w:val="412" w:hRule="atLeast"/>
        </w:trPr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</w:t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 эксплуатации спецтехники производится по факту отработанного времени, указанному в путевых листах, подписанных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FFFF00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Работа техники указанной в Таблице 2. «Перечень и объем оказываемых услуг» производится ежедневно в 12-ти часовой рабочий день (с 8-00 до 20-00), в том числе в выходные дни.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сдачи-приемки Услуг с приложением путевых листов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 по закупке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Акта сдачи-приемки Услуг должен быть предоставлен Исполнителем по окончании отчетного месяца, в котором были оказаны услуги в 2-х экземплярах с приложением путевых листов.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2146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представить Заказчику счет-фактуру в течение 5 (пяти) календарных дней с даты подписания Сторонами Акта сдачи-приемки Услуг.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805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kern w:val="0"/>
                <w:sz w:val="24"/>
                <w:szCs w:val="24"/>
                <w:lang w:val="en-US" w:eastAsia="x-none" w:bidi="ar-SA"/>
              </w:rPr>
              <w:t>3.1.</w:t>
            </w:r>
          </w:p>
        </w:tc>
        <w:tc>
          <w:tcPr>
            <w:tcW w:w="21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</w:t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Оформлять путевые листы в соответствии с требованиями Приказа № 390 от 28 сентября 2022 года Министерства транспорта Российской Федерации.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>
          <w:trHeight w:val="762" w:hRule="atLeast"/>
        </w:trPr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1125" w:hRule="atLeast"/>
        </w:trPr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14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качество, работоспособность, функциональные свойства используемой для оказания услуг спецтехники в соответствии с настоящими техническими требованиями и действующими нормативными актами РФ.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>
          <w:trHeight w:val="983" w:hRule="atLeast"/>
        </w:trPr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ascii="Times New Roman" w:hAnsi="Times New Roman" w:eastAsia="Calibri" w:cs="Times New Roman"/>
                <w:b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146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i/>
                <w:i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невозможности предоставления спецтехники, согласованной в Заявке Исполнитель обязан незамедлительно уведомить об этом Заказчика и по согласованию с ним предоставить подменную спецтехнику с аналогичными техническими характеристиками и на условиях, согласованных в Заявках. Время простоя, по причине неисправной спецтехники, не оплачивается.</w:t>
            </w:r>
          </w:p>
        </w:tc>
        <w:tc>
          <w:tcPr>
            <w:tcW w:w="2834" w:type="dxa"/>
            <w:vMerge w:val="continue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>
          <w:trHeight w:val="546" w:hRule="atLeast"/>
        </w:trPr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784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5.1.</w:t>
            </w:r>
          </w:p>
        </w:tc>
        <w:tc>
          <w:tcPr>
            <w:tcW w:w="21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579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для исполнения договора должен иметь ТС в собственности или на праве аренды.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>
          <w:trHeight w:val="346" w:hRule="atLeast"/>
        </w:trPr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suppressAutoHyphens w:val="false"/>
              <w:spacing w:before="0" w:after="0"/>
              <w:ind w:left="0" w:hanging="0"/>
              <w:contextualSpacing w:val="false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6.</w:t>
            </w:r>
          </w:p>
        </w:tc>
        <w:tc>
          <w:tcPr>
            <w:tcW w:w="79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требования к оказанию услуг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668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6.1.</w:t>
            </w:r>
          </w:p>
        </w:tc>
        <w:tc>
          <w:tcPr>
            <w:tcW w:w="2146" w:type="dxa"/>
            <w:gridSpan w:val="2"/>
            <w:tcBorders/>
            <w:vAlign w:val="center"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маш/час (смену; км)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</w:rPr>
            </w:pPr>
            <w:bookmarkStart w:id="41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По каждой единице ТС является фиксированной на протяжении всего срока действия договора</w:t>
            </w:r>
            <w:bookmarkEnd w:id="41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2834" w:type="dxa"/>
            <w:vMerge w:val="continue"/>
            <w:tcBorders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center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</w:tr>
      <w:tr>
        <w:trPr>
          <w:trHeight w:val="668" w:hRule="atLeast"/>
        </w:trPr>
        <w:tc>
          <w:tcPr>
            <w:tcW w:w="99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6.2.</w:t>
            </w:r>
          </w:p>
        </w:tc>
        <w:tc>
          <w:tcPr>
            <w:tcW w:w="2146" w:type="dxa"/>
            <w:gridSpan w:val="2"/>
            <w:tcBorders>
              <w:top w:val="nil"/>
            </w:tcBorders>
            <w:vAlign w:val="center"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Требование к водителю автотранспорта</w:t>
            </w:r>
          </w:p>
        </w:tc>
        <w:tc>
          <w:tcPr>
            <w:tcW w:w="57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Водитель, оператор подъемника, машинист крана должен иметь гражданство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Российской Федерации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.</w:t>
            </w:r>
          </w:p>
        </w:tc>
        <w:tc>
          <w:tcPr>
            <w:tcW w:w="2834" w:type="dxa"/>
            <w:tcBorders>
              <w:top w:val="nil"/>
            </w:tcBorders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left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center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left="0" w:firstLine="567"/>
        <w:rPr>
          <w:sz w:val="24"/>
          <w:szCs w:val="24"/>
        </w:rPr>
      </w:pPr>
      <w:bookmarkStart w:id="42" w:name="_Toc212809328"/>
      <w:bookmarkStart w:id="43" w:name="_GoBack"/>
      <w:bookmarkEnd w:id="43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42"/>
    </w:p>
    <w:p>
      <w:pPr>
        <w:pStyle w:val="ListParagraph"/>
        <w:ind w:left="0" w:firstLine="567"/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</w:r>
    </w:p>
    <w:p>
      <w:pPr>
        <w:pStyle w:val="ListParagraph"/>
        <w:ind w:left="0" w:firstLine="567"/>
        <w:jc w:val="both"/>
        <w:rPr>
          <w:b/>
          <w:sz w:val="24"/>
          <w:szCs w:val="22"/>
        </w:rPr>
      </w:pPr>
      <w:r>
        <w:rPr>
          <w:sz w:val="24"/>
          <w:szCs w:val="22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ind w:left="0" w:firstLine="567"/>
        <w:jc w:val="both"/>
        <w:rPr>
          <w:sz w:val="24"/>
          <w:szCs w:val="22"/>
        </w:rPr>
      </w:pPr>
      <w:r>
        <w:rPr>
          <w:sz w:val="24"/>
          <w:szCs w:val="22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/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orient="landscape" w:w="16838" w:h="11906"/>
      <w:pgMar w:left="567" w:right="851" w:gutter="0" w:header="567" w:top="1134" w:footer="284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289080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1BD3D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1BD3D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b/>
        <w:szCs w:val="28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982"/>
        </w:tabs>
        <w:ind w:left="2206" w:hanging="504"/>
      </w:pPr>
      <w:rPr>
        <w:sz w:val="24"/>
        <w:b w:val="false"/>
        <w:szCs w:val="24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i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794" w:hanging="51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8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3" w:customStyle="1">
    <w:name w:val="Подпункт Знак1"/>
    <w:link w:val="Style25"/>
    <w:qFormat/>
    <w:locked/>
    <w:rsid w:val="00d22f6d"/>
    <w:rPr>
      <w:sz w:val="28"/>
    </w:rPr>
  </w:style>
  <w:style w:type="character" w:styleId="Style4" w:customStyle="1">
    <w:name w:val="Текст сноски Знак"/>
    <w:uiPriority w:val="99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5" w:customStyle="1">
    <w:name w:val="УРОВЕНЬ_1. Знак"/>
    <w:link w:val="112"/>
    <w:qFormat/>
    <w:rsid w:val="004a17ae"/>
    <w:rPr>
      <w:rFonts w:eastAsia="Calibri"/>
      <w:caps/>
      <w:sz w:val="28"/>
      <w:szCs w:val="28"/>
      <w:lang w:eastAsia="en-US"/>
    </w:rPr>
  </w:style>
  <w:style w:type="character" w:styleId="16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b41520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3" w:customStyle="1">
    <w:name w:val="Нижний колонтитул Знак"/>
    <w:basedOn w:val="DefaultParagraphFont"/>
    <w:uiPriority w:val="99"/>
    <w:qFormat/>
    <w:rsid w:val="001a1545"/>
    <w:rPr>
      <w:sz w:val="28"/>
      <w:szCs w:val="28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Основной текст_"/>
    <w:link w:val="113"/>
    <w:uiPriority w:val="99"/>
    <w:qFormat/>
    <w:locked/>
    <w:rsid w:val="001419cf"/>
    <w:rPr>
      <w:sz w:val="28"/>
      <w:szCs w:val="28"/>
      <w:shd w:fill="FFFFFF" w:val="clear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сноски"/>
    <w:semiHidden/>
    <w:unhideWhenUsed/>
    <w:qFormat/>
    <w:rsid w:val="001260a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uiPriority w:val="99"/>
    <w:rsid w:val="00d561d9"/>
    <w:pPr/>
    <w:rPr>
      <w:sz w:val="20"/>
      <w:szCs w:val="20"/>
    </w:rPr>
  </w:style>
  <w:style w:type="paragraph" w:styleId="17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8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3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3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99"/>
    <w:qFormat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 w:customStyle="1">
    <w:name w:val="Подподпункт"/>
    <w:basedOn w:val="Style25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lang w:eastAsia="en-US"/>
    </w:rPr>
  </w:style>
  <w:style w:type="paragraph" w:styleId="111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2" w:customStyle="1">
    <w:name w:val="УРОВЕНЬ_1."/>
    <w:basedOn w:val="ListParagraph"/>
    <w:link w:val="15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b41520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paragraph" w:styleId="113" w:customStyle="1">
    <w:name w:val="Основной текст1"/>
    <w:basedOn w:val="Normal"/>
    <w:link w:val="Style15"/>
    <w:qFormat/>
    <w:rsid w:val="001419cf"/>
    <w:pPr>
      <w:widowControl w:val="false"/>
      <w:shd w:val="clear" w:color="auto" w:fill="FFFFFF"/>
      <w:suppressAutoHyphens w:val="false"/>
      <w:spacing w:lineRule="exact" w:line="302"/>
    </w:pPr>
    <w:rPr/>
  </w:style>
  <w:style w:type="paragraph" w:styleId="114">
    <w:name w:val="Заголовок №1"/>
    <w:basedOn w:val="Normal"/>
    <w:qFormat/>
    <w:pPr>
      <w:shd w:val="clear" w:color="auto" w:fill="FFFFFF"/>
      <w:spacing w:lineRule="atLeast" w:line="0" w:before="0" w:after="420"/>
      <w:ind w:hanging="680"/>
      <w:outlineLvl w:val="0"/>
    </w:pPr>
    <w:rPr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0A6DC-2B9F-400B-8B7E-D9C17279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Application>AlterOffice/3.4.0.9$Linux_X86_64 LibreOffice_project/b8daf9e823b1a5463a2f48435ddc2e8696e7d4fc</Application>
  <AppVersion>15.0000</AppVersion>
  <Pages>9</Pages>
  <Words>1621</Words>
  <Characters>11215</Characters>
  <CharactersWithSpaces>12611</CharactersWithSpaces>
  <Paragraphs>243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2024-10-25T03:02:00Z</dcterms:created>
  <dc:creator>Быстров Олег Геннадьевич</dc:creator>
  <dc:description/>
  <dc:language>ru-RU</dc:language>
  <cp:lastModifiedBy>zavylovamv@corp.gidroogk.com</cp:lastModifiedBy>
  <cp:lastPrinted>2006-07-26T14:04:00Z</cp:lastPrinted>
  <dcterms:modified xsi:type="dcterms:W3CDTF">2026-09-28T17:11:31Z</dcterms:modified>
  <cp:revision>99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