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7554584_Копия_1"/>
      <w:bookmarkStart w:id="7" w:name="_Toc139856287_Копия_1"/>
      <w:bookmarkStart w:id="8" w:name="_Toc141696704_Копия_1"/>
      <w:bookmarkStart w:id="9" w:name="_Toc137554584_Копия_1"/>
      <w:bookmarkStart w:id="10" w:name="_Toc139856287_Копия_1"/>
      <w:bookmarkStart w:id="11" w:name="_Toc141696704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tabs>
          <w:tab w:val="clear" w:pos="708"/>
          <w:tab w:val="left" w:pos="2655" w:leader="none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rFonts w:eastAsia="Calibri"/>
          <w:b/>
          <w:color w:val="000000" w:themeColor="text1"/>
          <w:sz w:val="26"/>
          <w:szCs w:val="26"/>
        </w:rPr>
        <w:t xml:space="preserve">Технические требования </w:t>
      </w:r>
      <w:r>
        <w:rPr>
          <w:b/>
          <w:color w:val="000000" w:themeColor="text1"/>
          <w:sz w:val="26"/>
          <w:szCs w:val="26"/>
          <w:shd w:fill="FFFFFF" w:val="clear"/>
        </w:rPr>
        <w:t xml:space="preserve">на поставку МТР. </w:t>
      </w:r>
    </w:p>
    <w:p>
      <w:pPr>
        <w:pStyle w:val="Normal"/>
        <w:jc w:val="center"/>
        <w:rPr>
          <w:b/>
          <w:color w:val="000000" w:themeColor="text1"/>
          <w:sz w:val="26"/>
          <w:szCs w:val="26"/>
          <w:shd w:fill="FFFFFF" w:val="clear"/>
        </w:rPr>
      </w:pPr>
      <w:r>
        <w:rPr>
          <w:b/>
          <w:color w:val="000000" w:themeColor="text1"/>
          <w:sz w:val="26"/>
          <w:szCs w:val="26"/>
          <w:shd w:fill="FFFFFF" w:val="clear"/>
        </w:rPr>
        <w:t>по Лоту №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color w:val="000000" w:themeColor="text1"/>
          <w:kern w:val="0"/>
          <w:sz w:val="26"/>
          <w:szCs w:val="26"/>
          <w:lang w:val="ru-RU" w:eastAsia="ru-RU" w:bidi="ar-SA"/>
        </w:rPr>
      </w:pPr>
      <w:r>
        <w:rPr>
          <w:rFonts w:eastAsia="Calibri" w:cs="Times New Roman"/>
          <w:b/>
          <w:color w:val="000000" w:themeColor="text1"/>
          <w:kern w:val="0"/>
          <w:sz w:val="26"/>
          <w:szCs w:val="26"/>
          <w:lang w:val="ru-RU" w:eastAsia="ru-RU" w:bidi="ar-SA"/>
        </w:rPr>
        <w:t>ОКПД2 27.12.10.110 Поставка выключателей ВЭБ-110 для нужд Филиала                              ПАО «РусГидро»- «Северо-Осетинский филиал».Аварийный запас.</w:t>
      </w:r>
    </w:p>
    <w:p>
      <w:pPr>
        <w:pStyle w:val="Normal"/>
        <w:jc w:val="center"/>
        <w:rPr>
          <w:rFonts w:eastAsia="Calibri"/>
          <w:b/>
          <w:i/>
          <w:i/>
          <w:color w:val="FF0000"/>
          <w:sz w:val="26"/>
          <w:szCs w:val="26"/>
        </w:rPr>
      </w:pPr>
      <w:r>
        <w:rPr>
          <w:rFonts w:eastAsia="Calibri"/>
          <w:b/>
          <w:i/>
          <w:color w:val="FF0000"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8"/>
            </w:rPr>
            <w:instrText xml:space="preserve"> TOC \z \o "1-4" \u \h</w:instrText>
          </w:r>
          <w:r>
            <w:rPr>
              <w:webHidden/>
              <w:rStyle w:val="Style18"/>
            </w:rPr>
            <w:fldChar w:fldCharType="separate"/>
          </w:r>
          <w:hyperlink w:anchor="__RefHeading___Toc4052_3512887204">
            <w:r>
              <w:rPr>
                <w:webHidden/>
                <w:rStyle w:val="Style18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054_3512887204">
            <w:r>
              <w:rPr>
                <w:webHidden/>
                <w:rStyle w:val="Style18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056_3512887204">
            <w:r>
              <w:rPr>
                <w:webHidden/>
                <w:rStyle w:val="Style18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058_3512887204">
            <w:r>
              <w:rPr>
                <w:webHidden/>
                <w:rStyle w:val="Style18"/>
              </w:rPr>
              <w:t>1.3 Цель использования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060_3512887204">
            <w:r>
              <w:rPr>
                <w:webHidden/>
                <w:rStyle w:val="Style18"/>
              </w:rPr>
              <w:t xml:space="preserve">2. </w:t>
            </w:r>
            <w:r>
              <w:rPr>
                <w:rStyle w:val="Style18"/>
                <w:iCs/>
              </w:rPr>
              <w:t>Требования к продукции</w:t>
            </w:r>
            <w:r>
              <w:rPr>
                <w:rStyle w:val="Style18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062_3512887204">
            <w:r>
              <w:rPr>
                <w:webHidden/>
                <w:rStyle w:val="Style18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064_3512887204">
            <w:r>
              <w:rPr>
                <w:webHidden/>
                <w:rStyle w:val="Style18"/>
              </w:rPr>
              <w:t>2.1.1. Перечень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066_3512887204">
            <w:r>
              <w:rPr>
                <w:webHidden/>
                <w:rStyle w:val="Style18"/>
              </w:rPr>
              <w:t>Таблица 1.1 Перечень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068_3512887204">
            <w:r>
              <w:rPr>
                <w:webHidden/>
                <w:rStyle w:val="Style18"/>
              </w:rPr>
              <w:t>2.1.2. Требования по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070_3512887204">
            <w:r>
              <w:rPr>
                <w:webHidden/>
                <w:rStyle w:val="Style18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4072_3512887204">
            <w:r>
              <w:rPr>
                <w:webHidden/>
                <w:rStyle w:val="Style18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074_3512887204">
            <w:r>
              <w:rPr>
                <w:webHidden/>
                <w:rStyle w:val="Style18"/>
              </w:rPr>
              <w:t>Таблица 3.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076_3512887204">
            <w:r>
              <w:rPr>
                <w:webHidden/>
                <w:rStyle w:val="Style18"/>
              </w:rPr>
              <w:t>Таблица 4. Требования к качеству продукции</w:t>
              <w:tab/>
              <w:t>13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4078_3512887204">
            <w:r>
              <w:rPr>
                <w:webHidden/>
                <w:rStyle w:val="Style18"/>
              </w:rPr>
              <w:t>3. Требования к документации по ценообразованию на этапе закупки</w:t>
              <w:tab/>
              <w:t>16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4080_3512887204">
            <w:r>
              <w:rPr>
                <w:webHidden/>
                <w:rStyle w:val="Style18"/>
              </w:rPr>
              <w:t xml:space="preserve">3.2.1. </w:t>
            </w:r>
            <w:r>
              <w:rPr>
                <w:rStyle w:val="Style18"/>
                <w:iCs/>
              </w:rPr>
              <w:t>Форма Коммерческого предложения</w:t>
            </w:r>
            <w:r>
              <w:rPr>
                <w:rStyle w:val="Style18"/>
              </w:rPr>
              <w:tab/>
              <w:t>16</w:t>
            </w:r>
          </w:hyperlink>
          <w:r>
            <w:rPr>
              <w:rStyle w:val="Style18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2" w:name="__RefHeading___Toc4052_3512887204"/>
      <w:bookmarkStart w:id="13" w:name="_Toc51339692"/>
      <w:bookmarkStart w:id="14" w:name="_Toc75446145"/>
      <w:bookmarkEnd w:id="12"/>
      <w:r>
        <w:rPr>
          <w:lang w:val="ru-RU"/>
        </w:rPr>
        <w:t>Общие сведения</w:t>
      </w:r>
      <w:bookmarkEnd w:id="13"/>
      <w:bookmarkEnd w:id="14"/>
    </w:p>
    <w:p>
      <w:pPr>
        <w:pStyle w:val="Heading4"/>
        <w:numPr>
          <w:ilvl w:val="1"/>
          <w:numId w:val="3"/>
        </w:numPr>
        <w:rPr/>
      </w:pPr>
      <w:bookmarkStart w:id="15" w:name="__RefHeading___Toc4054_3512887204"/>
      <w:bookmarkStart w:id="16" w:name="_Toc46743505"/>
      <w:bookmarkStart w:id="17" w:name="_Toc75446146"/>
      <w:bookmarkEnd w:id="15"/>
      <w:r>
        <w:rPr/>
        <w:t>Обозначения и сокращения</w:t>
      </w:r>
      <w:bookmarkEnd w:id="16"/>
      <w:bookmarkEnd w:id="17"/>
    </w:p>
    <w:p>
      <w:pPr>
        <w:pStyle w:val="Normal"/>
        <w:rPr>
          <w:rStyle w:val="Style14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14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14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Запасные части и приспособления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6"/>
                <w:szCs w:val="26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государственный стандарт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18" w:name="__RefHeading___Toc4056_3512887204"/>
      <w:bookmarkStart w:id="19" w:name="_Toc75446147"/>
      <w:bookmarkStart w:id="20" w:name="_Toc46743506"/>
      <w:bookmarkEnd w:id="18"/>
      <w:r>
        <w:rPr/>
        <w:t>Наименование закупаемой продукции</w:t>
      </w:r>
      <w:bookmarkEnd w:id="19"/>
      <w:bookmarkEnd w:id="20"/>
    </w:p>
    <w:p>
      <w:pPr>
        <w:pStyle w:val="Normal"/>
        <w:spacing w:lineRule="atLeast" w:line="0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  <w:t>Выключатель элегазовый баковый ВЭБ-110-40/2500 УХЛ1</w:t>
      </w:r>
      <w:bookmarkStart w:id="21" w:name="_Toc75446148"/>
      <w:bookmarkStart w:id="22" w:name="_Toc46743507"/>
    </w:p>
    <w:p>
      <w:pPr>
        <w:pStyle w:val="Heading4"/>
        <w:numPr>
          <w:ilvl w:val="0"/>
        </w:numPr>
        <w:tabs>
          <w:tab w:val="clear" w:pos="0"/>
        </w:tabs>
        <w:spacing w:before="240" w:after="60"/>
        <w:ind w:hanging="432" w:left="432"/>
        <w:rPr>
          <w:lang w:val="ru-RU"/>
        </w:rPr>
      </w:pPr>
      <w:bookmarkStart w:id="23" w:name="__RefHeading___Toc4058_3512887204"/>
      <w:bookmarkEnd w:id="23"/>
      <w:r>
        <w:rPr>
          <w:lang w:val="ru-RU"/>
        </w:rPr>
        <w:t xml:space="preserve">1.3 </w:t>
      </w:r>
      <w:r>
        <w:rPr/>
        <w:t xml:space="preserve">Цель </w:t>
      </w:r>
      <w:bookmarkEnd w:id="22"/>
      <w:r>
        <w:rPr>
          <w:lang w:val="ru-RU"/>
        </w:rPr>
        <w:t>использования закупаемой продукции</w:t>
      </w:r>
    </w:p>
    <w:p>
      <w:pPr>
        <w:pStyle w:val="Normal"/>
        <w:jc w:val="both"/>
        <w:rPr>
          <w:rStyle w:val="Style14"/>
          <w:b w:val="false"/>
          <w:iCs/>
          <w:sz w:val="24"/>
          <w:szCs w:val="24"/>
        </w:rPr>
      </w:pPr>
      <w:r>
        <w:rPr>
          <w:i/>
          <w:iCs/>
          <w:sz w:val="24"/>
          <w:szCs w:val="24"/>
        </w:rPr>
        <w:t>Настоящие технические требования составлены для пополнения аварийного запаса Филиала..</w:t>
      </w:r>
      <w:bookmarkEnd w:id="21"/>
    </w:p>
    <w:p>
      <w:pPr>
        <w:pStyle w:val="ListParagraph"/>
        <w:rPr>
          <w:i/>
          <w:i/>
          <w:lang w:eastAsia="x-none"/>
        </w:rPr>
      </w:pPr>
      <w:r>
        <w:rPr>
          <w:i/>
          <w:lang w:eastAsia="x-none"/>
        </w:rPr>
      </w:r>
      <w:bookmarkStart w:id="24" w:name="_Toc50125126"/>
      <w:bookmarkStart w:id="25" w:name="_Toc46743510"/>
      <w:bookmarkStart w:id="26" w:name="_Toc50125126"/>
      <w:bookmarkStart w:id="27" w:name="_Toc46743510"/>
      <w:bookmarkEnd w:id="26"/>
      <w:bookmarkEnd w:id="27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8" w:name="__RefHeading___Toc4060_3512887204"/>
      <w:bookmarkStart w:id="29" w:name="_Toc51339693"/>
      <w:bookmarkStart w:id="30" w:name="_Toc75446152"/>
      <w:bookmarkEnd w:id="28"/>
      <w:r>
        <w:rPr>
          <w:iCs/>
        </w:rPr>
        <w:t>Требования к продукции</w:t>
      </w:r>
      <w:bookmarkEnd w:id="29"/>
      <w:bookmarkEnd w:id="30"/>
    </w:p>
    <w:p>
      <w:pPr>
        <w:pStyle w:val="Heading4"/>
        <w:numPr>
          <w:ilvl w:val="1"/>
          <w:numId w:val="3"/>
        </w:numPr>
        <w:rPr/>
      </w:pPr>
      <w:bookmarkStart w:id="31" w:name="__RefHeading___Toc4062_3512887204"/>
      <w:bookmarkStart w:id="32" w:name="_Toc75446153"/>
      <w:bookmarkEnd w:id="31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2"/>
    </w:p>
    <w:p>
      <w:pPr>
        <w:pStyle w:val="Heading3"/>
        <w:numPr>
          <w:ilvl w:val="2"/>
          <w:numId w:val="3"/>
        </w:numPr>
        <w:rPr/>
      </w:pPr>
      <w:bookmarkStart w:id="33" w:name="__RefHeading___Toc4064_3512887204"/>
      <w:bookmarkStart w:id="34" w:name="_Toc75446154"/>
      <w:bookmarkEnd w:id="33"/>
      <w:r>
        <w:rPr>
          <w:lang w:val="ru-RU"/>
        </w:rPr>
        <w:t>Перечень закупаемой продукции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5" w:name="__RefHeading___Toc4066_3512887204"/>
      <w:bookmarkStart w:id="36" w:name="_Toc75446155"/>
      <w:bookmarkStart w:id="37" w:name="_Toc51339695"/>
      <w:bookmarkEnd w:id="3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7"/>
      <w:r>
        <w:rPr>
          <w:sz w:val="24"/>
          <w:szCs w:val="24"/>
          <w:lang w:val="ru-RU"/>
        </w:rPr>
        <w:t>закупаемой продукции</w:t>
      </w:r>
      <w:bookmarkEnd w:id="36"/>
    </w:p>
    <w:tbl>
      <w:tblPr>
        <w:tblW w:w="992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4"/>
        <w:gridCol w:w="2789"/>
        <w:gridCol w:w="4554"/>
        <w:gridCol w:w="1116"/>
        <w:gridCol w:w="1010"/>
      </w:tblGrid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Тип,марка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 xml:space="preserve">Выключатель 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0"/>
              <w:rPr>
                <w:iCs/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ВЭБ-110-40/2500 УХЛ1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шт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i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>ЗИП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компл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38" w:name="__RefHeading___Toc4068_3512887204"/>
      <w:bookmarkStart w:id="39" w:name="_Toc75446157"/>
      <w:bookmarkStart w:id="40" w:name="_Toc51339696"/>
      <w:bookmarkEnd w:id="38"/>
      <w:r>
        <w:rPr>
          <w:lang w:val="ru-RU"/>
        </w:rPr>
        <w:t xml:space="preserve">Требования </w:t>
      </w:r>
      <w:bookmarkEnd w:id="40"/>
      <w:r>
        <w:rPr>
          <w:lang w:val="ru-RU"/>
        </w:rPr>
        <w:t>по срокам поставки продукции и оказания сопутствующих услуг</w:t>
      </w:r>
      <w:bookmarkEnd w:id="3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41" w:name="__RefHeading___Toc4070_3512887204"/>
      <w:bookmarkStart w:id="42" w:name="_Toc75446158"/>
      <w:bookmarkStart w:id="43" w:name="_Toc54637937"/>
      <w:bookmarkStart w:id="44" w:name="_Toc51339697"/>
      <w:bookmarkStart w:id="45" w:name="_Toc50125127"/>
      <w:bookmarkStart w:id="46" w:name="_Toc46743510_Копия_1"/>
      <w:bookmarkStart w:id="47" w:name="_Toc50125126_Копия_1"/>
      <w:bookmarkEnd w:id="41"/>
      <w:bookmarkEnd w:id="46"/>
      <w:bookmarkEnd w:id="4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8" w:name="_Hlk50465284"/>
      <w:r>
        <w:rPr>
          <w:sz w:val="24"/>
          <w:szCs w:val="24"/>
        </w:rPr>
        <w:t xml:space="preserve">Требования по срокам </w:t>
      </w:r>
      <w:bookmarkEnd w:id="44"/>
      <w:bookmarkEnd w:id="45"/>
      <w:bookmarkEnd w:id="48"/>
      <w:r>
        <w:rPr>
          <w:sz w:val="24"/>
          <w:szCs w:val="24"/>
          <w:lang w:val="ru-RU"/>
        </w:rPr>
        <w:t>поставки продукции</w:t>
      </w:r>
      <w:bookmarkEnd w:id="42"/>
      <w:bookmarkEnd w:id="43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2"/>
        <w:gridCol w:w="3277"/>
        <w:gridCol w:w="2695"/>
        <w:gridCol w:w="2833"/>
      </w:tblGrid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49" w:name="_Toc46743511"/>
            <w:r>
              <w:rPr>
                <w:b/>
                <w:sz w:val="24"/>
                <w:szCs w:val="24"/>
              </w:rPr>
              <w:t>4</w:t>
            </w:r>
            <w:bookmarkEnd w:id="49"/>
          </w:p>
        </w:tc>
      </w:tr>
      <w:tr>
        <w:trPr>
          <w:trHeight w:val="660" w:hRule="atLeast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Выключатель </w:t>
            </w:r>
            <w:r>
              <w:rPr>
                <w:rFonts w:eastAsia="Calibri"/>
                <w:i/>
                <w:iCs/>
                <w:sz w:val="22"/>
                <w:szCs w:val="22"/>
                <w:lang w:val="en-US"/>
              </w:rPr>
              <w:t>ВЭБ-110-40/2500 УХЛ1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С даты подписания договора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FF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Не позднее 20.10.2027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Комплект ЗИП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  <w:t>Поставляется совместно с выключателем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/>
                <w:i/>
                <w:color w:val="auto"/>
                <w:kern w:val="0"/>
                <w:sz w:val="24"/>
                <w:szCs w:val="24"/>
                <w:lang w:val="en-US" w:eastAsia="ru-RU" w:bidi="ar-SA"/>
              </w:rPr>
              <w:t>Поставляется совместно с выключателем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50" w:name="__RefHeading___Toc4072_3512887204"/>
      <w:bookmarkStart w:id="51" w:name="_Toc51339698"/>
      <w:bookmarkStart w:id="52" w:name="_Toc75446160"/>
      <w:bookmarkEnd w:id="50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52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14"/>
          <w:b/>
          <w:i w:val="false"/>
          <w:i w:val="false"/>
          <w:sz w:val="24"/>
          <w:szCs w:val="24"/>
        </w:rPr>
      </w:pPr>
      <w:bookmarkStart w:id="53" w:name="__RefHeading___Toc4074_3512887204"/>
      <w:bookmarkStart w:id="54" w:name="_Toc75446161"/>
      <w:bookmarkEnd w:id="5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 Требования к</w:t>
      </w:r>
      <w:r>
        <w:rPr>
          <w:sz w:val="24"/>
          <w:szCs w:val="24"/>
          <w:lang w:val="ru-RU"/>
        </w:rPr>
        <w:t xml:space="preserve"> качеству</w:t>
      </w:r>
      <w:r>
        <w:rPr>
          <w:sz w:val="24"/>
          <w:szCs w:val="24"/>
        </w:rPr>
        <w:t xml:space="preserve"> </w:t>
      </w:r>
      <w:bookmarkEnd w:id="51"/>
      <w:r>
        <w:rPr>
          <w:sz w:val="24"/>
          <w:szCs w:val="24"/>
          <w:lang w:val="ru-RU"/>
        </w:rPr>
        <w:t>продукции</w:t>
      </w:r>
      <w:bookmarkEnd w:id="54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14"/>
          <w:b w:val="false"/>
        </w:rPr>
      </w:pPr>
      <w:r>
        <w:rPr>
          <w:rStyle w:val="Style14"/>
        </w:rPr>
        <w:t xml:space="preserve"> </w:t>
      </w:r>
    </w:p>
    <w:p>
      <w:pPr>
        <w:pStyle w:val="Normal"/>
        <w:jc w:val="both"/>
        <w:rPr>
          <w:rStyle w:val="Style14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№_1 Таблицы 1.1):</w:t>
      </w:r>
      <w:r>
        <w:rPr>
          <w:rFonts w:cs="Calibri"/>
          <w:i/>
          <w:sz w:val="24"/>
          <w:szCs w:val="24"/>
        </w:rPr>
        <w:t xml:space="preserve"> </w:t>
      </w:r>
      <w:r>
        <w:rPr>
          <w:rFonts w:eastAsia="Calibri" w:cs="Calibri"/>
          <w:i/>
          <w:iCs/>
          <w:sz w:val="24"/>
          <w:szCs w:val="24"/>
        </w:rPr>
        <w:t xml:space="preserve">Выключатель </w:t>
      </w:r>
      <w:r>
        <w:rPr>
          <w:rFonts w:eastAsia="Calibri" w:cs="Calibri"/>
          <w:i/>
          <w:iCs/>
          <w:sz w:val="22"/>
          <w:szCs w:val="22"/>
          <w:lang w:val="en-US"/>
        </w:rPr>
        <w:t>ВЭБ-110-40/2500 УХЛ1</w:t>
      </w:r>
      <w:r>
        <w:rPr>
          <w:rFonts w:eastAsia="Calibri"/>
          <w:i/>
          <w:sz w:val="24"/>
          <w:szCs w:val="24"/>
        </w:rPr>
        <w:t xml:space="preserve"> </w:t>
      </w:r>
    </w:p>
    <w:tbl>
      <w:tblPr>
        <w:tblStyle w:val="1c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4"/>
        <w:gridCol w:w="2872"/>
        <w:gridCol w:w="3115"/>
        <w:gridCol w:w="2984"/>
        <w:gridCol w:w="3079"/>
        <w:gridCol w:w="2444"/>
      </w:tblGrid>
      <w:tr>
        <w:trPr/>
        <w:tc>
          <w:tcPr>
            <w:tcW w:w="81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87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311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55" w:name="_Hlk51251235"/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  <w:bookmarkEnd w:id="55"/>
          </w:p>
        </w:tc>
        <w:tc>
          <w:tcPr>
            <w:tcW w:w="606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56" w:name="_Hlk51253264"/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  <w:bookmarkEnd w:id="56"/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3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59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14"/>
                <w:b w:val="false"/>
                <w:bCs/>
                <w:i w:val="false"/>
                <w:i w:val="fals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>
          <w:trHeight w:val="845" w:hRule="atLeast"/>
        </w:trPr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1.1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Тип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i/>
                <w:iCs/>
                <w:color w:val="000000" w:themeColor="text1"/>
                <w:kern w:val="0"/>
                <w:sz w:val="22"/>
                <w:szCs w:val="22"/>
                <w:shd w:fill="FFFFFF" w:val="clear"/>
                <w:lang w:val="en-US" w:bidi="ar-SA"/>
              </w:rPr>
              <w:t>ВЭБ-110-40/2500 УХЛ1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b w:val="false"/>
                <w:bCs/>
                <w:iCs/>
                <w:sz w:val="24"/>
                <w:szCs w:val="24"/>
              </w:rPr>
            </w:pPr>
            <w:r>
              <w:rPr>
                <w:b w:val="false"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1.2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Производитель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Указать производителя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1.3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Номинальное напряжение, кВ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110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1.3.1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bidi="ar-SA"/>
              </w:rPr>
              <w:t>Номинальная частота сети, Гц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50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1.4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Наибольшее рабочее напряжение, кВ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126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1.5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Номинальный ток, А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2500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1.6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Номинальный ток отключения, кА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40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1.7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 w:val="22"/>
                <w:szCs w:val="22"/>
                <w:lang w:val="ru-RU" w:eastAsia="en-US" w:bidi="ar-SA"/>
              </w:rPr>
              <w:t>Ток термичекой устойчивости (3с), А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40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1.8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 w:val="22"/>
                <w:szCs w:val="22"/>
                <w:lang w:val="ru-RU" w:eastAsia="en-US" w:bidi="ar-SA"/>
              </w:rPr>
              <w:t xml:space="preserve">Ток электродинамической устойчивости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(ампл), кА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bidi="ar-SA"/>
              </w:rPr>
              <w:t>102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bidi="ar-SA"/>
              </w:rPr>
              <w:t>1.9.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Тип привода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4"/>
                <w:szCs w:val="24"/>
                <w:lang w:bidi="ar-SA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ППрК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1.10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Собственное время отключения, с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Не более 0,035</w:t>
            </w:r>
            <w:r>
              <w:rPr>
                <w:kern w:val="0"/>
                <w:sz w:val="28"/>
                <w:szCs w:val="28"/>
                <w:vertAlign w:val="subscript"/>
                <w:lang w:val="en-US" w:bidi="ar-SA"/>
              </w:rPr>
              <w:t xml:space="preserve"> </w:t>
            </w:r>
            <w:r>
              <w:rPr>
                <w:kern w:val="0"/>
                <w:sz w:val="28"/>
                <w:szCs w:val="28"/>
                <w:vertAlign w:val="superscript"/>
                <w:lang w:val="en-US" w:bidi="ar-SA"/>
              </w:rPr>
              <w:t>-</w:t>
            </w:r>
            <w:r>
              <w:rPr>
                <w:kern w:val="0"/>
                <w:sz w:val="24"/>
                <w:szCs w:val="24"/>
                <w:vertAlign w:val="superscript"/>
                <w:lang w:val="en-US" w:bidi="ar-SA"/>
              </w:rPr>
              <w:t>0,005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Указать значение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1.11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Собственное время включения, с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Не более 0,07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Указать значение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1.12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Бесконтактная пауза при АПВ, с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Не более 0,3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color w:val="auto"/>
                <w:kern w:val="2"/>
                <w:sz w:val="24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color w:val="auto"/>
                <w:kern w:val="2"/>
                <w:sz w:val="24"/>
                <w:szCs w:val="22"/>
                <w:lang w:val="ru-RU" w:eastAsia="en-US" w:bidi="ar-SA"/>
              </w:rPr>
              <w:t>Указать значение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1.13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Разновременность размыкания и замыкания дугогасительных контактов, с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Не более 0,002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4"/>
                <w:szCs w:val="24"/>
                <w:lang w:val="en-US"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kern w:val="0"/>
                <w:sz w:val="24"/>
                <w:szCs w:val="24"/>
                <w:lang w:val="en-US" w:bidi="ar-SA"/>
              </w:rPr>
              <w:t>Указать значение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1.14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kern w:val="2"/>
                <w:szCs w:val="22"/>
                <w:lang w:val="ru-RU" w:eastAsia="en-US" w:bidi="ar-SA"/>
              </w:rPr>
              <w:t>Время взвода включающих пркжин привода при нормальном натяге и напряжении на электродвигателе, равном 1,0 Uном, с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Не более 15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4"/>
                <w:szCs w:val="24"/>
                <w:lang w:val="en-US"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4"/>
                <w:szCs w:val="24"/>
                <w:lang w:val="en-US"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kern w:val="0"/>
                <w:sz w:val="24"/>
                <w:szCs w:val="24"/>
                <w:lang w:val="en-US" w:bidi="ar-SA"/>
              </w:rPr>
              <w:t>Указать значение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1.15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Электродинамическое сопротивление токопровода дугогасительного устройства, мкОм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Не более 140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1.16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Абсолютное давление элегаза,МПа, при 20С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-давление заполнения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-давление предупредительной сигнализации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-давление блокировки-запрета оперирования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-0,50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-0,44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-0,42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1.17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Электрическое сопротивление обмоток электромагнитов управления, Ом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-отключающих при 220В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-включающих при 220В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значения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1.18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Длина пути утечки внешней изоляции, мм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менее 4684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1.19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Материал высоковольтных вводов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Полимер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1.20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Количество трансформаторов тока на полюс, шт: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-измерительных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-защитных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1.21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Напряжение питания электродвигателя привода, В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380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1.22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Напряжение питания электронагревателей полюсов, В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1.23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Напряжение питания постоянного тока электромагнитов управления, В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1.24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Суммарная номинальная мощность подогревательных устройств, кВт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-выключателя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-привода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2,8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0,85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1.25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Масса, кг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-выключателя с приводом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-элегаза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1900-2000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26,5-27,5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1.26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Габаритные размеры выключателя с приводом, мм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-длина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-ширина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-высота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2200-2300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3600-3700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3100-3200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sz w:val="24"/>
                <w:szCs w:val="24"/>
                <w:lang w:val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1.27.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Рабочая температура окружающей среды, С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От минус 55 до плюс 40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1.28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 xml:space="preserve">Климатическое исполнение по </w:t>
            </w:r>
            <w:r>
              <w:rPr>
                <w:caps w:val="false"/>
                <w:smallCaps w:val="false"/>
                <w:color w:val="333333"/>
                <w:spacing w:val="0"/>
              </w:rPr>
              <w:t> </w:t>
            </w:r>
            <w:r>
              <w:rPr>
                <w:rStyle w:val="Strong"/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ГОСТ 15150-69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УХЛ1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1.29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Установка над уровнем моря, м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Разрешается установка на высоте свыше 1000.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1.30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Требования к трансформаторам тока, предназначенным для измерительния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1.31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Тип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встроенный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1.32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Среда установки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элегаз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1.33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Номинальный ток первичных обмоток,А: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И1-И4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И1-И3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И1-И2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1.34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Номинальный вторичны ток ,А: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И1-И4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И1-И3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И1-И2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1.35.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 xml:space="preserve">Номинальная нагрузка в классах точности, ВА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0,2S/0,5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И1-И4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И1-И3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И1-И2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20/30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10/30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7/20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5/10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1.36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 xml:space="preserve">Номинальная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коэффициент безопасности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И1-И4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И1-И3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И1-И2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&lt;15/&lt;10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&lt;15/&lt;10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&lt;15/&lt;10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&lt;15/&lt;10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1.37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Требования к трансформаторам тока, предназначенным для защит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1.38.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Тип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встроенный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1.39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Среда установки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элегаз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1.40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Номинальный ток первичных обмоток,А: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И1-И4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И1-И3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И1-И2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1.41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Номинальный вторичны ток ,А: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И1-И4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И1-И3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И1-И2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5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1.42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 xml:space="preserve">Номинальная нагрузка в классах точности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5Р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Номинальная нагрузка/Номинальная предельная кратность,ВА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И1-И5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И1-И4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И1-И3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И1-И2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20/</w:t>
            </w:r>
            <w:r>
              <w:rPr>
                <w:rFonts w:eastAsia="Liberation Serif" w:cs="Liberation Serif" w:ascii="Liberation Serif" w:hAnsi="Liberation Serif"/>
                <w:color w:val="auto"/>
                <w:kern w:val="0"/>
                <w:sz w:val="24"/>
                <w:szCs w:val="24"/>
                <w:lang w:val="ru-RU" w:eastAsia="ru-RU" w:bidi="ar-SA"/>
              </w:rPr>
              <w:t>≥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-/-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-/-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-/-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1.43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Требования и ресурсу оборудования: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1.44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Ресурс по механической стойкости до среднего ремонта, циклов «включение-произвольная пауза-отключение»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Не менее 5000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1.45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Ресурс по коммутационной стойкости: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-при токах в диапазоне от 160 до 200% номинального тока отключения;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 при токах в диапазоне от 130 до 160% номинального тока отключения;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-при токах в диапазоне, равных номинальному току отключения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Не менее 20 операций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не менее 50 операций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не менее 5000 операций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1.46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Минимальное оснащение выключатель: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Выключатель должен быть оснащен: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-Счетчиком числа срабатываний выключателя;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Устройством учета коммутационного ресурса;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-индикатором плотности элегаза с температурной компенсацией и блок–контактами для сигнализации о снижении давления и запрещения оперирования выключателем, на каждый полюс выключателя не требующий метрологического обслуживания;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Предохранительным клапаном (мембраной) для каждого полюса выключателя;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Механическим указателем включенного и отключенного положений;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Коммутирующими контактами для внешних вспомогательных цепей в количестве - не менее 12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Переключателем управления – местное/дистанционное;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Кнопками местного управления выключателем;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Съемноым приспособлением для ручного неоперативного включения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Указать оснащение выключателя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1.47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Средний срок службы до среднего ремонта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Не менее 20 лет, если до этого срока не исчерпаны ресурсы по коммутационной или механической стойкости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1.48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lang w:val="ru-RU" w:bidi="ar-SA"/>
              </w:rPr>
            </w:pPr>
            <w:r>
              <w:rPr>
                <w:lang w:val="ru-RU" w:bidi="ar-SA"/>
              </w:rPr>
              <w:t>Срок службы до списания, лет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lang w:val="ru-RU" w:bidi="ar-SA"/>
              </w:rPr>
            </w:pPr>
            <w:r>
              <w:rPr>
                <w:lang w:val="ru-RU" w:bidi="ar-SA"/>
              </w:rPr>
              <w:t>Не менее 40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Указать значение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1.49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Сейсмичность района, баллов по шкале MSK</w:t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bCs/>
                <w:kern w:val="0"/>
                <w:sz w:val="24"/>
                <w:szCs w:val="24"/>
                <w:lang w:val="en-US" w:bidi="ar-SA"/>
              </w:rPr>
              <w:t>Не менее 9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1.50</w:t>
            </w:r>
          </w:p>
        </w:tc>
        <w:tc>
          <w:tcPr>
            <w:tcW w:w="28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val="ru-RU" w:bidi="ar-SA"/>
              </w:rPr>
              <w:t>Новый, ранее не используемый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311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lang w:val="ru-RU" w:bidi="ar-SA"/>
              </w:rPr>
              <w:t>Под новым следует понимать продукцию, которая не была в употреблении, не приходила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2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Согласие с требованием</w:t>
            </w:r>
          </w:p>
        </w:tc>
        <w:tc>
          <w:tcPr>
            <w:tcW w:w="307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9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2.1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Требования к сроку гарантии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Гарантийный срок эксплуатации не менее 60 мес с даты ввода в эксплуатацию. Период хранения – бессрочно.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 w:asciiTheme="majorBidi" w:cstheme="majorBidi" w:hAnsiTheme="majorBidi"/>
                <w:i/>
                <w:i/>
                <w:iCs/>
                <w:sz w:val="24"/>
                <w:szCs w:val="24"/>
                <w:lang w:val="x-none" w:eastAsia="x-none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59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3.1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Место поставки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Продукция должна быть доставлена Поставщиком по адресу:</w:t>
            </w:r>
            <w:r>
              <w:rPr>
                <w:rFonts w:cs="Calibri"/>
                <w:color w:val="000000" w:themeColor="text1"/>
                <w:kern w:val="0"/>
                <w:sz w:val="24"/>
                <w:szCs w:val="24"/>
                <w:lang w:val="ru-RU" w:bidi="ar-SA"/>
              </w:rPr>
              <w:t>Российская Федерация, Республика Северная Осетия –   Алания, г. Владикавказ, ул. Васо Абаева, 63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3.2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Условия транспортирования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/>
            </w:pPr>
            <w:r>
              <w:rPr>
                <w:kern w:val="0"/>
                <w:sz w:val="24"/>
                <w:szCs w:val="24"/>
                <w:lang w:val="ru-RU" w:bidi="ar-SA"/>
              </w:rPr>
              <w:t>Транспортировка ввода должна осуществляться Поставщиком, обеспечивая сохранность от всякою рода механических повреждений и порче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 Транспортировка  должна производиться </w:t>
            </w:r>
            <w:r>
              <w:rPr>
                <w:rStyle w:val="Strong1"/>
                <w:b w:val="false"/>
                <w:bCs w:val="false"/>
                <w:kern w:val="0"/>
                <w:sz w:val="24"/>
                <w:szCs w:val="24"/>
                <w:lang w:val="ru-RU" w:bidi="ar-SA"/>
              </w:rPr>
              <w:t>в заводской упаковке.</w:t>
            </w:r>
            <w:r>
              <w:rPr>
                <w:rStyle w:val="Strong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Style w:val="Strong1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Допускается дополнительная упаковка перевозчика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4.</w:t>
            </w:r>
          </w:p>
        </w:tc>
        <w:tc>
          <w:tcPr>
            <w:tcW w:w="59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kern w:val="0"/>
                <w:sz w:val="24"/>
                <w:szCs w:val="24"/>
                <w:lang w:val="ru-RU" w:bidi="ar-SA"/>
              </w:rPr>
              <w:t>Требования к комплектации и документам, поставляемым вместе с продукцией</w:t>
            </w:r>
            <w:r>
              <w:rPr>
                <w:rStyle w:val="Style14"/>
                <w:kern w:val="0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2984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34"/>
              <w:contextualSpacing/>
              <w:jc w:val="center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 w:cs="" w:asciiTheme="majorBidi" w:cstheme="majorBidi" w:hAnsiTheme="majorBidi"/>
                <w:i/>
                <w:iCs/>
                <w:kern w:val="0"/>
                <w:lang w:val="ru-RU" w:bidi="ar-SA"/>
              </w:rPr>
              <w:t>-//-</w:t>
            </w:r>
          </w:p>
        </w:tc>
        <w:tc>
          <w:tcPr>
            <w:tcW w:w="307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center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 w:cs="" w:asciiTheme="majorBidi" w:cstheme="majorBidi" w:hAnsiTheme="majorBidi"/>
                <w:i/>
                <w:iCs/>
                <w:kern w:val="0"/>
                <w:lang w:val="ru-RU" w:bidi="ar-SA"/>
              </w:rPr>
              <w:t>-//-</w:t>
            </w:r>
          </w:p>
        </w:tc>
        <w:tc>
          <w:tcPr>
            <w:tcW w:w="2444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60"/>
              <w:contextualSpacing/>
              <w:jc w:val="center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 w:cs="" w:asciiTheme="majorBidi" w:cstheme="majorBidi" w:hAnsiTheme="majorBidi"/>
                <w:i/>
                <w:iCs/>
                <w:kern w:val="0"/>
                <w:lang w:val="ru-RU" w:bidi="ar-SA"/>
              </w:rPr>
              <w:t>-//-</w:t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4.1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комплект поставки вводов должны входить: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-выключатель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-инструкция по монтажу и и эксплуатации выключателя;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 паспорт с отметкой о первичной поверке трансформаторов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-свидетельство о регистрации типа средств измерений трансформаторов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 упаковочный лист;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 комплектующие детали и запасные части в для монтажа выключателя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14"/>
          <w:b/>
          <w:i w:val="false"/>
          <w:i w:val="false"/>
          <w:sz w:val="24"/>
          <w:szCs w:val="24"/>
        </w:rPr>
      </w:pPr>
      <w:bookmarkStart w:id="57" w:name="__RefHeading___Toc4076_3512887204"/>
      <w:bookmarkStart w:id="58" w:name="_Toc75446161_Копия_1"/>
      <w:bookmarkEnd w:id="5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>. Требования к</w:t>
      </w:r>
      <w:r>
        <w:rPr>
          <w:sz w:val="24"/>
          <w:szCs w:val="24"/>
          <w:lang w:val="ru-RU"/>
        </w:rPr>
        <w:t xml:space="preserve"> качеству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продукции</w:t>
      </w:r>
      <w:bookmarkEnd w:id="58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14"/>
          <w:b w:val="false"/>
        </w:rPr>
      </w:pPr>
      <w:r>
        <w:rPr>
          <w:rStyle w:val="Style14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</w:rPr>
        <w:t>Наименование продукции (позиция №_2 Таблицы 1.1):</w:t>
      </w:r>
      <w:r>
        <w:rPr>
          <w:rFonts w:eastAsia="Calibri" w:cs="Calibri"/>
          <w:bCs/>
          <w:i/>
          <w:sz w:val="24"/>
          <w:szCs w:val="24"/>
        </w:rPr>
        <w:t xml:space="preserve"> ЗИП</w:t>
      </w:r>
    </w:p>
    <w:tbl>
      <w:tblPr>
        <w:tblStyle w:val="1c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14"/>
        <w:gridCol w:w="2872"/>
        <w:gridCol w:w="3115"/>
        <w:gridCol w:w="2984"/>
        <w:gridCol w:w="3079"/>
        <w:gridCol w:w="2444"/>
      </w:tblGrid>
      <w:tr>
        <w:trPr/>
        <w:tc>
          <w:tcPr>
            <w:tcW w:w="81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87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311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59" w:name="_Hlk51251235_Копия_1"/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  <w:bookmarkEnd w:id="59"/>
          </w:p>
        </w:tc>
        <w:tc>
          <w:tcPr>
            <w:tcW w:w="606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1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60" w:name="_Hlk51253264_Копия_1"/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  <w:bookmarkEnd w:id="60"/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31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3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1.</w:t>
            </w:r>
          </w:p>
        </w:tc>
        <w:tc>
          <w:tcPr>
            <w:tcW w:w="59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Style w:val="Style14"/>
                <w:b w:val="false"/>
                <w:bCs/>
                <w:i w:val="false"/>
                <w:i w:val="false"/>
                <w:shd w:fill="auto" w:val="clear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>
          <w:trHeight w:val="864" w:hRule="atLeast"/>
        </w:trPr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1.1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Минимальный перечень ЗИП: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1.Высоковольтный ввод-1шт.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2.Трансформаторы тока для измерений для 1 полюса- 1компл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3.Трансформатор тока для защит для одного полюса-1компл.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4.Гигрометр газовый -1 шт;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5.Редуктор газовый баллонный-1шт;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6.Фильтр для осушки элегаза-3 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7.Сигнализатор плотности элегаза-1шт;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8.Разрывная мембрана-3шт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9.Балон с элегазом для заправки трех баков выключателя-1шт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10.Шланги, переходника, нипеля, штуцера и заглушки (колпачки) для заправки элегазом-1 компл.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11. Специальные приспособления для монтажа оборудования -1 компл.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12. Принадлежности и запасных частей для ремонта оборудования и эксплуатации оборудования — 1 комплект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13. Аппаратный зажим для провода АС 150/24 - 6шт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bidi="ar-SA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Представить перечень предлагаемого ЗИП.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Style w:val="Style14"/>
                <w:b w:val="false"/>
                <w:bCs/>
                <w:iCs/>
                <w:sz w:val="24"/>
                <w:szCs w:val="24"/>
              </w:rPr>
            </w:pPr>
            <w:r>
              <w:rPr>
                <w:b w:val="false"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2.</w:t>
            </w:r>
          </w:p>
        </w:tc>
        <w:tc>
          <w:tcPr>
            <w:tcW w:w="59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2.1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Требования к сроку гарантии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Гарантийный срок эксплуатации не менее 60 мес с даты ввода в эксплуатацию. Период хранения – бессрочно.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 w:cs="" w:asciiTheme="majorBidi" w:cstheme="majorBidi" w:hAnsiTheme="majorBidi"/>
                <w:i/>
                <w:i/>
                <w:iCs/>
                <w:sz w:val="24"/>
                <w:szCs w:val="24"/>
                <w:lang w:val="x-none" w:eastAsia="x-none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3.</w:t>
            </w:r>
          </w:p>
        </w:tc>
        <w:tc>
          <w:tcPr>
            <w:tcW w:w="59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3.1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Место поставки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Продукция должна быть доставлена Поставщиком по адресу:</w:t>
            </w:r>
            <w:r>
              <w:rPr>
                <w:rFonts w:cs="Calibri"/>
                <w:color w:val="000000" w:themeColor="text1"/>
                <w:kern w:val="0"/>
                <w:sz w:val="24"/>
                <w:szCs w:val="24"/>
                <w:lang w:val="ru-RU" w:bidi="ar-SA"/>
              </w:rPr>
              <w:t>Российская Федерация, Республика Северная Осетия –   Алания, г. Владикавказ, ул. Васо Абаева, 63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3.2</w:t>
            </w:r>
          </w:p>
        </w:tc>
        <w:tc>
          <w:tcPr>
            <w:tcW w:w="28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Условия транспортирования</w:t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/>
            </w:pPr>
            <w:r>
              <w:rPr>
                <w:kern w:val="0"/>
                <w:sz w:val="24"/>
                <w:szCs w:val="24"/>
                <w:lang w:val="ru-RU" w:bidi="ar-SA"/>
              </w:rPr>
              <w:t>Транспортировка ввода должна осуществляться Поставщиком, обеспечивая сохранность от всякою рода механических повреждений и порче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 Транспортировка  должна производиться </w:t>
            </w:r>
            <w:r>
              <w:rPr>
                <w:rStyle w:val="Strong1"/>
                <w:b w:val="false"/>
                <w:bCs w:val="false"/>
                <w:kern w:val="0"/>
                <w:sz w:val="24"/>
                <w:szCs w:val="24"/>
                <w:lang w:val="ru-RU" w:bidi="ar-SA"/>
              </w:rPr>
              <w:t>в заводской упаковке.</w:t>
            </w:r>
            <w:r>
              <w:rPr>
                <w:rStyle w:val="Strong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Style w:val="Strong1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Допускается дополнительная упаковка перевозчика</w:t>
            </w:r>
          </w:p>
        </w:tc>
        <w:tc>
          <w:tcPr>
            <w:tcW w:w="2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307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* Примечание: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 В техническом предложении Участника должны быть указаны наименование и марка предлагаемой продукции с подробным описанием технических параметров по всем позициям (за исключением позиций со способом подтверждения - согласие) Таблиц 3-5. «Требования к продукции» Технических требований на поставку МТР.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61" w:name="__RefHeading___Toc4078_3512887204"/>
      <w:bookmarkStart w:id="62" w:name="_Toc53393312"/>
      <w:bookmarkStart w:id="63" w:name="_Toc75446162"/>
      <w:bookmarkEnd w:id="61"/>
      <w:r>
        <w:rPr>
          <w:lang w:val="ru-RU"/>
        </w:rPr>
        <w:t>Требования к документации по ценообразованию</w:t>
      </w:r>
      <w:bookmarkEnd w:id="62"/>
      <w:bookmarkEnd w:id="63"/>
      <w:r>
        <w:rPr>
          <w:lang w:val="ru-RU"/>
        </w:rPr>
        <w:t xml:space="preserve"> на этапе закупки</w:t>
      </w:r>
    </w:p>
    <w:p>
      <w:pPr>
        <w:pStyle w:val="Normal"/>
        <w:rPr>
          <w:sz w:val="10"/>
          <w:szCs w:val="10"/>
          <w:lang w:eastAsia="x-none"/>
        </w:rPr>
      </w:pPr>
      <w:r>
        <w:rPr>
          <w:sz w:val="10"/>
          <w:szCs w:val="10"/>
          <w:lang w:eastAsia="x-none"/>
        </w:rPr>
      </w:r>
    </w:p>
    <w:p>
      <w:pPr>
        <w:pStyle w:val="Normal"/>
        <w:numPr>
          <w:ilvl w:val="1"/>
          <w:numId w:val="7"/>
        </w:numPr>
        <w:tabs>
          <w:tab w:val="clear" w:pos="708"/>
          <w:tab w:val="left" w:pos="1134" w:leader="none"/>
        </w:tabs>
        <w:suppressAutoHyphens w:val="false"/>
        <w:spacing w:before="0" w:after="120"/>
        <w:ind w:firstLine="720" w:left="0"/>
        <w:jc w:val="both"/>
        <w:rPr>
          <w:bCs/>
          <w:iCs/>
          <w:sz w:val="24"/>
          <w:szCs w:val="24"/>
          <w:lang w:eastAsia="x-none"/>
        </w:rPr>
      </w:pPr>
      <w:bookmarkStart w:id="64" w:name="_GoBack"/>
      <w:bookmarkEnd w:id="64"/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65" w:name="_Hlk88325985"/>
      <w:r>
        <w:rPr>
          <w:bCs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65"/>
      <w:r>
        <w:rPr>
          <w:bCs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Normal"/>
        <w:numPr>
          <w:ilvl w:val="1"/>
          <w:numId w:val="7"/>
        </w:numPr>
        <w:suppressAutoHyphens w:val="false"/>
        <w:spacing w:before="0" w:after="120"/>
        <w:jc w:val="both"/>
        <w:rPr>
          <w:bCs/>
          <w:iCs/>
          <w:sz w:val="24"/>
          <w:szCs w:val="24"/>
          <w:lang w:eastAsia="x-none"/>
        </w:rPr>
      </w:pPr>
      <w:bookmarkStart w:id="66" w:name="_Hlk88327292"/>
      <w:r>
        <w:rPr>
          <w:bCs/>
          <w:iCs/>
          <w:sz w:val="24"/>
          <w:szCs w:val="24"/>
          <w:lang w:eastAsia="x-none"/>
        </w:rPr>
        <w:t>Дополнительные документы по ценообразованию</w:t>
      </w:r>
      <w:bookmarkEnd w:id="66"/>
      <w:r>
        <w:rPr>
          <w:bCs/>
          <w:iCs/>
          <w:sz w:val="24"/>
          <w:szCs w:val="24"/>
          <w:lang w:eastAsia="x-none"/>
        </w:rPr>
        <w:t xml:space="preserve"> в состав заявки не включаются.</w:t>
      </w:r>
    </w:p>
    <w:p>
      <w:pPr>
        <w:pStyle w:val="Normal"/>
        <w:suppressAutoHyphens w:val="false"/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Normal"/>
        <w:suppressAutoHyphens w:val="false"/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Normal"/>
        <w:suppressAutoHyphens w:val="false"/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Normal"/>
        <w:suppressAutoHyphens w:val="false"/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Normal"/>
        <w:suppressAutoHyphens w:val="false"/>
        <w:spacing w:before="0" w:after="120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</w:p>
    <w:p>
      <w:pPr>
        <w:pStyle w:val="26"/>
        <w:numPr>
          <w:ilvl w:val="2"/>
          <w:numId w:val="7"/>
        </w:numPr>
        <w:rPr>
          <w:b w:val="false"/>
          <w:bCs w:val="false"/>
        </w:rPr>
      </w:pPr>
      <w:bookmarkStart w:id="67" w:name="__RefHeading___Toc4080_3512887204"/>
      <w:bookmarkStart w:id="68" w:name="_Toc141972716"/>
      <w:bookmarkStart w:id="69" w:name="_Ref511135236"/>
      <w:bookmarkEnd w:id="67"/>
      <w:r>
        <w:rPr>
          <w:b w:val="false"/>
          <w:bCs w:val="false"/>
          <w:iCs/>
          <w:sz w:val="24"/>
          <w:szCs w:val="24"/>
          <w:lang w:eastAsia="x-none"/>
        </w:rPr>
        <w:t xml:space="preserve">Форма </w:t>
      </w:r>
      <w:bookmarkEnd w:id="69"/>
      <w:r>
        <w:rPr>
          <w:b w:val="false"/>
          <w:bCs w:val="false"/>
          <w:iCs/>
          <w:sz w:val="24"/>
          <w:szCs w:val="24"/>
          <w:lang w:eastAsia="x-none"/>
        </w:rPr>
        <w:t>Коммерческого предложения</w:t>
      </w:r>
      <w:bookmarkEnd w:id="68"/>
    </w:p>
    <w:p>
      <w:pPr>
        <w:pStyle w:val="Normal"/>
        <w:numPr>
          <w:ilvl w:val="0"/>
          <w:numId w:val="0"/>
        </w:numPr>
        <w:ind w:hanging="0" w:left="108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/>
          <w:b/>
          <w:sz w:val="28"/>
          <w:szCs w:val="28"/>
        </w:rPr>
        <w:t>Спецификация поставляемого оборудования</w:t>
      </w:r>
    </w:p>
    <w:tbl>
      <w:tblPr>
        <w:tblW w:w="5000" w:type="pct"/>
        <w:jc w:val="left"/>
        <w:tblInd w:w="-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611"/>
        <w:gridCol w:w="957"/>
        <w:gridCol w:w="968"/>
        <w:gridCol w:w="972"/>
        <w:gridCol w:w="1227"/>
        <w:gridCol w:w="1164"/>
        <w:gridCol w:w="999"/>
        <w:gridCol w:w="1159"/>
        <w:gridCol w:w="1101"/>
        <w:gridCol w:w="830"/>
        <w:gridCol w:w="1024"/>
        <w:gridCol w:w="881"/>
        <w:gridCol w:w="815"/>
        <w:gridCol w:w="1133"/>
        <w:gridCol w:w="709"/>
      </w:tblGrid>
      <w:tr>
        <w:trPr>
          <w:trHeight w:val="3795" w:hRule="atLeast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№ </w:t>
            </w:r>
            <w:r>
              <w:rPr>
                <w:bCs/>
                <w:sz w:val="22"/>
                <w:szCs w:val="22"/>
              </w:rPr>
              <w:t>партии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№ </w:t>
            </w:r>
            <w:r>
              <w:rPr>
                <w:bCs/>
                <w:sz w:val="22"/>
                <w:szCs w:val="22"/>
              </w:rPr>
              <w:t>поз.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Артикул, тип, марка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Завод изготовитель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Страна происхождения Товара</w:t>
            </w:r>
            <w:r>
              <w:rPr>
                <w:rStyle w:val="FootnoteReference"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 регистрации производителя Товара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ОКПД 2 (с наименованием)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Порядковый номер(а) реестровой(ых) записи(ей)</w:t>
            </w:r>
            <w:r>
              <w:rPr>
                <w:rStyle w:val="FootnoteReference"/>
                <w:bCs/>
                <w:sz w:val="22"/>
                <w:szCs w:val="22"/>
              </w:rPr>
              <w:footnoteReference w:id="3"/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Количество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Цена за единицу, руб. без НДС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Цена, руб. без НДС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НДС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(___%) руб.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Стоимость, руб., с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Перечень сопроводительных документов (в том числе подтверждающих качество Товара)</w:t>
            </w:r>
          </w:p>
        </w:tc>
      </w:tr>
      <w:tr>
        <w:trPr>
          <w:trHeight w:val="538" w:hRule="atLeast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</w:tr>
      <w:tr>
        <w:trPr>
          <w:trHeight w:val="538" w:hRule="atLeast"/>
        </w:trPr>
        <w:tc>
          <w:tcPr>
            <w:tcW w:w="7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</w:tr>
      <w:tr>
        <w:trPr>
          <w:trHeight w:val="62" w:hRule="atLeast"/>
        </w:trPr>
        <w:tc>
          <w:tcPr>
            <w:tcW w:w="1343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партии Товара №1, руб. с НДС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</w:tr>
      <w:tr>
        <w:trPr>
          <w:trHeight w:val="538" w:hRule="atLeast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</w:tr>
      <w:tr>
        <w:trPr>
          <w:trHeight w:val="538" w:hRule="atLeast"/>
        </w:trPr>
        <w:tc>
          <w:tcPr>
            <w:tcW w:w="7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</w:tr>
      <w:tr>
        <w:trPr>
          <w:trHeight w:val="62" w:hRule="atLeast"/>
        </w:trPr>
        <w:tc>
          <w:tcPr>
            <w:tcW w:w="1343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партии Товара №2, руб. с НДС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</w:tr>
      <w:tr>
        <w:trPr>
          <w:trHeight w:val="262" w:hRule="atLeast"/>
        </w:trPr>
        <w:tc>
          <w:tcPr>
            <w:tcW w:w="1343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всего Товара (с учетом доставки), руб. с НДС: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/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rFonts w:ascii="Times New Roman" w:hAnsi="Times New Roman"/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         </w:t>
      </w:r>
      <w:r>
        <w:rPr>
          <w:b w:val="false"/>
          <w:bCs w:val="false"/>
          <w:i w:val="false"/>
          <w:iCs w:val="false"/>
          <w:sz w:val="24"/>
          <w:szCs w:val="24"/>
        </w:rPr>
        <w:t>3.2.2. Инструкции по заполнению</w:t>
      </w:r>
    </w:p>
    <w:p>
      <w:pPr>
        <w:pStyle w:val="Style25"/>
        <w:rPr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Участник указывает свое фирменное наименование (в т.ч. организационно-правовую форму) и свой ИНН.</w:t>
      </w:r>
    </w:p>
    <w:p>
      <w:pPr>
        <w:pStyle w:val="Style25"/>
        <w:tabs>
          <w:tab w:val="clear" w:pos="1134"/>
        </w:tabs>
        <w:rPr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 xml:space="preserve">Все расчеты округляются до двух знаков после запятой. </w:t>
      </w:r>
    </w:p>
    <w:p>
      <w:pPr>
        <w:pStyle w:val="Normal"/>
        <w:rPr>
          <w:rFonts w:ascii="Times New Roman" w:hAnsi="Times New Roman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Данная форма должна быть в обязательном порядке представлена в формате, доступном для редактирования (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MicrosoftExcelSheet</w:t>
      </w:r>
      <w:r>
        <w:rPr>
          <w:b w:val="false"/>
          <w:bCs w:val="false"/>
          <w:i w:val="false"/>
          <w:iCs w:val="false"/>
          <w:sz w:val="24"/>
          <w:szCs w:val="24"/>
        </w:rPr>
        <w:t xml:space="preserve"> (*.</w:t>
      </w:r>
      <w:r>
        <w:rPr>
          <w:b w:val="false"/>
          <w:bCs w:val="false"/>
          <w:i w:val="false"/>
          <w:iCs w:val="false"/>
          <w:sz w:val="24"/>
          <w:szCs w:val="24"/>
          <w:lang w:val="en-US"/>
        </w:rPr>
        <w:t>xls</w:t>
      </w:r>
      <w:r>
        <w:rPr>
          <w:b w:val="false"/>
          <w:bCs w:val="false"/>
          <w:i w:val="false"/>
          <w:iCs w:val="false"/>
          <w:sz w:val="24"/>
          <w:szCs w:val="24"/>
        </w:rPr>
        <w:t>)).</w:t>
      </w:r>
    </w:p>
    <w:sectPr>
      <w:headerReference w:type="default" r:id="rId5"/>
      <w:headerReference w:type="first" r:id="rId6"/>
      <w:footnotePr>
        <w:numFmt w:val="decimal"/>
      </w:footnotePr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/>
      </w:pPr>
      <w:r>
        <w:rPr>
          <w:rStyle w:val="Style1"/>
        </w:rPr>
        <w:footnoteRef/>
      </w:r>
      <w:r>
        <w:rPr/>
        <w:t xml:space="preserve"> </w:t>
      </w:r>
      <w:r>
        <w:rPr/>
        <w:t>В соответствии с Общероссийским классификатором стран мира (утв. Постановлением Госстандарта России от 14.12.2001 N 529-ст.).</w:t>
      </w:r>
    </w:p>
  </w:footnote>
  <w:footnote w:id="3">
    <w:p>
      <w:pPr>
        <w:pStyle w:val="FootnoteText"/>
        <w:widowControl w:val="false"/>
        <w:jc w:val="both"/>
        <w:rPr/>
      </w:pPr>
      <w:r>
        <w:rPr>
          <w:rStyle w:val="Style1"/>
        </w:rPr>
        <w:footnoteRef/>
      </w:r>
      <w:r>
        <w:rPr/>
        <w:t xml:space="preserve"> </w:t>
      </w:r>
      <w:r>
        <w:rPr>
          <w:bCs/>
        </w:rPr>
        <w:t>Порядковый номер (номера) реестровой записи (реестровых записей), под которой (которыми) Оборудование включено в реестры, предусмотренные пунктом 3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либо иным нормативно-правовым актом, устанавливающим защитные меры в соответствии с законодательством о Национальном режиме.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sz w:val="24"/>
        <w:b w:val="false"/>
        <w:szCs w:val="24"/>
        <w:bCs w:val="false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>
        <w:rFonts w:cs="Times New Roman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a360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aa3604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aa3604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a3604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aa3604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aa360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aa3604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aa3604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aa3604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aa3604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a3604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aa3604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aa3604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aa3604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aa3604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aa3604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aa3604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aa3604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aa3604"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Текст сноски Знак"/>
    <w:basedOn w:val="DefaultParagraphFont"/>
    <w:qFormat/>
    <w:rsid w:val="00aa360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Символ сноски"/>
    <w:qFormat/>
    <w:rsid w:val="00aa360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" w:customStyle="1">
    <w:name w:val="Верхний колонтитул Знак"/>
    <w:basedOn w:val="DefaultParagraphFont"/>
    <w:qFormat/>
    <w:rsid w:val="00aa360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3" w:customStyle="1">
    <w:name w:val="Основной текст с отступом Знак"/>
    <w:basedOn w:val="DefaultParagraphFont"/>
    <w:qFormat/>
    <w:rsid w:val="00aa360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Нижний колонтитул Знак"/>
    <w:basedOn w:val="DefaultParagraphFont"/>
    <w:qFormat/>
    <w:rsid w:val="00aa360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5" w:customStyle="1">
    <w:name w:val="Основной текст Знак"/>
    <w:basedOn w:val="DefaultParagraphFont"/>
    <w:qFormat/>
    <w:rsid w:val="00aa360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aa360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aa3604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a3604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aa360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aa3604"/>
    <w:rPr/>
  </w:style>
  <w:style w:type="character" w:styleId="Hyperlink">
    <w:name w:val="Hyperlink"/>
    <w:uiPriority w:val="99"/>
    <w:rsid w:val="00aa3604"/>
    <w:rPr>
      <w:color w:val="0000FF"/>
      <w:u w:val="single"/>
    </w:rPr>
  </w:style>
  <w:style w:type="character" w:styleId="Style6" w:customStyle="1">
    <w:name w:val="Текст выноски Знак"/>
    <w:basedOn w:val="DefaultParagraphFont"/>
    <w:link w:val="BalloonText"/>
    <w:semiHidden/>
    <w:qFormat/>
    <w:rsid w:val="00aa3604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uiPriority w:val="99"/>
    <w:semiHidden/>
    <w:qFormat/>
    <w:rsid w:val="00aa3604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semiHidden/>
    <w:qFormat/>
    <w:rsid w:val="00aa360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semiHidden/>
    <w:qFormat/>
    <w:rsid w:val="00aa3604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>
    <w:name w:val="Strong1"/>
    <w:uiPriority w:val="22"/>
    <w:qFormat/>
    <w:rsid w:val="00aa3604"/>
    <w:rPr>
      <w:b/>
      <w:bCs/>
    </w:rPr>
  </w:style>
  <w:style w:type="character" w:styleId="Style9" w:customStyle="1">
    <w:name w:val="Название Знак"/>
    <w:link w:val="15"/>
    <w:uiPriority w:val="10"/>
    <w:qFormat/>
    <w:rsid w:val="00aa3604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0" w:customStyle="1">
    <w:name w:val="Подзаголовок Знак"/>
    <w:basedOn w:val="DefaultParagraphFont"/>
    <w:uiPriority w:val="11"/>
    <w:qFormat/>
    <w:rsid w:val="00aa3604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aa3604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aa3604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aa3604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aa3604"/>
    <w:rPr>
      <w:i/>
      <w:iCs/>
      <w:color w:val="808080"/>
    </w:rPr>
  </w:style>
  <w:style w:type="character" w:styleId="IntenseEmphasis">
    <w:name w:val="Intense Emphasis"/>
    <w:uiPriority w:val="21"/>
    <w:qFormat/>
    <w:rsid w:val="00aa3604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aa3604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aa3604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aa3604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aa3604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locked/>
    <w:rsid w:val="00aa3604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aa3604"/>
    <w:rPr/>
  </w:style>
  <w:style w:type="character" w:styleId="Style13" w:customStyle="1">
    <w:name w:val="Абзац списка Знак"/>
    <w:link w:val="ListParagraph"/>
    <w:uiPriority w:val="34"/>
    <w:qFormat/>
    <w:locked/>
    <w:rsid w:val="00aa3604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4" w:customStyle="1">
    <w:name w:val="комментарий"/>
    <w:qFormat/>
    <w:rsid w:val="00aa3604"/>
    <w:rPr>
      <w:b/>
      <w:i/>
      <w:shd w:fill="FFFF99" w:val="clear"/>
    </w:rPr>
  </w:style>
  <w:style w:type="character" w:styleId="Style15" w:customStyle="1">
    <w:name w:val="Подподпункт Знак"/>
    <w:link w:val="Style33"/>
    <w:qFormat/>
    <w:locked/>
    <w:rsid w:val="00aa3604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aa3604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aa360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sid w:val="00aa360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4" w:customStyle="1">
    <w:name w:val="Пункт2 Знак"/>
    <w:link w:val="26"/>
    <w:qFormat/>
    <w:rsid w:val="00aa360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sid w:val="00aa3604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aa3604"/>
    <w:rPr>
      <w:color w:val="605E5C"/>
      <w:shd w:fill="E1DFDD" w:val="clear"/>
    </w:rPr>
  </w:style>
  <w:style w:type="character" w:styleId="Style18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aa3604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aa3604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aa3604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aa3604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"/>
    <w:rsid w:val="00aa3604"/>
    <w:pPr/>
    <w:rPr>
      <w:sz w:val="20"/>
      <w:szCs w:val="20"/>
    </w:rPr>
  </w:style>
  <w:style w:type="paragraph" w:styleId="14" w:customStyle="1">
    <w:name w:val="Шапка 1"/>
    <w:basedOn w:val="Normal"/>
    <w:qFormat/>
    <w:rsid w:val="00aa3604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aa3604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aa3604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9"/>
    <w:uiPriority w:val="10"/>
    <w:qFormat/>
    <w:rsid w:val="00aa360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rsid w:val="00aa3604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3"/>
    <w:rsid w:val="00aa3604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4"/>
    <w:rsid w:val="00aa360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1"/>
    <w:qFormat/>
    <w:rsid w:val="00aa3604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link w:val="31"/>
    <w:qFormat/>
    <w:rsid w:val="00aa3604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aa3604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link w:val="22"/>
    <w:qFormat/>
    <w:rsid w:val="00aa3604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aa3604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aa3604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aa3604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aa3604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aa3604"/>
    <w:pPr>
      <w:ind w:hanging="0" w:left="28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aa3604"/>
    <w:pPr/>
    <w:rPr/>
  </w:style>
  <w:style w:type="paragraph" w:styleId="Style27" w:customStyle="1">
    <w:name w:val="Приложение к регламенту"/>
    <w:basedOn w:val="Normal"/>
    <w:qFormat/>
    <w:rsid w:val="00aa3604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aa3604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6"/>
    <w:semiHidden/>
    <w:qFormat/>
    <w:rsid w:val="00aa3604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7"/>
    <w:semiHidden/>
    <w:qFormat/>
    <w:rsid w:val="00aa3604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semiHidden/>
    <w:qFormat/>
    <w:rsid w:val="00aa3604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aa3604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aa3604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aa3604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aa3604"/>
    <w:pPr>
      <w:ind w:hanging="0" w:left="56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aa3604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aa3604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aa3604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aa3604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10"/>
    <w:uiPriority w:val="11"/>
    <w:qFormat/>
    <w:rsid w:val="00aa3604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3"/>
    <w:uiPriority w:val="34"/>
    <w:qFormat/>
    <w:rsid w:val="00aa3604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3"/>
    <w:uiPriority w:val="29"/>
    <w:qFormat/>
    <w:rsid w:val="00aa3604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aa3604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aa3604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aa3604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aa3604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aa3604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aa3604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aa3604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aa360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aa3604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aa3604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aa3604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aa3604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aa3604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aa3604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3" w:customStyle="1">
    <w:name w:val="Подподпункт"/>
    <w:basedOn w:val="Style25"/>
    <w:link w:val="Style15"/>
    <w:qFormat/>
    <w:rsid w:val="00aa3604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aa3604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aa3604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aa3604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aa3604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aa3604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aa3604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aa360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aa3604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aa3604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aa3604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aa3604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aa3604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aa3604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aa3604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headertext"/>
    <w:basedOn w:val="Normal"/>
    <w:qFormat/>
    <w:rsid w:val="00aa3604"/>
    <w:pPr>
      <w:spacing w:beforeAutospacing="1" w:afterAutospacing="1"/>
    </w:pPr>
    <w:rPr>
      <w:sz w:val="24"/>
      <w:szCs w:val="24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9" w:customStyle="1">
    <w:name w:val="Заголовок таблицы"/>
    <w:basedOn w:val="Style3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aa3604"/>
  </w:style>
  <w:style w:type="numbering" w:styleId="211" w:customStyle="1">
    <w:name w:val="Стиль2"/>
    <w:uiPriority w:val="99"/>
    <w:qFormat/>
    <w:rsid w:val="00aa3604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aa360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aa3604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Application>AlterOffice/2026.2.0.0$Linux_X86_64 LibreOffice_project/bc4ef1adf80b36c7a6365f8ed6cbf29021361edd</Application>
  <AppVersion>15.0000</AppVersion>
  <Pages>17</Pages>
  <Words>1859</Words>
  <Characters>12303</Characters>
  <CharactersWithSpaces>13702</CharactersWithSpaces>
  <Paragraphs>519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2025-02-21T11:11:00Z</dcterms:created>
  <dc:creator>Закаев Олег Олегович</dc:creator>
  <dc:description/>
  <dc:language>ru-RU</dc:language>
  <cp:lastModifiedBy>kozlihinvv@corp.gidroogk.com</cp:lastModifiedBy>
  <dcterms:modified xsi:type="dcterms:W3CDTF">2026-09-25T15:33:12Z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