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/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ОКПД2 71.12.35.120 </w:t>
      </w:r>
      <w:bookmarkStart w:id="6" w:name="__DdeLink__2818_476840190"/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Выполнение инженерных изысканий на объектах </w:t>
      </w:r>
    </w:p>
    <w:p>
      <w:pPr>
        <w:pStyle w:val="Normal"/>
        <w:jc w:val="center"/>
        <w:rPr/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филиала АО «ДРСК» "Амурские ЭС", </w:t>
      </w:r>
    </w:p>
    <w:p>
      <w:pPr>
        <w:pStyle w:val="Normal"/>
        <w:jc w:val="center"/>
        <w:rPr/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лот №4165.1</w:t>
      </w:r>
    </w:p>
    <w:p>
      <w:pPr>
        <w:pStyle w:val="Normal"/>
        <w:jc w:val="center"/>
        <w:rPr/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       </w:t>
      </w:r>
      <w:bookmarkEnd w:id="6"/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  </w:t>
      </w:r>
    </w:p>
    <w:p>
      <w:pPr>
        <w:pStyle w:val="Normal"/>
        <w:jc w:val="center"/>
        <w:rPr>
          <w:rFonts w:ascii="Liberation Serif" w:hAnsi="Liberation Serif" w:eastAsia="Calibri"/>
          <w:b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eastAsia="Calibri" w:ascii="Liberation Serif" w:hAnsi="Liberation Serif"/>
          <w:b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Liberation Serif" w:hAnsi="Liberation Serif" w:eastAsia="Calibri"/>
          <w:b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jc w:val="center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СОДЕРЖАНИЕ</w:t>
      </w:r>
    </w:p>
    <w:tbl>
      <w:tblPr>
        <w:tblW w:w="9911" w:type="dxa"/>
        <w:jc w:val="left"/>
        <w:tblInd w:w="-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3" w:type="dxa"/>
          <w:bottom w:w="0" w:type="dxa"/>
          <w:right w:w="108" w:type="dxa"/>
        </w:tblCellMar>
      </w:tblPr>
      <w:tblGrid>
        <w:gridCol w:w="681"/>
        <w:gridCol w:w="8101"/>
        <w:gridCol w:w="1129"/>
      </w:tblGrid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Общие сведения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</w:rPr>
              <w:t>.1.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Обозначения и сокращения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1.2.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закупаемых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1.3.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Цель выполнения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1.4.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/>
              <w:t>Существующие положения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работам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2.1.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объемам и срокам выполнения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2.1.1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перечню и объему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Таблица 1. Перечень и объем выполняемых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2.1.2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срокам работ выполнения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Таблица 2. Требования к срокам выполнения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2.2.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качеству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Таблица 3. Требования к качеству работ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документации по ценообразованию на этапе закупки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8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Приложения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7</w:t>
            </w:r>
          </w:p>
        </w:tc>
      </w:tr>
    </w:tbl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4"/>
        <w:numPr>
          <w:ilvl w:val="0"/>
          <w:numId w:val="0"/>
        </w:numPr>
        <w:ind w:left="432" w:hanging="0"/>
        <w:rPr>
          <w:rFonts w:ascii="Liberation Serif" w:hAnsi="Liberation Serif"/>
        </w:rPr>
      </w:pPr>
      <w:r>
        <w:rPr>
          <w:rFonts w:ascii="Liberation Serif" w:hAnsi="Liberation Serif"/>
        </w:rPr>
        <w:t>1. Общие сведения</w:t>
      </w:r>
    </w:p>
    <w:p>
      <w:pPr>
        <w:pStyle w:val="ListParagraph"/>
        <w:numPr>
          <w:ilvl w:val="1"/>
          <w:numId w:val="4"/>
        </w:numPr>
        <w:rPr>
          <w:b/>
          <w:b/>
        </w:rPr>
      </w:pPr>
      <w:r>
        <w:rPr>
          <w:b/>
        </w:rPr>
        <w:t xml:space="preserve"> </w:t>
      </w:r>
      <w:r>
        <w:rPr>
          <w:b/>
        </w:rPr>
        <w:t>Обозначения и сокращения:</w:t>
      </w:r>
    </w:p>
    <w:p>
      <w:pPr>
        <w:pStyle w:val="ListParagraph"/>
        <w:numPr>
          <w:ilvl w:val="0"/>
          <w:numId w:val="0"/>
        </w:numPr>
        <w:ind w:left="1335" w:right="0" w:hanging="0"/>
        <w:rPr>
          <w:b/>
          <w:b/>
        </w:rPr>
      </w:pPr>
      <w:r>
        <w:rPr>
          <w:b/>
        </w:rPr>
      </w:r>
    </w:p>
    <w:tbl>
      <w:tblPr>
        <w:tblW w:w="9783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ВЛ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Воздушная линия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Ед.изм.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единица измерения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pacing w:val="2"/>
                <w:sz w:val="22"/>
                <w:szCs w:val="22"/>
              </w:rPr>
            </w:pPr>
            <w:r>
              <w:rPr>
                <w:color w:val="2D2D2D"/>
                <w:spacing w:val="2"/>
                <w:sz w:val="22"/>
                <w:szCs w:val="22"/>
              </w:rPr>
              <w:t>ЗУ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pacing w:val="2"/>
                <w:sz w:val="22"/>
                <w:szCs w:val="22"/>
              </w:rPr>
            </w:pPr>
            <w:r>
              <w:rPr>
                <w:color w:val="2D2D2D"/>
                <w:spacing w:val="2"/>
                <w:sz w:val="22"/>
                <w:szCs w:val="22"/>
              </w:rPr>
              <w:t>земельный участок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ИРД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исходно-разрешительная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кВ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единица измерения напряжения киловольт</w:t>
            </w:r>
          </w:p>
        </w:tc>
      </w:tr>
      <w:tr>
        <w:trPr>
          <w:trHeight w:val="345" w:hRule="atLeast"/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кВт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единица измерения мощности киловатт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КЛ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кабельная линия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Кол-во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количество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pacing w:val="2"/>
                <w:sz w:val="22"/>
                <w:szCs w:val="22"/>
              </w:rPr>
            </w:pPr>
            <w:r>
              <w:rPr>
                <w:color w:val="2D2D2D"/>
                <w:spacing w:val="2"/>
                <w:sz w:val="22"/>
                <w:szCs w:val="22"/>
              </w:rPr>
              <w:t>ЛСР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pacing w:val="2"/>
                <w:sz w:val="22"/>
                <w:szCs w:val="22"/>
              </w:rPr>
            </w:pPr>
            <w:r>
              <w:rPr>
                <w:color w:val="2D2D2D"/>
                <w:spacing w:val="2"/>
                <w:sz w:val="22"/>
                <w:szCs w:val="22"/>
              </w:rPr>
              <w:t>локальный сметный расчет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ЛЭП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линия электропередач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Проектная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ПОТЭЭУ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Правила по охране турда при эксплуатации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подстанция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ПСД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Проектно-сметная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Правила устройства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Российская Федерация;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СП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Свод правил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СПиП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Строительные нормы и правила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СРО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саморегулируемая организация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ТП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Трансформаторная подстанция / трансформаторный пункт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шт.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z w:val="22"/>
                <w:szCs w:val="22"/>
                <w:lang w:val="sah-RU"/>
              </w:rPr>
            </w:pPr>
            <w:r>
              <w:rPr>
                <w:color w:val="2D2D2D"/>
                <w:sz w:val="22"/>
                <w:szCs w:val="22"/>
                <w:lang w:val="sah-RU"/>
              </w:rPr>
              <w:t>единица измерения в штуках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pacing w:val="2"/>
                <w:sz w:val="22"/>
                <w:szCs w:val="22"/>
              </w:rPr>
            </w:pPr>
            <w:r>
              <w:rPr>
                <w:color w:val="2D2D2D"/>
                <w:spacing w:val="2"/>
                <w:sz w:val="22"/>
                <w:szCs w:val="22"/>
              </w:rPr>
              <w:t>ЭПУ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color w:val="2D2D2D"/>
                <w:spacing w:val="2"/>
                <w:sz w:val="22"/>
                <w:szCs w:val="22"/>
              </w:rPr>
            </w:pPr>
            <w:bookmarkStart w:id="7" w:name="_Toc467435061"/>
            <w:bookmarkStart w:id="8" w:name="_Toc54646397"/>
            <w:bookmarkEnd w:id="7"/>
            <w:bookmarkEnd w:id="8"/>
            <w:r>
              <w:rPr>
                <w:color w:val="2D2D2D"/>
                <w:spacing w:val="2"/>
                <w:sz w:val="22"/>
                <w:szCs w:val="22"/>
              </w:rPr>
              <w:t>Энерго-принимающее устройство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КВЛ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Кабельно-воздушная линия</w:t>
            </w:r>
          </w:p>
        </w:tc>
      </w:tr>
    </w:tbl>
    <w:p>
      <w:pPr>
        <w:pStyle w:val="4"/>
        <w:numPr>
          <w:ilvl w:val="0"/>
          <w:numId w:val="0"/>
        </w:numPr>
        <w:ind w:left="432" w:hanging="0"/>
        <w:rPr>
          <w:rFonts w:ascii="Liberation Serif" w:hAnsi="Liberation Serif"/>
          <w:b/>
          <w:b/>
        </w:rPr>
      </w:pPr>
      <w:r>
        <w:rPr>
          <w:rFonts w:ascii="Liberation Serif" w:hAnsi="Liberation Serif"/>
          <w:b/>
        </w:rPr>
      </w:r>
    </w:p>
    <w:p>
      <w:pPr>
        <w:pStyle w:val="4"/>
        <w:numPr>
          <w:ilvl w:val="1"/>
          <w:numId w:val="4"/>
        </w:numPr>
        <w:rPr/>
      </w:pPr>
      <w:bookmarkStart w:id="9" w:name="_Toc54643696"/>
      <w:bookmarkStart w:id="10" w:name="_Toc46743506"/>
      <w:r>
        <w:rPr>
          <w:rFonts w:ascii="Liberation Serif" w:hAnsi="Liberation Serif"/>
        </w:rPr>
        <w:t xml:space="preserve">Наименование закупаемой </w:t>
      </w:r>
      <w:bookmarkEnd w:id="9"/>
      <w:bookmarkEnd w:id="10"/>
      <w:r>
        <w:rPr>
          <w:rFonts w:ascii="Liberation Serif" w:hAnsi="Liberation Serif"/>
          <w:lang w:val="ru-RU"/>
        </w:rPr>
        <w:t>работ</w:t>
      </w:r>
    </w:p>
    <w:p>
      <w:pPr>
        <w:pStyle w:val="Normal"/>
        <w:widowControl w:val="false"/>
        <w:tabs>
          <w:tab w:val="left" w:pos="426" w:leader="none"/>
        </w:tabs>
        <w:ind w:left="0" w:right="0"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ОКПД2 71.12.35.120 Выполнение инженерных изысканий на объектах филиала АО «ДРСК» «Амурские </w:t>
      </w:r>
      <w:bookmarkStart w:id="11" w:name="_Toc46743507"/>
      <w:r>
        <w:rPr>
          <w:rFonts w:eastAsia="Calibri" w:ascii="Liberation Serif" w:hAnsi="Liberation Serif"/>
          <w:sz w:val="24"/>
          <w:szCs w:val="24"/>
          <w:lang w:eastAsia="x-none"/>
        </w:rPr>
        <w:t>ЭС».</w:t>
      </w:r>
    </w:p>
    <w:p>
      <w:pPr>
        <w:pStyle w:val="4"/>
        <w:numPr>
          <w:ilvl w:val="1"/>
          <w:numId w:val="4"/>
        </w:numPr>
        <w:spacing w:before="240" w:after="60"/>
        <w:ind w:left="431" w:right="0" w:hanging="431"/>
        <w:rPr/>
      </w:pPr>
      <w:bookmarkStart w:id="12" w:name="_Toc54643697"/>
      <w:r>
        <w:rPr>
          <w:rFonts w:ascii="Liberation Serif" w:hAnsi="Liberation Serif"/>
        </w:rPr>
        <w:t xml:space="preserve">Цель </w:t>
      </w:r>
      <w:bookmarkEnd w:id="11"/>
      <w:r>
        <w:rPr>
          <w:rFonts w:ascii="Liberation Serif" w:hAnsi="Liberation Serif"/>
          <w:lang w:val="ru-RU"/>
        </w:rPr>
        <w:t>выполнения работ</w:t>
      </w:r>
      <w:bookmarkEnd w:id="12"/>
      <w:r>
        <w:rPr>
          <w:rFonts w:ascii="Liberation Serif" w:hAnsi="Liberation Serif"/>
        </w:rPr>
        <w:t xml:space="preserve"> 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Выполнение инженерных изысканий на объектах,  расположенных на территории обслуживания   филиала "Амурские электрические сети" (Таблица 1).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Выполнение топографического плана трассы ЛЭП в масштабе 1:500 в том числе в цифровой форме, с указанием координат проектируемых опор, углов КЛ, мест установки ТП, существующих коммуникаций и инженерных сооружений (в том числе подземных), ширина съемки – 50 м. 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Подготовка поперечного профиля по оси трассы КЛ с нанесением всех существующих водоотводных сооружений (кюветов, нагорных и водоотводных канав, дренажных сооружений и др.), а также конструкции пересечения в неискаженном масштабе  (горизонтальный – 1:100, вертикальный – 1:100).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>
          <w:rFonts w:ascii="Liberation Serif" w:hAnsi="Liberation Serif"/>
          <w:b/>
          <w:b/>
          <w:sz w:val="24"/>
          <w:szCs w:val="24"/>
          <w:lang w:eastAsia="x-none"/>
        </w:rPr>
      </w:pPr>
      <w:r>
        <w:rPr>
          <w:rFonts w:ascii="Liberation Serif" w:hAnsi="Liberation Serif"/>
          <w:b/>
          <w:sz w:val="24"/>
          <w:szCs w:val="24"/>
          <w:lang w:eastAsia="x-none"/>
        </w:rPr>
      </w:r>
    </w:p>
    <w:p>
      <w:pPr>
        <w:pStyle w:val="Normal"/>
        <w:rPr/>
      </w:pPr>
      <w:r>
        <w:rPr>
          <w:rFonts w:ascii="Liberation Serif" w:hAnsi="Liberation Serif"/>
          <w:b/>
          <w:sz w:val="24"/>
          <w:szCs w:val="24"/>
          <w:lang w:eastAsia="x-none"/>
        </w:rPr>
        <w:t>1.4. Существующие положениям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1.4.1. Вид деятельности в отношении которой выполняются работы — геодезические изыскания в рамках осуществления технологического присоединения заявителей к электрическим сетям и выполнения мероприятий утвержденной инвестиционной программы Общества.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1.4.2. Выполнение работ обеспечивается в соответствии действующими нормативными документами.</w:t>
      </w:r>
    </w:p>
    <w:p>
      <w:pPr>
        <w:pStyle w:val="1"/>
        <w:widowControl w:val="false"/>
        <w:numPr>
          <w:ilvl w:val="0"/>
          <w:numId w:val="0"/>
        </w:numPr>
        <w:tabs>
          <w:tab w:val="left" w:pos="426" w:leader="none"/>
        </w:tabs>
        <w:bidi w:val="0"/>
        <w:spacing w:before="0" w:after="0"/>
        <w:ind w:left="615" w:right="0" w:hanging="0"/>
        <w:jc w:val="right"/>
        <w:rPr/>
      </w:pPr>
      <w:bookmarkStart w:id="13" w:name="_Toc54646400"/>
      <w:r>
        <w:rPr>
          <w:rFonts w:eastAsia="Calibri" w:ascii="Liberation Serif" w:hAnsi="Liberation Serif"/>
          <w:b w:val="false"/>
          <w:bCs w:val="false"/>
          <w:sz w:val="24"/>
          <w:szCs w:val="24"/>
          <w:lang w:eastAsia="x-none"/>
        </w:rPr>
        <w:t>Таблица 1.</w:t>
      </w:r>
      <w:r>
        <w:rPr>
          <w:rFonts w:eastAsia="Calibri" w:ascii="Liberation Serif" w:hAnsi="Liberation Serif"/>
          <w:sz w:val="24"/>
          <w:szCs w:val="24"/>
          <w:lang w:eastAsia="x-none"/>
        </w:rPr>
        <w:t xml:space="preserve"> </w:t>
      </w:r>
      <w:bookmarkEnd w:id="13"/>
      <w:r>
        <w:rPr>
          <w:rFonts w:eastAsia="Calibri" w:ascii="Liberation Serif" w:hAnsi="Liberation Serif"/>
          <w:b/>
          <w:sz w:val="24"/>
          <w:szCs w:val="24"/>
          <w:lang w:eastAsia="x-none"/>
        </w:rPr>
        <w:t>Перечень объектов заказчика</w:t>
      </w:r>
    </w:p>
    <w:tbl>
      <w:tblPr>
        <w:tblW w:w="9921" w:type="dxa"/>
        <w:jc w:val="left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524"/>
        <w:gridCol w:w="4434"/>
        <w:gridCol w:w="3454"/>
        <w:gridCol w:w="1508"/>
      </w:tblGrid>
      <w:tr>
        <w:trPr/>
        <w:tc>
          <w:tcPr>
            <w:tcW w:w="5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4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4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4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76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Месторасположение</w:t>
            </w:r>
          </w:p>
        </w:tc>
        <w:tc>
          <w:tcPr>
            <w:tcW w:w="15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76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5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4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4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Liberation Serif" w:hAnsi="Liberation Serif"/>
                <w:b w:val="false"/>
                <w:b w:val="false"/>
                <w:bCs w:val="false"/>
                <w:iCs/>
                <w:spacing w:val="-4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Cs/>
                <w:spacing w:val="-4"/>
                <w:sz w:val="24"/>
                <w:szCs w:val="24"/>
              </w:rPr>
              <w:t>Строительство двухцепной КВЛ-10 кВ, жилая застройка г.Свободного (ЖК-3). Строительство двух двухкомплектных трансформаторных подстанций  ТП 10/0,4 кВ, жилая застройка  (ЖК-3)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widowControl w:val="false"/>
              <w:tabs>
                <w:tab w:val="left" w:pos="709" w:leader="none"/>
              </w:tabs>
              <w:bidi w:val="0"/>
              <w:spacing w:lineRule="auto" w:line="240" w:before="0" w:after="0"/>
              <w:ind w:left="0" w:right="0" w:firstLine="340"/>
              <w:contextualSpacing/>
              <w:jc w:val="both"/>
              <w:rPr>
                <w:rFonts w:ascii="Liberation Serif" w:hAnsi="Liberation Serif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Амурская область, г.Свободный, ПС 110 кВ НЦП - ул. М.Чеснаковская- ул.1905г - ул.Пионерская - ул.Мухина — ул. М-Чесноковская — ул. Шевченко.</w:t>
            </w:r>
          </w:p>
        </w:tc>
        <w:tc>
          <w:tcPr>
            <w:tcW w:w="150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40"/>
              <w:jc w:val="both"/>
              <w:rPr>
                <w:rFonts w:ascii="Liberation Serif" w:hAnsi="Liberation Serif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Сведения об объектах представлена в Приложении 1 к Техническим требованиям</w:t>
            </w:r>
          </w:p>
        </w:tc>
      </w:tr>
      <w:tr>
        <w:trPr/>
        <w:tc>
          <w:tcPr>
            <w:tcW w:w="5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Style48"/>
              <w:spacing w:lineRule="auto" w:line="24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4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Liberation Serif" w:hAnsi="Liberation Serif"/>
                <w:b w:val="false"/>
                <w:b w:val="false"/>
                <w:bCs w:val="false"/>
                <w:iCs/>
                <w:spacing w:val="-4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Cs/>
                <w:spacing w:val="-4"/>
                <w:sz w:val="24"/>
                <w:szCs w:val="24"/>
              </w:rPr>
              <w:t>Строительство ЛЭП-10 кВ (основное и резервное питание) от РУ-10 кВ ПС 110/35/10 кВ НЦП до проектируемой ТП 10/0,4 кВ. Строительство двухтрансформаторной  ПС мощностью 400 кВА, для подключения  автоматизированной газовой котельной в 371 квартале г. Свободного Амурской области.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widowControl w:val="false"/>
              <w:tabs>
                <w:tab w:val="left" w:pos="709" w:leader="none"/>
              </w:tabs>
              <w:bidi w:val="0"/>
              <w:spacing w:lineRule="auto" w:line="240" w:before="0" w:after="0"/>
              <w:ind w:left="0" w:right="0" w:firstLine="340"/>
              <w:contextualSpacing/>
              <w:jc w:val="both"/>
              <w:rPr>
                <w:rFonts w:ascii="Liberation Serif" w:hAnsi="Liberation Serif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Амурская область, г. Свободный, ул.Литвиновская в квартале между ул. 40-лет Октября и пер. Парковый.</w:t>
            </w:r>
          </w:p>
        </w:tc>
        <w:tc>
          <w:tcPr>
            <w:tcW w:w="1508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1.4.3. Заказчик для исполнения договора передаёт подрядчику следующие исходные документы: 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1.4.3.1. Акт обследования трассы строительства, выполненный в рамках осуществления договора технологического присоединения;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1.4.3.2. Технические условия для присоединения к электрическим сетям;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1.4.3.3. Заявку на технологическое присоединение к электрическим сетям;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1.4.3.4. Выписки (информацию) из утвержденной инвестиционный программы Общества; 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1.4.3.5. Правоустанавливающие документы на существующий электросетевой объект;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680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1.4.4. Информацию об контактных данных ответственных исполнителях со стороны Заказчика.</w:t>
      </w:r>
    </w:p>
    <w:p>
      <w:pPr>
        <w:pStyle w:val="Normal"/>
        <w:widowControl w:val="false"/>
        <w:tabs>
          <w:tab w:val="left" w:pos="426" w:leader="none"/>
        </w:tabs>
        <w:bidi w:val="0"/>
        <w:spacing w:before="0" w:after="0"/>
        <w:ind w:left="0" w:right="0" w:firstLine="737"/>
        <w:jc w:val="both"/>
        <w:rPr>
          <w:rFonts w:ascii="Liberation Serif" w:hAnsi="Liberation Serif" w:eastAsia="Calibri"/>
          <w:b/>
          <w:b/>
          <w:sz w:val="24"/>
          <w:szCs w:val="24"/>
          <w:highlight w:val="yellow"/>
          <w:lang w:eastAsia="x-none"/>
        </w:rPr>
      </w:pPr>
      <w:r>
        <w:rPr>
          <w:rFonts w:eastAsia="Calibri" w:ascii="Liberation Serif" w:hAnsi="Liberation Serif"/>
          <w:b/>
          <w:sz w:val="24"/>
          <w:szCs w:val="24"/>
          <w:highlight w:val="yellow"/>
          <w:lang w:eastAsia="x-none"/>
        </w:rPr>
      </w:r>
    </w:p>
    <w:p>
      <w:pPr>
        <w:pStyle w:val="1"/>
        <w:keepNext w:val="true"/>
        <w:keepLines/>
        <w:widowControl/>
        <w:numPr>
          <w:ilvl w:val="0"/>
          <w:numId w:val="4"/>
        </w:numPr>
        <w:suppressAutoHyphens w:val="true"/>
        <w:bidi w:val="0"/>
        <w:spacing w:before="120" w:after="60"/>
        <w:ind w:left="340" w:right="0" w:firstLine="57"/>
        <w:jc w:val="left"/>
        <w:rPr/>
      </w:pPr>
      <w:bookmarkStart w:id="14" w:name="_Toc51339693"/>
      <w:bookmarkStart w:id="15" w:name="_Toc54643702"/>
      <w:bookmarkStart w:id="16" w:name="_Toc50125126"/>
      <w:bookmarkStart w:id="17" w:name="_Hlk482097611"/>
      <w:bookmarkEnd w:id="16"/>
      <w:bookmarkEnd w:id="17"/>
      <w:r>
        <w:rPr>
          <w:rFonts w:ascii="Liberation Serif" w:hAnsi="Liberation Serif"/>
          <w:iCs/>
          <w:lang w:val="ru-RU"/>
        </w:rPr>
        <w:t>Требования</w:t>
      </w:r>
      <w:r>
        <w:rPr>
          <w:rFonts w:ascii="Liberation Serif" w:hAnsi="Liberation Serif"/>
          <w:iCs/>
        </w:rPr>
        <w:t xml:space="preserve"> к </w:t>
      </w:r>
      <w:bookmarkEnd w:id="14"/>
      <w:bookmarkEnd w:id="15"/>
      <w:r>
        <w:rPr>
          <w:rFonts w:ascii="Liberation Serif" w:hAnsi="Liberation Serif"/>
          <w:iCs/>
          <w:lang w:val="ru-RU"/>
        </w:rPr>
        <w:t>работам</w:t>
      </w:r>
    </w:p>
    <w:p>
      <w:pPr>
        <w:pStyle w:val="4"/>
        <w:numPr>
          <w:ilvl w:val="1"/>
          <w:numId w:val="4"/>
        </w:numPr>
        <w:rPr/>
      </w:pPr>
      <w:bookmarkStart w:id="18" w:name="_Toc54643703"/>
      <w:r>
        <w:rPr>
          <w:rFonts w:ascii="Liberation Serif" w:hAnsi="Liberation Serif"/>
        </w:rPr>
        <w:t xml:space="preserve">Требования к объемам и срокам </w:t>
      </w:r>
      <w:bookmarkEnd w:id="18"/>
      <w:r>
        <w:rPr>
          <w:rFonts w:ascii="Liberation Serif" w:hAnsi="Liberation Serif"/>
          <w:lang w:val="ru-RU"/>
        </w:rPr>
        <w:t>выполнения работ</w:t>
      </w:r>
    </w:p>
    <w:p>
      <w:pPr>
        <w:pStyle w:val="3"/>
        <w:numPr>
          <w:ilvl w:val="2"/>
          <w:numId w:val="4"/>
        </w:numPr>
        <w:rPr/>
      </w:pPr>
      <w:bookmarkStart w:id="19" w:name="_Toc54643704"/>
      <w:r>
        <w:rPr>
          <w:rFonts w:ascii="Liberation Serif" w:hAnsi="Liberation Serif"/>
          <w:lang w:val="ru-RU"/>
        </w:rPr>
        <w:t xml:space="preserve">Требования к перечню и объему </w:t>
      </w:r>
      <w:bookmarkEnd w:id="19"/>
      <w:r>
        <w:rPr>
          <w:rFonts w:ascii="Liberation Serif" w:hAnsi="Liberation Serif"/>
          <w:lang w:val="ru-RU"/>
        </w:rPr>
        <w:t>работ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right="0" w:hanging="0"/>
        <w:jc w:val="right"/>
        <w:rPr/>
      </w:pPr>
      <w:bookmarkStart w:id="20" w:name="_Toc54643705"/>
      <w:bookmarkStart w:id="21" w:name="_Toc51339695"/>
      <w:r>
        <w:rPr>
          <w:rFonts w:ascii="Liberation Serif" w:hAnsi="Liberation Serif"/>
          <w:b w:val="false"/>
          <w:bCs w:val="false"/>
          <w:sz w:val="24"/>
          <w:szCs w:val="24"/>
        </w:rPr>
        <w:t>Таблица 2</w:t>
      </w:r>
      <w:r>
        <w:rPr>
          <w:rFonts w:ascii="Liberation Serif" w:hAnsi="Liberation Serif"/>
          <w:b w:val="false"/>
          <w:bCs w:val="false"/>
          <w:sz w:val="24"/>
          <w:szCs w:val="24"/>
          <w:lang w:val="ru-RU"/>
        </w:rPr>
        <w:t>.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1"/>
      <w:r>
        <w:rPr>
          <w:rFonts w:ascii="Liberation Serif" w:hAnsi="Liberation Serif"/>
          <w:sz w:val="24"/>
          <w:szCs w:val="24"/>
          <w:lang w:val="ru-RU"/>
        </w:rPr>
        <w:t xml:space="preserve">и объем </w:t>
      </w:r>
      <w:bookmarkEnd w:id="20"/>
      <w:r>
        <w:rPr>
          <w:rFonts w:ascii="Liberation Serif" w:hAnsi="Liberation Serif"/>
          <w:sz w:val="24"/>
          <w:szCs w:val="24"/>
          <w:lang w:val="ru-RU"/>
        </w:rPr>
        <w:t>выполняемых работ</w:t>
      </w:r>
    </w:p>
    <w:tbl>
      <w:tblPr>
        <w:tblW w:w="9810" w:type="dxa"/>
        <w:jc w:val="left"/>
        <w:tblInd w:w="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" w:type="dxa"/>
          <w:bottom w:w="0" w:type="dxa"/>
          <w:right w:w="108" w:type="dxa"/>
        </w:tblCellMar>
      </w:tblPr>
      <w:tblGrid>
        <w:gridCol w:w="849"/>
        <w:gridCol w:w="4849"/>
        <w:gridCol w:w="1990"/>
        <w:gridCol w:w="2121"/>
      </w:tblGrid>
      <w:tr>
        <w:trPr/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>
          <w:trHeight w:val="967" w:hRule="atLeast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4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ind w:left="0" w:right="0" w:hanging="0"/>
              <w:jc w:val="both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Выполнение инженерно-геодезических работ на объектах филиала АО «ДРСК» «АЭС» (Таблица 1)</w:t>
            </w:r>
          </w:p>
        </w:tc>
        <w:tc>
          <w:tcPr>
            <w:tcW w:w="19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у.е. (заявитель, объект)</w:t>
            </w:r>
          </w:p>
        </w:tc>
        <w:tc>
          <w:tcPr>
            <w:tcW w:w="21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i/>
                <w:sz w:val="24"/>
                <w:szCs w:val="24"/>
              </w:rPr>
              <w:t xml:space="preserve">2 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( в соответствии с Таблицей 1)</w:t>
            </w:r>
          </w:p>
        </w:tc>
      </w:tr>
      <w:tr>
        <w:trPr/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1080" w:right="0" w:hanging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1.1</w:t>
            </w:r>
          </w:p>
        </w:tc>
        <w:tc>
          <w:tcPr>
            <w:tcW w:w="4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Выполнение топографического плана трассы ЛЭП в масштабе 1:500 в том числе в цифровой форме, с указанием координат проектируемых опор, углов КЛ, мест установки ТП, существующих коммуникаций и инженерных сооружений (в том числе подземных), по 25 метров в обе стороны от оси ЛЭП.</w:t>
            </w:r>
          </w:p>
        </w:tc>
        <w:tc>
          <w:tcPr>
            <w:tcW w:w="19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37" w:hRule="atLeast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1080" w:right="0" w:hanging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1.2</w:t>
            </w:r>
          </w:p>
        </w:tc>
        <w:tc>
          <w:tcPr>
            <w:tcW w:w="4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Выполнение геодезического поперечного профиля по оси трассы ЛЭП с нанесением всех существующих водоотводных сооружений (кюветов, нагорных и водоотводных канав, дренажных сооружений и др.), а также конструкции пересечения в неискаженном масштабе  (горизонтальный – 1:100, вертикальный – 1:100).</w:t>
            </w:r>
          </w:p>
        </w:tc>
        <w:tc>
          <w:tcPr>
            <w:tcW w:w="19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3" w:hRule="atLeast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1.3</w:t>
            </w:r>
          </w:p>
        </w:tc>
        <w:tc>
          <w:tcPr>
            <w:tcW w:w="4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отчёта по инженерным изысканиям</w:t>
            </w:r>
          </w:p>
        </w:tc>
        <w:tc>
          <w:tcPr>
            <w:tcW w:w="19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3"/>
        <w:numPr>
          <w:ilvl w:val="2"/>
          <w:numId w:val="4"/>
        </w:numPr>
        <w:rPr/>
      </w:pPr>
      <w:bookmarkStart w:id="22" w:name="_Toc54643706"/>
      <w:bookmarkStart w:id="23" w:name="_Toc51339696"/>
      <w:r>
        <w:rPr>
          <w:rFonts w:ascii="Liberation Serif" w:hAnsi="Liberation Serif"/>
          <w:lang w:val="ru-RU"/>
        </w:rPr>
        <w:t xml:space="preserve">Требования </w:t>
      </w:r>
      <w:bookmarkEnd w:id="23"/>
      <w:r>
        <w:rPr>
          <w:rFonts w:ascii="Liberation Serif" w:hAnsi="Liberation Serif"/>
          <w:lang w:val="ru-RU"/>
        </w:rPr>
        <w:t xml:space="preserve">к срокам </w:t>
      </w:r>
      <w:bookmarkEnd w:id="22"/>
      <w:r>
        <w:rPr>
          <w:rFonts w:ascii="Liberation Serif" w:hAnsi="Liberation Serif"/>
          <w:lang w:val="ru-RU"/>
        </w:rPr>
        <w:t>выполнения работ</w:t>
      </w:r>
    </w:p>
    <w:p>
      <w:pPr>
        <w:pStyle w:val="Normal"/>
        <w:rPr/>
      </w:pPr>
      <w:r>
        <w:rPr>
          <w:rFonts w:ascii="Liberation Serif" w:hAnsi="Liberation Serif"/>
          <w:sz w:val="24"/>
          <w:szCs w:val="24"/>
          <w:lang w:eastAsia="x-none"/>
        </w:rPr>
        <w:t>2.1.2.1 Общий срок выполнения работ: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sz w:val="24"/>
          <w:szCs w:val="24"/>
          <w:lang w:eastAsia="x-none"/>
        </w:rPr>
        <w:t>с даты заключения договора подряда.</w:t>
      </w:r>
    </w:p>
    <w:p>
      <w:pPr>
        <w:pStyle w:val="Normal"/>
        <w:rPr/>
      </w:pPr>
      <w:r>
        <w:rPr>
          <w:rFonts w:ascii="Liberation Serif" w:hAnsi="Liberation Serif"/>
          <w:sz w:val="24"/>
          <w:szCs w:val="24"/>
          <w:lang w:eastAsia="x-none"/>
        </w:rPr>
        <w:t>2.1.2.2. Окончания работ:  в течение 30 календарных дней с даты заключения договора.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right="0" w:hanging="0"/>
        <w:jc w:val="right"/>
        <w:rPr/>
      </w:pPr>
      <w:bookmarkStart w:id="24" w:name="_Toc50125127"/>
      <w:bookmarkStart w:id="25" w:name="_Toc51339697"/>
      <w:bookmarkStart w:id="26" w:name="_Toc54643707"/>
      <w:bookmarkStart w:id="27" w:name="_Toc501251261"/>
      <w:bookmarkEnd w:id="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. </w:t>
      </w:r>
      <w:bookmarkStart w:id="28" w:name="_Hlk50465284"/>
      <w:r>
        <w:rPr>
          <w:rFonts w:ascii="Liberation Serif" w:hAnsi="Liberation Serif"/>
          <w:sz w:val="24"/>
          <w:szCs w:val="24"/>
        </w:rPr>
        <w:t xml:space="preserve">Требования </w:t>
      </w:r>
      <w:r>
        <w:rPr>
          <w:rFonts w:ascii="Liberation Serif" w:hAnsi="Liberation Serif"/>
          <w:sz w:val="24"/>
          <w:szCs w:val="24"/>
          <w:lang w:val="ru-RU"/>
        </w:rPr>
        <w:t>к</w:t>
      </w:r>
      <w:r>
        <w:rPr>
          <w:rFonts w:ascii="Liberation Serif" w:hAnsi="Liberation Serif"/>
          <w:sz w:val="24"/>
          <w:szCs w:val="24"/>
        </w:rPr>
        <w:t xml:space="preserve"> срокам </w:t>
      </w:r>
      <w:bookmarkEnd w:id="24"/>
      <w:bookmarkEnd w:id="25"/>
      <w:bookmarkEnd w:id="26"/>
      <w:bookmarkEnd w:id="28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tbl>
      <w:tblPr>
        <w:tblW w:w="9776" w:type="dxa"/>
        <w:jc w:val="left"/>
        <w:tblInd w:w="-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" w:type="dxa"/>
          <w:bottom w:w="0" w:type="dxa"/>
          <w:right w:w="108" w:type="dxa"/>
        </w:tblCellMar>
      </w:tblPr>
      <w:tblGrid>
        <w:gridCol w:w="1129"/>
        <w:gridCol w:w="2809"/>
        <w:gridCol w:w="2722"/>
        <w:gridCol w:w="3115"/>
      </w:tblGrid>
      <w:tr>
        <w:trPr/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выполнения работ/ этапа работ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Style42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Style42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Выполнение геодезических изысканий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 подряда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left" w:pos="567" w:leader="none"/>
              </w:tabs>
              <w:jc w:val="both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В течение 30 календарных дней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Предоставление отчёта по геодезическим изысканиям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с даты заключения договора подряда.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8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left" w:pos="567" w:leader="none"/>
              </w:tabs>
              <w:jc w:val="both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В течение 30 календарных дней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4294952959"/>
        </w:sectPr>
      </w:pPr>
    </w:p>
    <w:p>
      <w:pPr>
        <w:pStyle w:val="4"/>
        <w:numPr>
          <w:ilvl w:val="1"/>
          <w:numId w:val="4"/>
        </w:numPr>
        <w:rPr/>
      </w:pPr>
      <w:bookmarkStart w:id="29" w:name="_Toc54643709"/>
      <w:bookmarkStart w:id="30" w:name="_Toc51339698"/>
      <w:bookmarkStart w:id="31" w:name="_Toc54643708"/>
      <w:bookmarkStart w:id="32" w:name="_Toc46743511"/>
      <w:r>
        <w:rPr>
          <w:rFonts w:ascii="Liberation Serif" w:hAnsi="Liberation Serif"/>
        </w:rPr>
        <w:t xml:space="preserve">Требования к </w:t>
      </w:r>
      <w:bookmarkEnd w:id="32"/>
      <w:r>
        <w:rPr>
          <w:rFonts w:ascii="Liberation Serif" w:hAnsi="Liberation Serif"/>
          <w:lang w:val="ru-RU"/>
        </w:rPr>
        <w:t xml:space="preserve">качеству </w:t>
      </w:r>
      <w:bookmarkEnd w:id="31"/>
      <w:r>
        <w:rPr>
          <w:rFonts w:ascii="Liberation Serif" w:hAnsi="Liberation Serif"/>
          <w:lang w:val="ru-RU"/>
        </w:rPr>
        <w:t>работ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right="0" w:hanging="0"/>
        <w:jc w:val="right"/>
        <w:rPr/>
      </w:pPr>
      <w:r>
        <w:rPr>
          <w:rFonts w:ascii="Liberation Serif" w:hAnsi="Liberation Serif"/>
          <w:b w:val="false"/>
          <w:bCs w:val="false"/>
          <w:sz w:val="24"/>
          <w:szCs w:val="24"/>
        </w:rPr>
        <w:t>Таблица </w:t>
      </w:r>
      <w:r>
        <w:rPr>
          <w:rFonts w:ascii="Liberation Serif" w:hAnsi="Liberation Serif"/>
          <w:b w:val="false"/>
          <w:bCs w:val="false"/>
          <w:sz w:val="24"/>
          <w:szCs w:val="24"/>
          <w:lang w:val="ru-RU"/>
        </w:rPr>
        <w:t>3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. </w:t>
      </w:r>
      <w:r>
        <w:rPr>
          <w:rFonts w:ascii="Liberation Serif" w:hAnsi="Liberation Serif"/>
          <w:sz w:val="24"/>
          <w:szCs w:val="24"/>
        </w:rPr>
        <w:t xml:space="preserve">Требования к </w:t>
      </w:r>
      <w:bookmarkEnd w:id="30"/>
      <w:r>
        <w:rPr>
          <w:rFonts w:ascii="Liberation Serif" w:hAnsi="Liberation Serif"/>
          <w:sz w:val="24"/>
          <w:szCs w:val="24"/>
          <w:lang w:val="ru-RU"/>
        </w:rPr>
        <w:t xml:space="preserve">качеству </w:t>
      </w:r>
      <w:bookmarkEnd w:id="29"/>
      <w:r>
        <w:rPr>
          <w:rFonts w:ascii="Liberation Serif" w:hAnsi="Liberation Serif"/>
          <w:sz w:val="24"/>
          <w:szCs w:val="24"/>
          <w:lang w:val="ru-RU"/>
        </w:rPr>
        <w:t>работ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/>
          <w:bCs/>
          <w:sz w:val="24"/>
          <w:szCs w:val="24"/>
        </w:rPr>
        <w:t xml:space="preserve">   </w:t>
      </w:r>
    </w:p>
    <w:tbl>
      <w:tblPr>
        <w:tblW w:w="15274" w:type="dxa"/>
        <w:jc w:val="left"/>
        <w:tblInd w:w="-10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3" w:type="dxa"/>
          <w:bottom w:w="0" w:type="dxa"/>
          <w:right w:w="108" w:type="dxa"/>
        </w:tblCellMar>
      </w:tblPr>
      <w:tblGrid>
        <w:gridCol w:w="936"/>
        <w:gridCol w:w="2555"/>
        <w:gridCol w:w="9410"/>
        <w:gridCol w:w="2372"/>
      </w:tblGrid>
      <w:tr>
        <w:trPr>
          <w:trHeight w:val="1085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Подтверждение участником соответствия в виде согласия с требованием</w:t>
            </w:r>
          </w:p>
        </w:tc>
      </w:tr>
      <w:tr>
        <w:trPr>
          <w:trHeight w:val="255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sz w:val="22"/>
                <w:szCs w:val="22"/>
              </w:rPr>
            </w:pPr>
            <w:bookmarkStart w:id="33" w:name="_Toc53499667"/>
            <w:bookmarkEnd w:id="33"/>
            <w:r>
              <w:rPr>
                <w:rFonts w:ascii="Liberation Serif" w:hAnsi="Liberation Serif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sz w:val="22"/>
                <w:szCs w:val="22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righ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Перечень выполняемых работ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Основные работы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rFonts w:ascii="Liberation Serif" w:hAnsi="Liberation Serif"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 xml:space="preserve">Выполнение инженерных изысканий </w:t>
            </w:r>
            <w:r>
              <w:rPr>
                <w:rFonts w:eastAsia="Calibri" w:ascii="Liberation Serif" w:hAnsi="Liberation Serif"/>
                <w:i/>
                <w:iCs/>
                <w:sz w:val="22"/>
                <w:szCs w:val="22"/>
                <w:lang w:eastAsia="x-none"/>
              </w:rPr>
              <w:t>на объектах,  расположенных на территории обслуживания   филиала "Амурские электрические сети" (Таблица 1)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1083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right="0" w:hanging="0"/>
              <w:contextualSpacing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Требования к выполнению работ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8364" w:leader="none"/>
              </w:tabs>
              <w:spacing w:lineRule="auto" w:line="240" w:before="0" w:after="200"/>
              <w:ind w:left="33" w:right="0" w:hanging="0"/>
              <w:contextualSpacing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- все работы выполняются с Таблицей 2 настоящих Технических требований</w:t>
            </w:r>
          </w:p>
          <w:p>
            <w:pPr>
              <w:pStyle w:val="Normal"/>
              <w:widowControl w:val="false"/>
              <w:tabs>
                <w:tab w:val="left" w:pos="8364" w:leader="none"/>
              </w:tabs>
              <w:suppressAutoHyphens w:val="true"/>
              <w:spacing w:lineRule="auto" w:line="240" w:before="0" w:after="29"/>
              <w:ind w:left="33" w:right="0" w:hanging="0"/>
              <w:contextualSpacing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sz w:val="22"/>
                <w:szCs w:val="22"/>
              </w:rPr>
              <w:t>- Подрядчик должен обеспечить качество выполнения всех видов работ в соответствии с  действующими нормами, техническими условиями. Данная обязанность Подрядчика действует в течение всего срока исполнения Договора.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692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right="0" w:hanging="0"/>
              <w:contextualSpacing/>
              <w:rPr>
                <w:rFonts w:ascii="Liberation Serif" w:hAnsi="Liberation Serif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sz w:val="22"/>
                <w:szCs w:val="22"/>
              </w:rPr>
              <w:t>Требование к организации работ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</w:rPr>
              <w:t>Инженерные изыскания: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</w:rPr>
              <w:t>- инженерные изыскания выполнить в один этап.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</w:rPr>
              <w:t>-  Подрядчик обеспечивает с</w:t>
            </w:r>
            <w:r>
              <w:rPr>
                <w:rFonts w:cs="Times New Roman" w:ascii="Liberation Serif" w:hAnsi="Liberation Serif"/>
                <w:b w:val="false"/>
                <w:bCs w:val="false"/>
                <w:i/>
                <w:sz w:val="22"/>
                <w:szCs w:val="22"/>
              </w:rPr>
              <w:t>облюдение при производстве работ необходимых мероприятий по технике безопасности, рациональному использованию территории, охране окружающей среды, зеленых насаждений и земли.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</w:rPr>
              <w:t>- все мероприятия, необходимые для надлежащего исполнения договорных обязательств, Подрядчик выполняет самостоятельно за счёт собственных средств.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3" w:after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</w:rPr>
              <w:t>- сформированный отчёт по инженерным изысканиям согласовывается с Заказчиком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</w:rPr>
              <w:t>Согласие с требованием</w:t>
            </w:r>
          </w:p>
        </w:tc>
      </w:tr>
      <w:tr>
        <w:trPr>
          <w:trHeight w:val="382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Требование к качеству работ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993" w:leader="none"/>
              </w:tabs>
              <w:suppressAutoHyphens w:val="true"/>
              <w:spacing w:lineRule="auto" w:line="240" w:before="0" w:after="29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i/>
                <w:sz w:val="22"/>
                <w:szCs w:val="22"/>
              </w:rPr>
              <w:t>Работы выполнить в соответствии с  действующей правовой, нормативной и методической базой:</w:t>
            </w:r>
          </w:p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 СП 47.13330.2012-2016 Инженерные изыскания для строительства. Основные положения. Актуализированная редакция СНиП 11-02-96;</w:t>
            </w:r>
          </w:p>
          <w:p>
            <w:pPr>
              <w:pStyle w:val="Normal"/>
              <w:bidi w:val="0"/>
              <w:spacing w:lineRule="auto" w:line="240"/>
              <w:ind w:left="0" w:right="0" w:hanging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 Правила по технике безопасности на топографо-геодезических работах (ПТБ-88), изд. 1991 г.;</w:t>
            </w:r>
          </w:p>
          <w:p>
            <w:pPr>
              <w:pStyle w:val="Normal"/>
              <w:widowControl w:val="false"/>
              <w:tabs>
                <w:tab w:val="left" w:pos="993" w:leader="none"/>
              </w:tabs>
              <w:suppressAutoHyphens w:val="true"/>
              <w:bidi w:val="0"/>
              <w:spacing w:lineRule="auto" w:line="240" w:before="0" w:after="29"/>
              <w:ind w:left="0" w:right="0" w:hanging="0"/>
              <w:contextualSpacing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Times New Roman" w:ascii="Liberation Serif" w:hAnsi="Liberation Serif"/>
                <w:i/>
                <w:sz w:val="22"/>
                <w:szCs w:val="22"/>
              </w:rPr>
              <w:t>- СП 317.1325800.2017 Инженерно-геодезические изыскания для строительства. Общие правила производства работ.</w:t>
            </w:r>
          </w:p>
          <w:p>
            <w:pPr>
              <w:pStyle w:val="Normal"/>
              <w:widowControl w:val="false"/>
              <w:tabs>
                <w:tab w:val="left" w:pos="851" w:leader="none"/>
                <w:tab w:val="left" w:pos="900" w:leader="none"/>
                <w:tab w:val="left" w:pos="993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Liberation Serif" w:hAnsi="Liberation Serif" w:eastAsia="Times New Roman" w:cs="Times New Roman"/>
                <w:b w:val="false"/>
                <w:b w:val="false"/>
                <w:bCs w:val="false"/>
                <w:color w:val="000000"/>
                <w:spacing w:val="4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color w:val="000000"/>
                <w:spacing w:val="4"/>
                <w:sz w:val="22"/>
                <w:szCs w:val="22"/>
                <w:lang w:val="ru-RU" w:eastAsia="ru-RU" w:bidi="ar-SA"/>
              </w:rPr>
              <w:t>-Другая, действующая на момент производства работ нормативно-техническая документация; действующие законодательные документы Российской Федерации и нормативные акты к ним. При производстве работ необходимо руководствоваться последними редакциями нормативно-технических и законодательных документов РФ.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Liberation Serif" w:hAnsi="Liberation Serif"/>
                <w:i/>
                <w:i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sz w:val="22"/>
                <w:szCs w:val="22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pacing w:before="20"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ответственности и гарантиям подрядчика</w:t>
            </w:r>
          </w:p>
        </w:tc>
        <w:tc>
          <w:tcPr>
            <w:tcW w:w="9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 условиями п.8 договора подряда.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uppressAutoHyphens w:val="true"/>
              <w:spacing w:before="60" w:after="0"/>
              <w:jc w:val="both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</w:tbl>
    <w:p>
      <w:pPr>
        <w:sectPr>
          <w:headerReference w:type="default" r:id="rId3"/>
          <w:type w:val="nextPage"/>
          <w:pgSz w:orient="landscape" w:w="16838" w:h="11906"/>
          <w:pgMar w:left="992" w:right="567" w:header="0" w:top="851" w:footer="0" w:bottom="851" w:gutter="0"/>
          <w:pgNumType w:fmt="decimal"/>
          <w:formProt w:val="false"/>
          <w:textDirection w:val="lrTb"/>
          <w:docGrid w:type="default" w:linePitch="381" w:charSpace="4294952959"/>
        </w:sectPr>
      </w:pPr>
    </w:p>
    <w:p>
      <w:pPr>
        <w:pStyle w:val="1"/>
        <w:keepLines/>
        <w:numPr>
          <w:ilvl w:val="0"/>
          <w:numId w:val="4"/>
        </w:numPr>
        <w:ind w:left="357" w:right="0" w:hanging="357"/>
        <w:jc w:val="center"/>
        <w:rPr/>
      </w:pPr>
      <w:bookmarkStart w:id="34" w:name="_Toc53393312"/>
      <w:bookmarkStart w:id="35" w:name="_Toc53395937"/>
      <w:bookmarkStart w:id="36" w:name="_Toc54643710"/>
      <w:r>
        <w:rPr>
          <w:rFonts w:ascii="Liberation Serif" w:hAnsi="Liberation Serif"/>
          <w:sz w:val="24"/>
          <w:szCs w:val="24"/>
          <w:lang w:val="ru-RU"/>
        </w:rPr>
        <w:t>Требования к документации по ценообразованию</w:t>
      </w:r>
      <w:bookmarkEnd w:id="34"/>
      <w:bookmarkEnd w:id="35"/>
      <w:bookmarkEnd w:id="36"/>
      <w:r>
        <w:rPr>
          <w:rFonts w:ascii="Liberation Serif" w:hAnsi="Liberation Serif"/>
          <w:sz w:val="24"/>
          <w:szCs w:val="24"/>
          <w:lang w:val="ru-RU"/>
        </w:rPr>
        <w:t xml:space="preserve"> на этапе закупки</w:t>
      </w:r>
    </w:p>
    <w:p>
      <w:pPr>
        <w:pStyle w:val="Normal"/>
        <w:tabs>
          <w:tab w:val="left" w:pos="709" w:leader="none"/>
        </w:tabs>
        <w:ind w:left="0" w:right="0" w:firstLine="709"/>
        <w:jc w:val="both"/>
        <w:rPr/>
      </w:pPr>
      <w:r>
        <w:rPr>
          <w:rFonts w:ascii="Liberation Serif" w:hAnsi="Liberation Serif"/>
          <w:sz w:val="24"/>
          <w:szCs w:val="24"/>
        </w:rPr>
        <w:t>3.1.1.</w:t>
        <w:tab/>
      </w:r>
      <w:r>
        <w:rPr>
          <w:rFonts w:cs="Times New Roman" w:ascii="Liberation Serif" w:hAnsi="Liberation Serif"/>
          <w:i w:val="false"/>
          <w:iCs w:val="false"/>
          <w:color w:val="000000"/>
          <w:sz w:val="24"/>
          <w:szCs w:val="24"/>
        </w:rPr>
        <w:t>В обоснование стоимости своей заявки Участник предоставляет Коммерческое предложение по форме, приведенной в Документации о закупке.</w:t>
      </w:r>
    </w:p>
    <w:p>
      <w:pPr>
        <w:pStyle w:val="Normal"/>
        <w:tabs>
          <w:tab w:val="left" w:pos="709" w:leader="none"/>
        </w:tabs>
        <w:ind w:left="0" w:right="0" w:firstLine="709"/>
        <w:jc w:val="both"/>
        <w:rPr/>
      </w:pPr>
      <w:r>
        <w:rPr>
          <w:rFonts w:ascii="Liberation Serif" w:hAnsi="Liberation Serif"/>
          <w:sz w:val="24"/>
          <w:szCs w:val="24"/>
        </w:rPr>
        <w:t>3.1.2.</w:t>
        <w:tab/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rPr>
          <w:rFonts w:ascii="Liberation Serif" w:hAnsi="Liberation Serif"/>
          <w:iCs/>
          <w:caps/>
        </w:rPr>
      </w:pPr>
      <w:bookmarkStart w:id="37" w:name="_Toc51339699"/>
      <w:bookmarkStart w:id="38" w:name="_Toc46743519"/>
      <w:bookmarkStart w:id="39" w:name="_Toc51339699"/>
      <w:bookmarkStart w:id="40" w:name="_Toc46743519"/>
      <w:bookmarkEnd w:id="39"/>
      <w:bookmarkEnd w:id="40"/>
      <w:r>
        <w:rPr>
          <w:rFonts w:ascii="Liberation Serif" w:hAnsi="Liberation Serif"/>
          <w:iCs/>
          <w:caps/>
        </w:rPr>
      </w:r>
    </w:p>
    <w:p>
      <w:pPr>
        <w:pStyle w:val="1"/>
        <w:keepLines/>
        <w:numPr>
          <w:ilvl w:val="0"/>
          <w:numId w:val="0"/>
        </w:numPr>
        <w:ind w:left="357" w:right="0" w:hanging="0"/>
        <w:rPr>
          <w:rFonts w:ascii="Liberation Serif" w:hAnsi="Liberation Serif"/>
          <w:iCs/>
          <w:sz w:val="24"/>
          <w:szCs w:val="24"/>
          <w:lang w:val="ru-RU"/>
        </w:rPr>
      </w:pPr>
      <w:r>
        <w:rPr>
          <w:rFonts w:ascii="Liberation Serif" w:hAnsi="Liberation Serif"/>
          <w:iCs/>
          <w:sz w:val="24"/>
          <w:szCs w:val="24"/>
          <w:lang w:val="ru-RU"/>
        </w:rPr>
        <w:t>4. Приложения</w:t>
      </w:r>
    </w:p>
    <w:p>
      <w:pPr>
        <w:pStyle w:val="Normal"/>
        <w:widowControl w:val="false"/>
        <w:tabs>
          <w:tab w:val="left" w:pos="426" w:leader="none"/>
        </w:tabs>
        <w:spacing w:before="60" w:after="0"/>
        <w:jc w:val="both"/>
        <w:rPr/>
      </w:pPr>
      <w:r>
        <w:rPr>
          <w:rFonts w:ascii="Liberation Serif" w:hAnsi="Liberation Serif"/>
          <w:i/>
          <w:spacing w:val="-2"/>
          <w:sz w:val="24"/>
          <w:szCs w:val="24"/>
        </w:rPr>
        <w:t>1. Сведения об объектах.</w:t>
      </w:r>
    </w:p>
    <w:p>
      <w:pPr>
        <w:pStyle w:val="Normal"/>
        <w:widowControl w:val="false"/>
        <w:tabs>
          <w:tab w:val="left" w:pos="426" w:leader="none"/>
        </w:tabs>
        <w:spacing w:before="60" w:after="0"/>
        <w:jc w:val="both"/>
        <w:rPr/>
      </w:pPr>
      <w:r>
        <w:rPr>
          <w:rFonts w:ascii="Liberation Serif" w:hAnsi="Liberation Serif"/>
          <w:i/>
          <w:spacing w:val="-2"/>
          <w:sz w:val="24"/>
          <w:szCs w:val="24"/>
        </w:rPr>
        <w:t>2. Сметные расчеты.</w:t>
      </w:r>
    </w:p>
    <w:p>
      <w:pPr>
        <w:pStyle w:val="Normal"/>
        <w:widowControl w:val="false"/>
        <w:tabs>
          <w:tab w:val="left" w:pos="426" w:leader="none"/>
        </w:tabs>
        <w:spacing w:before="60" w:after="0"/>
        <w:jc w:val="both"/>
        <w:rPr/>
      </w:pPr>
      <w:r>
        <w:rPr/>
      </w:r>
    </w:p>
    <w:sectPr>
      <w:headerReference w:type="default" r:id="rId4"/>
      <w:type w:val="nextPage"/>
      <w:pgSz w:w="11906" w:h="16838"/>
      <w:pgMar w:left="1134" w:right="851" w:header="680" w:top="1134" w:footer="0" w:bottom="992" w:gutter="0"/>
      <w:pgNumType w:fmt="decimal"/>
      <w:formProt w:val="false"/>
      <w:titlePg/>
      <w:textDirection w:val="lrTb"/>
      <w:docGrid w:type="default" w:linePitch="381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4</w:t>
    </w:r>
    <w: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6</w:t>
    </w:r>
    <w: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12</w:t>
    </w:r>
    <w: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pStyle w:val="1"/>
      <w:numFmt w:val="decimal"/>
      <w:lvlText w:val="%1."/>
      <w:lvlJc w:val="left"/>
      <w:pPr>
        <w:ind w:left="61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ind w:left="1224" w:hanging="504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ind w:left="61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0"/>
        <w:lang w:val="ru-RU" w:eastAsia="ru-RU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sz w:val="28"/>
      <w:szCs w:val="28"/>
      <w:lang w:val="ru-RU" w:eastAsia="ru-RU" w:bidi="ar-SA"/>
    </w:rPr>
  </w:style>
  <w:style w:type="paragraph" w:styleId="1">
    <w:name w:val="Heading 1"/>
    <w:basedOn w:val="3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qFormat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autoRedefine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qFormat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Style6">
    <w:name w:val="Интернет-ссылка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91">
    <w:name w:val="Заголовок 9 Знак"/>
    <w:qFormat/>
    <w:rPr>
      <w:rFonts w:ascii="Arial" w:hAnsi="Arial" w:cs="Arial"/>
      <w:sz w:val="22"/>
      <w:szCs w:val="22"/>
    </w:rPr>
  </w:style>
  <w:style w:type="character" w:styleId="Style7">
    <w:name w:val="Название Знак"/>
    <w:qFormat/>
    <w:rPr>
      <w:sz w:val="28"/>
    </w:rPr>
  </w:style>
  <w:style w:type="character" w:styleId="Style8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9">
    <w:name w:val="Выделение"/>
    <w:qFormat/>
    <w:rPr>
      <w:i/>
      <w:iCs/>
    </w:rPr>
  </w:style>
  <w:style w:type="character" w:styleId="22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10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1">
    <w:name w:val="Электронная подпись Знак"/>
    <w:qFormat/>
    <w:rPr>
      <w:rFonts w:eastAsia="Calibri"/>
      <w:sz w:val="24"/>
      <w:szCs w:val="24"/>
    </w:rPr>
  </w:style>
  <w:style w:type="character" w:styleId="12">
    <w:name w:val="Подпункт Знак1"/>
    <w:qFormat/>
    <w:rPr>
      <w:sz w:val="28"/>
    </w:rPr>
  </w:style>
  <w:style w:type="character" w:styleId="Style12">
    <w:name w:val="Текст сноски Знак"/>
    <w:qFormat/>
    <w:rPr/>
  </w:style>
  <w:style w:type="character" w:styleId="Style13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14">
    <w:name w:val="Абзац списка Знак"/>
    <w:qFormat/>
    <w:rPr>
      <w:rFonts w:eastAsia="Calibri"/>
      <w:sz w:val="24"/>
      <w:szCs w:val="24"/>
    </w:rPr>
  </w:style>
  <w:style w:type="character" w:styleId="Style15">
    <w:name w:val="комментарий"/>
    <w:qFormat/>
    <w:rPr>
      <w:i/>
      <w:highlight w:val="yellow"/>
    </w:rPr>
  </w:style>
  <w:style w:type="character" w:styleId="Style16">
    <w:name w:val="Подподпункт Знак"/>
    <w:qFormat/>
    <w:rPr>
      <w:sz w:val="26"/>
      <w:szCs w:val="26"/>
    </w:rPr>
  </w:style>
  <w:style w:type="character" w:styleId="32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7">
    <w:name w:val="Верхний колонтитул Знак"/>
    <w:qFormat/>
    <w:rPr>
      <w:sz w:val="24"/>
      <w:szCs w:val="24"/>
    </w:rPr>
  </w:style>
  <w:style w:type="character" w:styleId="Style18">
    <w:name w:val="Текст примечания Знак"/>
    <w:qFormat/>
    <w:rPr/>
  </w:style>
  <w:style w:type="character" w:styleId="Style19">
    <w:name w:val="Текст концевой сноски Знак"/>
    <w:basedOn w:val="DefaultParagraphFont"/>
    <w:qFormat/>
    <w:rPr/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3">
    <w:name w:val="Пункт2 Знак"/>
    <w:qFormat/>
    <w:rPr>
      <w:b/>
      <w:sz w:val="28"/>
    </w:rPr>
  </w:style>
  <w:style w:type="character" w:styleId="13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ListLabel1">
    <w:name w:val="ListLabel 1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 w:val="24"/>
      <w:szCs w:val="24"/>
      <w:u w:val="none"/>
      <w:effect w:val="none"/>
      <w:vertAlign w:val="baseline"/>
      <w:em w:val="none"/>
    </w:rPr>
  </w:style>
  <w:style w:type="character" w:styleId="ListLabel2">
    <w:name w:val="ListLabel 2"/>
    <w:qFormat/>
    <w:rPr>
      <w:rFonts w:ascii="Liberation Serif" w:hAnsi="Liberation Serif"/>
      <w:b/>
      <w:bCs/>
      <w:i w:val="false"/>
      <w:iCs/>
      <w:sz w:val="24"/>
      <w:szCs w:val="24"/>
    </w:rPr>
  </w:style>
  <w:style w:type="character" w:styleId="ListLabel3">
    <w:name w:val="ListLabel 3"/>
    <w:qFormat/>
    <w:rPr>
      <w:rFonts w:ascii="Liberation Serif" w:hAnsi="Liberation Serif"/>
      <w:b w:val="false"/>
      <w:bCs w:val="false"/>
      <w:sz w:val="22"/>
      <w:szCs w:val="24"/>
    </w:rPr>
  </w:style>
  <w:style w:type="character" w:styleId="ListLabel4">
    <w:name w:val="ListLabel 4"/>
    <w:qFormat/>
    <w:rPr>
      <w:b w:val="false"/>
      <w:bCs/>
      <w:sz w:val="24"/>
      <w:szCs w:val="24"/>
    </w:rPr>
  </w:style>
  <w:style w:type="character" w:styleId="ListLabel5">
    <w:name w:val="ListLabel 5"/>
    <w:qFormat/>
    <w:rPr>
      <w:sz w:val="24"/>
      <w:szCs w:val="24"/>
    </w:rPr>
  </w:style>
  <w:style w:type="character" w:styleId="ListLabel6">
    <w:name w:val="ListLabel 6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 w:val="24"/>
      <w:szCs w:val="24"/>
      <w:u w:val="none"/>
      <w:effect w:val="none"/>
      <w:vertAlign w:val="baseline"/>
      <w:em w:val="none"/>
    </w:rPr>
  </w:style>
  <w:style w:type="character" w:styleId="ListLabel7">
    <w:name w:val="ListLabel 7"/>
    <w:qFormat/>
    <w:rPr>
      <w:b/>
      <w:bCs/>
      <w:i w:val="false"/>
      <w:iCs/>
      <w:sz w:val="24"/>
      <w:szCs w:val="24"/>
    </w:rPr>
  </w:style>
  <w:style w:type="character" w:styleId="ListLabel8">
    <w:name w:val="ListLabel 8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 w:val="24"/>
      <w:szCs w:val="24"/>
      <w:u w:val="none"/>
      <w:effect w:val="none"/>
      <w:vertAlign w:val="baseline"/>
      <w:em w:val="none"/>
    </w:rPr>
  </w:style>
  <w:style w:type="character" w:styleId="ListLabel9">
    <w:name w:val="ListLabel 9"/>
    <w:qFormat/>
    <w:rPr>
      <w:b/>
      <w:bCs/>
      <w:i w:val="false"/>
      <w:iCs/>
      <w:sz w:val="24"/>
      <w:szCs w:val="24"/>
    </w:rPr>
  </w:style>
  <w:style w:type="character" w:styleId="ListLabel10">
    <w:name w:val="ListLabel 10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 w:val="24"/>
      <w:szCs w:val="24"/>
      <w:u w:val="none"/>
      <w:effect w:val="none"/>
      <w:vertAlign w:val="baseline"/>
      <w:em w:val="none"/>
    </w:rPr>
  </w:style>
  <w:style w:type="character" w:styleId="ListLabel11">
    <w:name w:val="ListLabel 11"/>
    <w:qFormat/>
    <w:rPr>
      <w:b/>
      <w:bCs/>
      <w:i w:val="false"/>
      <w:iCs/>
      <w:sz w:val="24"/>
      <w:szCs w:val="24"/>
    </w:rPr>
  </w:style>
  <w:style w:type="character" w:styleId="ListLabel12">
    <w:name w:val="ListLabel 12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 w:val="24"/>
      <w:szCs w:val="24"/>
      <w:u w:val="none"/>
      <w:effect w:val="none"/>
      <w:vertAlign w:val="baseline"/>
      <w:em w:val="none"/>
    </w:rPr>
  </w:style>
  <w:style w:type="character" w:styleId="ListLabel13">
    <w:name w:val="ListLabel 13"/>
    <w:qFormat/>
    <w:rPr>
      <w:b/>
      <w:bCs/>
      <w:i w:val="false"/>
      <w:iCs/>
      <w:sz w:val="24"/>
      <w:szCs w:val="24"/>
    </w:rPr>
  </w:style>
  <w:style w:type="character" w:styleId="ListLabel14">
    <w:name w:val="ListLabel 14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 w:val="24"/>
      <w:szCs w:val="24"/>
      <w:u w:val="none"/>
      <w:effect w:val="none"/>
      <w:vertAlign w:val="baseline"/>
      <w:em w:val="none"/>
    </w:rPr>
  </w:style>
  <w:style w:type="character" w:styleId="ListLabel15">
    <w:name w:val="ListLabel 15"/>
    <w:qFormat/>
    <w:rPr>
      <w:b/>
      <w:bCs/>
      <w:i w:val="false"/>
      <w:iCs/>
      <w:sz w:val="24"/>
      <w:szCs w:val="24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2">
    <w:name w:val="Body Text"/>
    <w:basedOn w:val="Normal"/>
    <w:pPr>
      <w:spacing w:before="0" w:after="120"/>
    </w:pPr>
    <w:rPr/>
  </w:style>
  <w:style w:type="paragraph" w:styleId="Style23">
    <w:name w:val="List"/>
    <w:basedOn w:val="Style22"/>
    <w:pPr/>
    <w:rPr>
      <w:rFonts w:cs="Lohit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Style26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7">
    <w:name w:val="Раздел положения"/>
    <w:basedOn w:val="Normal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28">
    <w:name w:val="Подраздел раздела положения"/>
    <w:basedOn w:val="Normal"/>
    <w:autoRedefine/>
    <w:qFormat/>
    <w:pPr>
      <w:spacing w:before="80" w:after="80"/>
      <w:jc w:val="both"/>
    </w:pPr>
    <w:rPr/>
  </w:style>
  <w:style w:type="paragraph" w:styleId="Style29">
    <w:name w:val="Footnote Text"/>
    <w:basedOn w:val="Normal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4">
    <w:name w:val="Шапка 2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Style30">
    <w:name w:val="Колонтитул"/>
    <w:basedOn w:val="Normal"/>
    <w:qFormat/>
    <w:pPr/>
    <w:rPr/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2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Style33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4">
    <w:name w:val="Подпункт"/>
    <w:basedOn w:val="Normal"/>
    <w:qFormat/>
    <w:pPr>
      <w:tabs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5">
    <w:name w:val="Пункт2"/>
    <w:basedOn w:val="Normal"/>
    <w:qFormat/>
    <w:pPr>
      <w:keepNext w:val="true"/>
      <w:tabs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16">
    <w:name w:val="TOC 1"/>
    <w:basedOn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35">
    <w:name w:val="Раздел регламента"/>
    <w:basedOn w:val="Normal"/>
    <w:qFormat/>
    <w:pPr/>
    <w:rPr/>
  </w:style>
  <w:style w:type="paragraph" w:styleId="Style36">
    <w:name w:val="Приложение к регламенту"/>
    <w:basedOn w:val="Normal"/>
    <w:qFormat/>
    <w:pPr>
      <w:jc w:val="right"/>
    </w:pPr>
    <w:rPr/>
  </w:style>
  <w:style w:type="paragraph" w:styleId="26">
    <w:name w:val="TOC 2"/>
    <w:basedOn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17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52">
    <w:name w:val="TOC 5"/>
    <w:basedOn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42">
    <w:name w:val="TOC 4"/>
    <w:basedOn w:val="Normal"/>
    <w:autoRedefine/>
    <w:pPr>
      <w:tabs>
        <w:tab w:val="left" w:pos="1120" w:leader="none"/>
        <w:tab w:val="right" w:pos="9911" w:leader="none"/>
      </w:tabs>
      <w:ind w:left="560" w:right="0" w:hanging="0"/>
    </w:pPr>
    <w:rPr>
      <w:rFonts w:cs="Calibri"/>
      <w:sz w:val="20"/>
      <w:szCs w:val="20"/>
    </w:rPr>
  </w:style>
  <w:style w:type="paragraph" w:styleId="27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7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">
    <w:name w:val="caption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Style38">
    <w:name w:val="Subtitle"/>
    <w:basedOn w:val="Normal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TOCHeading">
    <w:name w:val="TOC Heading"/>
    <w:basedOn w:val="1"/>
    <w:qFormat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Style39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>
    <w:name w:val="Нумерованный список ур3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00000A"/>
      <w:sz w:val="28"/>
      <w:szCs w:val="20"/>
      <w:lang w:val="ru-RU" w:eastAsia="ru-RU" w:bidi="ar-SA"/>
    </w:rPr>
  </w:style>
  <w:style w:type="paragraph" w:styleId="36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0">
    <w:name w:val="Пункт"/>
    <w:basedOn w:val="Normal"/>
    <w:qFormat/>
    <w:pPr>
      <w:widowControl w:val="false"/>
      <w:tabs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2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3">
    <w:name w:val="Подподпункт"/>
    <w:basedOn w:val="Style34"/>
    <w:qFormat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44">
    <w:name w:val="УРОВЕНЬ_(а)"/>
    <w:basedOn w:val="ListParagraph"/>
    <w:qFormat/>
    <w:pPr>
      <w:spacing w:lineRule="exact" w:line="360" w:before="120" w:after="0"/>
      <w:ind w:left="720" w:right="0" w:hanging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5">
    <w:name w:val="УРОВЕНЬ_-"/>
    <w:basedOn w:val="ListParagraph"/>
    <w:qFormat/>
    <w:pPr>
      <w:spacing w:lineRule="exact" w:line="360" w:before="120" w:after="0"/>
      <w:ind w:left="720" w:right="0" w:hanging="0"/>
      <w:contextualSpacing/>
      <w:jc w:val="both"/>
      <w:outlineLvl w:val="4"/>
    </w:pPr>
    <w:rPr>
      <w:sz w:val="26"/>
      <w:szCs w:val="28"/>
      <w:lang w:eastAsia="en-US"/>
    </w:rPr>
  </w:style>
  <w:style w:type="paragraph" w:styleId="29">
    <w:name w:val="УРОВЕНЬ_Абзац_тип2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6">
    <w:name w:val="УРОВЕНЬ_Подпись"/>
    <w:basedOn w:val="ListParagraph"/>
    <w:qFormat/>
    <w:pPr>
      <w:keepNext w:val="true"/>
      <w:spacing w:lineRule="exact" w:line="360" w:before="120" w:after="120"/>
      <w:ind w:left="720" w:right="0" w:hanging="0"/>
      <w:contextualSpacing/>
      <w:jc w:val="right"/>
      <w:outlineLvl w:val="3"/>
    </w:pPr>
    <w:rPr>
      <w:sz w:val="26"/>
      <w:szCs w:val="28"/>
      <w:lang w:eastAsia="en-US"/>
    </w:rPr>
  </w:style>
  <w:style w:type="paragraph" w:styleId="19">
    <w:name w:val="Стиль Заголовок 1 + по ширине"/>
    <w:basedOn w:val="1"/>
    <w:qFormat/>
    <w:pPr>
      <w:keepLines/>
      <w:numPr>
        <w:ilvl w:val="0"/>
        <w:numId w:val="0"/>
      </w:numPr>
      <w:tabs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Symbol">
    <w:name w:val="Endnote Symbol"/>
    <w:basedOn w:val="Normal"/>
    <w:qFormat/>
    <w:pPr/>
    <w:rPr>
      <w:sz w:val="20"/>
      <w:szCs w:val="20"/>
    </w:rPr>
  </w:style>
  <w:style w:type="paragraph" w:styleId="210">
    <w:name w:val="Заголовок 2 КВВ"/>
    <w:basedOn w:val="Normal"/>
    <w:qFormat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47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0">
    <w:name w:val="УРОВЕНЬ_1."/>
    <w:basedOn w:val="ListParagraph"/>
    <w:qFormat/>
    <w:pPr>
      <w:keepNext w:val="true"/>
      <w:keepLines/>
      <w:spacing w:lineRule="auto" w:line="276" w:before="240" w:after="120"/>
      <w:ind w:left="0" w:righ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72">
    <w:name w:val="TOC 7"/>
    <w:basedOn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82">
    <w:name w:val="TOC 8"/>
    <w:basedOn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48">
    <w:name w:val="Содержимое таблицы"/>
    <w:basedOn w:val="Normal"/>
    <w:qFormat/>
    <w:pPr>
      <w:suppressLineNumbers/>
    </w:pPr>
    <w:rPr/>
  </w:style>
  <w:style w:type="paragraph" w:styleId="Style49">
    <w:name w:val="Заголовок таблицы"/>
    <w:basedOn w:val="Style48"/>
    <w:qFormat/>
    <w:pPr/>
    <w:rPr/>
  </w:style>
  <w:style w:type="numbering" w:styleId="NoList">
    <w:name w:val="No List"/>
    <w:qFormat/>
  </w:style>
  <w:style w:type="numbering" w:styleId="111">
    <w:name w:val="Стиль1"/>
    <w:qFormat/>
  </w:style>
  <w:style w:type="numbering" w:styleId="211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LibreOffice/5.3.6.1$Linux_X86_64 LibreOffice_project/30$Build-1</Application>
  <Pages>7</Pages>
  <Words>1073</Words>
  <Characters>7331</Characters>
  <CharactersWithSpaces>8225</CharactersWithSpaces>
  <Paragraphs>221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2023-09-04T07:19:00Z</dcterms:created>
  <dc:creator>Быстров Олег Геннадьевич</dc:creator>
  <dc:description/>
  <dc:language>ru-RU</dc:language>
  <cp:lastModifiedBy/>
  <cp:lastPrinted>2024-09-18T09:33:09Z</cp:lastPrinted>
  <dcterms:modified xsi:type="dcterms:W3CDTF">2026-09-28T11:10:58Z</dcterms:modified>
  <cp:revision>35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