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spacing w:lineRule="auto" w:line="240"/>
        <w:ind w:left="0" w:right="0" w:firstLine="708"/>
        <w:jc w:val="center"/>
        <w:rPr>
          <w:rFonts w:ascii="Liberation Serif" w:hAnsi="Liberation Serif"/>
          <w:b/>
          <w:bCs/>
          <w:sz w:val="26"/>
          <w:szCs w:val="26"/>
        </w:rPr>
      </w:pPr>
      <w:r>
        <w:rPr>
          <w:rFonts w:eastAsia="Times New Roman" w:cs="Times New Roman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shd w:fill="FFFFFF" w:val="clear"/>
          <w:em w:val="none"/>
          <w:lang w:val="ru-RU" w:eastAsia="ru-RU" w:bidi="ar-SA"/>
        </w:rPr>
        <w:t>ОКПД2  71.12.35.110 Выполнение кадастровых работ для целей  оформления прав землепользования, установления охранных зон электросетевых объектов, изготовления технических планов для постановки на кадастровый учет объектов недвижимости, расположенных на территории Хабаровского края</w:t>
      </w:r>
    </w:p>
    <w:p>
      <w:pPr>
        <w:pStyle w:val="Normal"/>
        <w:bidi w:val="0"/>
        <w:jc w:val="center"/>
        <w:rPr>
          <w:highlight w:val="white"/>
        </w:rPr>
      </w:pPr>
      <w:r>
        <w:rPr>
          <w:highlight w:val="white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color w:val="00000A"/>
          <w:sz w:val="24"/>
          <w:szCs w:val="24"/>
          <w:shd w:fill="FFFFFF" w:val="clear"/>
          <w:lang w:val="ru-RU" w:eastAsia="ru-RU" w:bidi="ar-SA"/>
        </w:rPr>
      </w:pPr>
      <w:r>
        <w:rPr>
          <w:rFonts w:eastAsia="Times New Roman" w:cs="Times New Roman"/>
          <w:b/>
          <w:color w:val="00000A"/>
          <w:sz w:val="24"/>
          <w:szCs w:val="24"/>
          <w:shd w:fill="FFFFFF" w:val="clear"/>
          <w:lang w:val="ru-RU" w:eastAsia="ru-RU" w:bidi="ar-SA"/>
        </w:rPr>
      </w:r>
    </w:p>
    <w:p>
      <w:pPr>
        <w:pStyle w:val="NormalWeb"/>
        <w:spacing w:before="0" w:after="0"/>
        <w:ind w:left="0" w:right="0" w:firstLine="499"/>
        <w:jc w:val="center"/>
        <w:rPr>
          <w:shd w:fill="FFFFFF" w:val="clear"/>
        </w:rPr>
      </w:pPr>
      <w:r>
        <w:rPr>
          <w:shd w:fill="FFFFFF" w:val="clear"/>
        </w:rPr>
      </w:r>
      <w:r>
        <w:br w:type="page"/>
      </w:r>
    </w:p>
    <w:p>
      <w:pPr>
        <w:pStyle w:val="NormalWeb"/>
        <w:spacing w:before="0" w:after="0"/>
        <w:ind w:left="0" w:right="0" w:firstLine="49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Toc137820507">
            <w:r>
              <w:rPr>
                <w:rStyle w:val="Style14"/>
              </w:rPr>
              <w:t>1.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08">
            <w:r>
              <w:rPr>
                <w:rStyle w:val="Style14"/>
                <w:iCs/>
              </w:rPr>
              <w:t>1.1.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09">
            <w:r>
              <w:rPr>
                <w:rStyle w:val="Style14"/>
                <w:iCs/>
              </w:rPr>
              <w:t>1.2.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выполнения работ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3782051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2">
            <w:r>
              <w:rPr>
                <w:rStyle w:val="Style14"/>
                <w:iCs/>
              </w:rPr>
              <w:t>1.3.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hyperlink w:anchor="_Toc137820513">
            <w:r>
              <w:rPr>
                <w:rStyle w:val="Style14"/>
              </w:rPr>
              <w:t>2.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4">
            <w:r>
              <w:rPr>
                <w:rStyle w:val="Style14"/>
                <w:iCs/>
              </w:rPr>
              <w:t>2.1.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выполнения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5">
            <w:r>
              <w:rPr>
                <w:rStyle w:val="Style14"/>
              </w:rPr>
              <w:t>2.1.1.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видам и объемам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3782051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2. Перечень и объем выполняемых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7">
            <w:r>
              <w:rPr>
                <w:rStyle w:val="Style14"/>
              </w:rPr>
              <w:t>2.1.2.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выполнения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3782051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3. Требования по срокам выполнения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/>
          </w:pPr>
          <w:hyperlink w:anchor="_Toc137820519">
            <w:r>
              <w:rPr>
                <w:rStyle w:val="Style14"/>
                <w:iCs/>
              </w:rPr>
              <w:t>2.2.</w:t>
            </w:r>
            <w:r>
              <w:rPr>
                <w:rStyle w:val="Style14"/>
                <w:rFonts w:eastAsia="PMingLiU" w:cs="Arial" w:ascii="Calibri" w:hAnsi="Calibr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работ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3782052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4. Требования к качеству работ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hyperlink w:anchor="_Toc137820521">
            <w:r>
              <w:rPr>
                <w:rStyle w:val="Style14"/>
              </w:rPr>
              <w:t>3.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hyperlink w:anchor="_Toc137820522">
            <w:r>
              <w:rPr>
                <w:rStyle w:val="Style14"/>
              </w:rPr>
              <w:t>4.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_Toc137820522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Приложения</w:t>
              <w:tab/>
              <w:t>13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  <w:p>
          <w:pPr>
            <w:sectPr>
              <w:headerReference w:type="default" r:id="rId2"/>
              <w:headerReference w:type="first" r:id="rId3"/>
              <w:type w:val="nextPage"/>
              <w:pgSz w:w="11906" w:h="16838"/>
              <w:pgMar w:left="1134" w:right="851" w:gutter="0" w:header="680" w:top="1134" w:footer="0" w:bottom="992"/>
              <w:pgNumType w:fmt="decimal"/>
              <w:formProt w:val="false"/>
              <w:titlePg/>
              <w:textDirection w:val="lrTb"/>
              <w:docGrid w:type="default" w:linePitch="360" w:charSpace="0"/>
            </w:sectPr>
          </w:pPr>
        </w:p>
      </w:sdtContent>
    </w:sdt>
    <w:p>
      <w:pPr>
        <w:pStyle w:val="Heading4"/>
        <w:numPr>
          <w:ilvl w:val="0"/>
          <w:numId w:val="0"/>
        </w:numPr>
        <w:ind w:left="0" w:right="0" w:hanging="0"/>
        <w:rPr/>
      </w:pPr>
      <w:r>
        <w:rPr/>
        <w:t>Общие сведения</w:t>
      </w:r>
    </w:p>
    <w:p>
      <w:pPr>
        <w:pStyle w:val="Heading4"/>
        <w:numPr>
          <w:ilvl w:val="1"/>
          <w:numId w:val="2"/>
        </w:numPr>
        <w:ind w:left="432" w:right="0" w:hanging="432"/>
        <w:rPr/>
      </w:pPr>
      <w:bookmarkStart w:id="0" w:name="_Toc137820508"/>
      <w:bookmarkStart w:id="1" w:name="_Toc46743506"/>
      <w:r>
        <w:rPr/>
        <w:t>Наименование закупаемой продукции</w:t>
      </w:r>
      <w:bookmarkEnd w:id="0"/>
      <w:bookmarkEnd w:id="1"/>
      <w:r>
        <w:rPr>
          <w:lang w:val="ru-RU"/>
        </w:rPr>
        <w:t>.</w:t>
      </w:r>
    </w:p>
    <w:p>
      <w:pPr>
        <w:pStyle w:val="Normal"/>
        <w:spacing w:lineRule="auto" w:line="240"/>
        <w:ind w:left="0" w:right="0" w:hanging="0"/>
        <w:jc w:val="both"/>
        <w:rPr>
          <w:rFonts w:ascii="Liberation Serif" w:hAnsi="Liberation Serif"/>
          <w:sz w:val="26"/>
          <w:szCs w:val="26"/>
        </w:rPr>
      </w:pP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  <w:lang w:val="ru-RU" w:eastAsia="ru-RU" w:bidi="ar-SA"/>
        </w:rPr>
        <w:t>Выполнение кадастровых работ для целей  оформления прав землепользования, установления охранных зон электросетевых объектов, изготовления технических планов для постановки на кадастровый учет объектов недвижимости,  расположенных на территории Хабаровского края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sz w:val="26"/>
          <w:szCs w:val="26"/>
          <w:u w:val="none"/>
          <w:em w:val="none"/>
          <w:lang w:val="ru-RU" w:eastAsia="ru-RU" w:bidi="ar-SA"/>
        </w:rPr>
        <w:t>.</w:t>
      </w:r>
    </w:p>
    <w:p>
      <w:pPr>
        <w:pStyle w:val="Normal"/>
        <w:spacing w:lineRule="auto" w:line="240"/>
        <w:ind w:left="0" w:right="0" w:hanging="0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Heading4"/>
        <w:numPr>
          <w:ilvl w:val="1"/>
          <w:numId w:val="2"/>
        </w:numPr>
        <w:ind w:left="432" w:right="0" w:hanging="432"/>
        <w:rPr/>
      </w:pPr>
      <w:bookmarkStart w:id="2" w:name="_Toc46743507"/>
      <w:bookmarkStart w:id="3" w:name="_Toc137820509"/>
      <w:r>
        <w:rPr/>
        <w:t xml:space="preserve">Цель </w:t>
      </w:r>
      <w:bookmarkEnd w:id="2"/>
      <w:bookmarkEnd w:id="3"/>
      <w:r>
        <w:rPr/>
        <w:t>выполнения работ</w:t>
      </w:r>
    </w:p>
    <w:p>
      <w:pPr>
        <w:pStyle w:val="Heading4"/>
        <w:numPr>
          <w:ilvl w:val="0"/>
          <w:numId w:val="0"/>
        </w:numPr>
        <w:ind w:left="0" w:right="0" w:hanging="0"/>
        <w:jc w:val="both"/>
        <w:rPr>
          <w:highlight w:val="white"/>
        </w:rPr>
      </w:pP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 xml:space="preserve">- </w:t>
      </w:r>
      <w:r>
        <w:rPr>
          <w:rFonts w:eastAsia="Times New Roman" w:cs="Times New Roman" w:ascii="Liberation Serif" w:hAnsi="Liberation Serif"/>
          <w:b w:val="false"/>
          <w:bCs w:val="false"/>
          <w:color w:val="00000A"/>
          <w:sz w:val="24"/>
          <w:szCs w:val="24"/>
          <w:shd w:fill="FFFFFF" w:val="clear"/>
          <w:lang w:val="ru-RU" w:eastAsia="ru-RU" w:bidi="ar-SA"/>
        </w:rPr>
        <w:t xml:space="preserve">оформление прав землепользования - </w:t>
      </w: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>установление публичных сервитутов (далее - ПС) для размещения объектов электросетевого хозяйства, уточнение местоположения границ земельных участков под электросетевыми объектами;</w:t>
      </w:r>
    </w:p>
    <w:p>
      <w:pPr>
        <w:pStyle w:val="Normal"/>
        <w:ind w:left="0" w:right="0" w:hanging="0"/>
        <w:jc w:val="both"/>
        <w:rPr>
          <w:highlight w:val="white"/>
        </w:rPr>
      </w:pP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>- внесение в ГКН сведений о границах охранных зон (далее - ОЗ) сетевых объектов;</w:t>
      </w:r>
    </w:p>
    <w:p>
      <w:pPr>
        <w:pStyle w:val="Normal"/>
        <w:ind w:left="0" w:right="0" w:hanging="0"/>
        <w:jc w:val="both"/>
        <w:rPr>
          <w:highlight w:val="white"/>
        </w:rPr>
      </w:pP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>- постановка объектов капитального строительства (далее - ОКС) на кадастровый учет/ определение местоположения границ объектов недвижимости;</w:t>
      </w:r>
    </w:p>
    <w:p>
      <w:pPr>
        <w:pStyle w:val="ListParagraph"/>
        <w:tabs>
          <w:tab w:val="clear" w:pos="720"/>
          <w:tab w:val="left" w:pos="993" w:leader="none"/>
        </w:tabs>
        <w:spacing w:before="0" w:after="0"/>
        <w:ind w:left="0" w:right="0" w:hanging="0"/>
        <w:contextualSpacing/>
        <w:jc w:val="both"/>
        <w:rPr>
          <w:highlight w:val="white"/>
        </w:rPr>
      </w:pPr>
      <w:r>
        <w:rPr>
          <w:rFonts w:eastAsia="Times New Roman" w:ascii="Liberation Serif" w:hAnsi="Liberation Serif"/>
          <w:b w:val="false"/>
          <w:bCs w:val="false"/>
          <w:sz w:val="24"/>
          <w:szCs w:val="24"/>
          <w:shd w:fill="FFFFFF" w:val="clear"/>
          <w:lang w:val="ru-RU" w:eastAsia="ru-RU"/>
        </w:rPr>
        <w:t>- постановка на кадастровый учет объектов недвижимости, входящих в состав электросетевых комплексов на территории Хабаровского края (далее - раздел ОКС).</w:t>
      </w:r>
    </w:p>
    <w:p>
      <w:pPr>
        <w:pStyle w:val="Normal"/>
        <w:ind w:left="624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>
          <w:sz w:val="24"/>
          <w:szCs w:val="24"/>
        </w:rPr>
      </w:pPr>
      <w:bookmarkStart w:id="4" w:name="_Toc137820511"/>
      <w:bookmarkEnd w:id="4"/>
      <w:r>
        <w:rPr>
          <w:sz w:val="24"/>
          <w:szCs w:val="24"/>
        </w:rPr>
        <w:t>Таблица 1. Перечень объектов заказчика</w:t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4937" w:type="dxa"/>
        <w:jc w:val="left"/>
        <w:tblInd w:w="6" w:type="dxa"/>
        <w:tblLayout w:type="fixed"/>
        <w:tblCellMar>
          <w:top w:w="55" w:type="dxa"/>
          <w:left w:w="45" w:type="dxa"/>
          <w:bottom w:w="55" w:type="dxa"/>
          <w:right w:w="55" w:type="dxa"/>
        </w:tblCellMar>
      </w:tblPr>
      <w:tblGrid>
        <w:gridCol w:w="572"/>
        <w:gridCol w:w="1142"/>
        <w:gridCol w:w="3491"/>
        <w:gridCol w:w="2100"/>
        <w:gridCol w:w="3236"/>
        <w:gridCol w:w="1139"/>
        <w:gridCol w:w="890"/>
        <w:gridCol w:w="985"/>
        <w:gridCol w:w="1380"/>
      </w:tblGrid>
      <w:tr>
        <w:trPr>
          <w:tblHeader w:val="true"/>
          <w:trHeight w:val="392" w:hRule="atLeast"/>
        </w:trPr>
        <w:tc>
          <w:tcPr>
            <w:tcW w:w="57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п/п</w:t>
            </w:r>
          </w:p>
        </w:tc>
        <w:tc>
          <w:tcPr>
            <w:tcW w:w="114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Инвентарный номер объекта</w:t>
            </w:r>
          </w:p>
        </w:tc>
        <w:tc>
          <w:tcPr>
            <w:tcW w:w="349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Наименование объекта</w:t>
            </w:r>
          </w:p>
        </w:tc>
        <w:tc>
          <w:tcPr>
            <w:tcW w:w="210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Кадастровый номер объекта</w:t>
            </w:r>
          </w:p>
        </w:tc>
        <w:tc>
          <w:tcPr>
            <w:tcW w:w="323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highlight w:val="white"/>
              </w:rPr>
              <w:t>Местоположение</w:t>
            </w:r>
          </w:p>
        </w:tc>
        <w:tc>
          <w:tcPr>
            <w:tcW w:w="113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Протяженность, км</w:t>
            </w:r>
          </w:p>
        </w:tc>
        <w:tc>
          <w:tcPr>
            <w:tcW w:w="325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Виды работ по объекту</w:t>
            </w:r>
          </w:p>
        </w:tc>
      </w:tr>
      <w:tr>
        <w:trPr>
          <w:tblHeader w:val="true"/>
          <w:trHeight w:val="793" w:hRule="atLeast"/>
        </w:trPr>
        <w:tc>
          <w:tcPr>
            <w:tcW w:w="57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114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2100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236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1139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ОКС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ПС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ОЗ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1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suppressLineNumbers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/>
              <w:ind w:left="57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HB035945</w:t>
            </w:r>
          </w:p>
          <w:p>
            <w:pPr>
              <w:pStyle w:val="Style34"/>
              <w:widowControl w:val="false"/>
              <w:suppressLineNumbers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/>
              <w:ind w:left="57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HB035944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 110 кВ от ХТЭЦ-3 до врезки в существующую ВЛ 110 кВ ПС "РЦ" - ПС "НПЗ", в составе КЛ-110 "ХТЭЦ3-НПЗ" в пр. оп.№6-№7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27:00:0000000:49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Краснофлотский район и Железнодорожный район в г. Хабаровске; Хабаровский район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10,326</w:t>
            </w:r>
          </w:p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0,458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highlight w:val="white"/>
                <w:shd w:fill="FFFFFF" w:val="clear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HB010791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Линия ВЛ 110 кВ НПЗ-ХЭС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27:23:0000000:25363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Хабаровский край, г. Хабаровск, р-н Кировский, лит. 13.5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2,7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HB010030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Ответвление от ВЛ 35 кВ "КАФ-Р" на ПС "М"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27:23:0030322:108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Хабаровский край, г. Хабаровск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1,73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FFFFFF" w:val="clear"/>
              </w:rPr>
              <w:t>4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57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НВ009987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ВЛ-110 кВ отпайка на ПС Городская (входит в состав электросетевого комплекса №3 110 кВ "ЦЭС")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27:23:0000000:25360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highlight w:val="white"/>
              </w:rPr>
              <w:t>Хабаровский край, г. Хабаровск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1,3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-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(внести изменения 27:23-6.360)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FFFFFF" w:val="clear"/>
              </w:rPr>
              <w:t>5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 xml:space="preserve">HB005652 </w:t>
              <w:br/>
              <w:t>HB007208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HB007652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ПС 35/6 кВ "ЭТЗ" с прилегающей линией ВЛ 35 кВ, КЛ 35 кВ ТЭЦ-2 инв.№69</w:t>
            </w:r>
          </w:p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 xml:space="preserve">ОЗ </w:t>
            </w:r>
            <w:r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  <w:t>27:22-6.378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27:22:0030701:170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г. Комсомольск-на-Амуре, шоссе Комсомольское, 1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2,86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FFFFFF" w:val="clear"/>
              </w:rPr>
              <w:t>6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HB007652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HB005929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HB029445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HB029446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HB029447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HB029448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ВЛ 35 кВ, КЛ 35 кВ "ТЭЦ1 - ЭТЗ", литер 1,1А, в составе:</w:t>
            </w:r>
          </w:p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Кабельная ЛЭП-35 кВ ПС "ЭТЗ" до каб.киоска ОЗ 27:22-6.377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27:07:0010101:4307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Комсомольский Район, Лит. 1,1А, Центральный Округ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5,96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FFFFFF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7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em w:val="none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em w:val="none"/>
              </w:rPr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em w:val="none"/>
              </w:rPr>
              <w:t>HB007667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ВЛ-110 кВ пс "Комсомольская"-пс "Водозабор" с отпайкой на пс "Береговая" 27:22:0000000:1666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27:22:0000000:1666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г. Комсомольск-на-Амуре, округ Центральный, район Комсомольский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19,84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 внести изм.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(внести изменения 27:22-6.19)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8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em w:val="none"/>
              </w:rPr>
              <w:t>HB041448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ВЛ-110кВ "Совгаванская ТЭЦ-Ванино""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27:00:0000000:10174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г. Советская Гавань, Советско-Гаванский и Ванинский муниципальные районы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37,413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9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HB041447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35 кВ (в габаритах 110 кВ) от временной ПС 35 кВ Строительная до существующей ПС Эгге 35 кВ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27:21:0000000:786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г. Советская Гавань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2,49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HB041449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ВЛ-110кВ "Совгаванская ТЭЦ-Окоча»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27:00:0000000:10165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г. Советская Гавань, Советско-Гаванский и Ванинский муниципальные районы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14,176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11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 xml:space="preserve">HB003536 </w:t>
              <w:br/>
              <w:t>HB003563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Воздушная линия 35 кВ Т-1-Ф "Майская ГРЭС" - ПС "Кислородная"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27:13:0000000:148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Советско-Гаванский район, пос.Майский - гор.Советская Гавань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10,98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12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HB003537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Воздушная линия 35 кВ Т-2-Ф "Майская ГРЭС" - ПС "Центральная", инв.№4221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27:13:0000000:182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Советско-Гаванский район, пос.Майский - гор.Советская Гавань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20,33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13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HB003570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Воздушная линия 35 кВ Т-15-Ф "Майская ГРЭС" - ПС "Эгге", инв.№4223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27:13:0000000:169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Советско-Гаванский район, п.Майский - г.Советская Гавань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7,741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14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HB003575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Воздушная линия 35 кВ Т-К-Ф ПС "Кислородная" - ПС "Центральная", инв.№4224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27:21:0000000:190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г. Советская Гавань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6,783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15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HB003562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ВЛ-35 кВ Т4Ф ГРЭС-ПС 4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27:04:0000000:327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Хабаровский край, Советско-Гаванский район, г. Советская Гавань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11,48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16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HB042604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35 кВ Эгге - Тишкино с отпайками, ВЛ 35 кВ Кислородная - РП-4 с отпайкой на ПС РП-1, ВЛ 35 кВ Эгге - Южная с отпайками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27:13:0000000:638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р-н Советско-Гаванский, рп. Майский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0,732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17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HB038412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35кВ заход на ПС 110 кВ Окоча (от опоры 29А до 4 и от опоры 4 до ЗРУ) (Заходы ВЛ-35 кВ Кислородная-Центральная с отпайкой на ПС Городскую)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27:21:0000000:1087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г. Советская Гавань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0,482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18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HB043862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Сооружение- подстанция 35/10 кВ «Городская» 27:21:0110089:77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27:21:0110089:77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г. Советская Гавань, в районе коллективного сада "Спутник"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0,89 км.,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150,8 кв. м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19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HB041126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КВЛ-10 кВ Ф-9 ПС Маго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Николаевский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9,41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HB042948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ЛЭП 35 кВ Чныррах-Оремиф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27:10:0000000:282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Николаевский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19,75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21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HB042942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ЛЭП 110 кВ на ПС Чныррах от ВЛ 110 кВ на ПС Чныррах от ВЛ 110 кВ Николаевская ТЭЦ-Белая гора (С-172) и ВЛ 110 кВ Николаевская ТЭЦ-Многовершинная (С-171)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27:00:0000000:10269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Николаевский район, г. Николаевск-на-Амуре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11,90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22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HB042963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ВЛ-6кВ ф.9, ф.10, ф.11, ф.12 ПС Чныррах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27:10:0000000:283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Николаевский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2,86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23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HB044874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ЛЭП 10кВ от КРУ-10 яч.2 с. Оремиф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27:10:0010124:421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Николаевский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5,537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24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HB042962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ПС 110 кВ «Чныррах»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27:10:0010134:250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Николаевский район,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25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HB007642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Линия ВЛ 110 кВ С-95 "Старт - Азимут" с отпайкой на ПС "Лиан", инв.№85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27:14:0010807:704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Солнечный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41,516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26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HB007669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Линия ВЛ - 110 кВ ПС "Горная" - ПС "Перевальная" С-112, инв.№125, литер II-3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27:21:0107038:47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Солнечный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4,559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27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HB007683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Линия ВЛ-110 кВ ПС "Комсомольская" - ПС "Солнечная" с отпайкой на ПС "Ручьи" С-81/82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27:00:0000000:88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г. Комсомольск-на-Амуре, Солнечный, Комсомольский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36,48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28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HB007681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Линия ВЛ - 110 кВ ПС "Солнечная - Молодежная" С91/92 с отпайкой на ПС "ЦОФ", инв.№360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27:14:0000000:142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Солнечный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14,315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29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HB007654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Линия ВЛ-110 кВ ПС "Солнечная" - ПС "Горная" С-107/108, инв.№359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27:14:0000000:64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Хабаровский край, Солнечный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</w:rPr>
              <w:t>17,192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HB044766HB008223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Заход на ВЛ-6 кВ ПС Краснореченская Ф-11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Хабаровский район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0,4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31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 ПС Гродеково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25,5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32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ф-2 ПС Гродеково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17,9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33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ф-3 ПС Гродеково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5,1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34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ф-7 ПС Гродеково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5,6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35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ф-12 ПС Гродеково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20,8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36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ф-15 ПС Гродеково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9,2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37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ф-19 ПС Гродеково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18,2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38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 ПС Дормидонтовка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10,24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39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 ПС Черняево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22,6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ф-3 ПС Черняево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41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ф-6 ПС Черняево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42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ф-7 ПС Черняево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43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ф-8 ПС Черняево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19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44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ф-1А ПС Переяславка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7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45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ф-2 ПС Переяславка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5,4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46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ф-3 ПС Переяславка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5,3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47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ф-4 ПС Переяславка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25,8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48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ф-7 ПС Переяславка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7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49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ф-8 ПС Переяславка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7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ф-3 ПС Сита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6,4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51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ф-4 ПС Сита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24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52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ф-6 ПС Георгиевка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26,16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53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ф-9 ПС Георгиевка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12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54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ф-11 ПС Георгиевка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76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55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ф-7 ПС Петровичи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20,24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56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ф-10 ПС Петровичи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18,5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57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ф-11 ПС Петровичи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20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58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ф-5 ПС Святогорье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9,77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59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ф-11 ПС Святогорье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10,5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60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ф-14 ПС Святогорье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7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61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ф-15 ПС Святогорье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10,8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62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ф-8 ПС Кия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1,68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63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ф-11 ПС Кия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31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64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ф-17 ПС Хор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5,3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65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10 кВ ф-20 ПС Мухен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Хабаровский край, район имени Лазо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20,6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66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HB007638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 - 35 кВ, Т-181 ПС "Хурба" - ПС "Болин", инв.№594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27:07:0010101:1837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Комсомольский район, Амурский район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11,798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67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HB007641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 - 35 кВ, Т-183 ПС "Хурба" - ПС "Совхоз Комсомольский", инв.№595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27:07:0010101:1773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Комсомольский район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6,844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1"/>
                <w:szCs w:val="21"/>
                <w:shd w:fill="auto" w:val="clear"/>
                <w:lang w:val="ru-RU" w:eastAsia="ru-RU" w:bidi="ar-SA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1"/>
                <w:szCs w:val="21"/>
                <w:shd w:fill="auto" w:val="clear"/>
                <w:lang w:val="ru-RU" w:eastAsia="ru-RU" w:bidi="ar-SA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1"/>
                <w:szCs w:val="21"/>
                <w:shd w:fill="auto" w:val="clear"/>
                <w:lang w:val="ru-RU" w:eastAsia="ru-RU" w:bidi="ar-SA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68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HB007666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 35 кВ "ПС БАМ ПТФ - ПС Таежная", инв.№73 литер 16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27:22:0000000:1921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1,86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1"/>
                <w:szCs w:val="21"/>
                <w:shd w:fill="auto" w:val="clear"/>
                <w:lang w:val="ru-RU" w:eastAsia="ru-RU" w:bidi="ar-SA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1"/>
                <w:szCs w:val="21"/>
                <w:shd w:fill="auto" w:val="clear"/>
                <w:lang w:val="ru-RU" w:eastAsia="ru-RU" w:bidi="ar-SA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1"/>
                <w:szCs w:val="21"/>
                <w:shd w:fill="auto" w:val="clear"/>
                <w:lang w:val="ru-RU" w:eastAsia="ru-RU" w:bidi="ar-SA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69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НВ007666; HB007373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ПС 35/6 кВ "Кирзавод" с прилегающей линией ВЛ 35 кВ "ПС Таежная - ПС Кирзавод"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27:22:0020101:320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Хабаровский край,</w:t>
            </w:r>
          </w:p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г. Комсомольск-на-Амуре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34,00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70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HB005675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ВЛ-6 кВ ф.1 ПС "Северная" - ТП "Сталкер"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Хабаровский край,</w:t>
            </w:r>
          </w:p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г. Комсомольск-на-Амуре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6,42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71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 w:eastAsia="Times New Roman" w:cs="Times New Roman"/>
                <w:color w:val="000000"/>
                <w:kern w:val="0"/>
                <w:sz w:val="21"/>
                <w:szCs w:val="21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HB005795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ВЛ 6кВ Ф-1 ПС Таежная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/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г. Комсомольск-на-Амуре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  <w:t>2,896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72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HB007645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 35 кВ ПС "Дземги" - ПС "НПЗ-35", инв.№49, литер 13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27:22:0000000:917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Комсомольск-на-Амуре, Ленинский округ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2,6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73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HB007648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 35 кВ "ПС КСК - ПС Индустриальная", инв.№47 литер 14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27:22:0000000:1244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Комсомольск-на-Амуре, Ленинский округ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3,72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74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HB007660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 35 кВ "ЭТЗ-Красная", инв.№46, лит. 15,15А; КЛ 35 кВ "ЭТЗ-Кабельный киоск-ЭТЗ"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27:22:0000000:4243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Комсомольск-на-Амуре, Ленинский округ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1,5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75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shd w:fill="auto" w:val="clear"/>
                <w:em w:val="none"/>
              </w:rPr>
              <w:t>HB007672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shd w:fill="auto" w:val="clear"/>
                <w:em w:val="none"/>
              </w:rPr>
              <w:t>HB007684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35 кВ "ПС Байкальская - ПС Дземги", инв.№40, литер 7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27:22:0000000:1916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Комсомольск-на-Амуре, Ленинский округ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1,5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76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HB007676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35 кВ ПС "Ц" - ПС "ЛПБ", инв.№39, литер 6, включая отпайку на ПС КЖБК (Т-168)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27:22:0000000:4185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Комсомольск-на-Амуре, Ленинский округ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4,0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77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HB007679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35 кВ ПС "Красная" - ПС "Западная" с отпайкой на ПС литер 8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27:22:0000000:4088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Комсомольск-на-Амуре, Ленинский округ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3,7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78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HB007686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35 кВ ПС "Западная" - ПС "Объект-10", инв.№43, литер 10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27:22:0000000:1760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5,8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79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HB007689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35 кВ ТЭЦ1 - ПС "Западная", инв.№36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27:22:0000000:4100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г. Комсомольск-на-Амуре, Центральный округ, Ленинский округ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7,5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80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HB007691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35 кВ ПС "Западная" - ПС "Байкальская", инв.№42, литер 9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27:22:0000000:916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г. Комсомольск-на-Амуре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5,1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81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HB007690</w:t>
            </w:r>
          </w:p>
        </w:tc>
        <w:tc>
          <w:tcPr>
            <w:tcW w:w="34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35 кВ ТЭЦ2 - ПС "ТН", литер 5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27:22:0000000:2093</w:t>
            </w: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Комсомольск-на-Амуре, Центральный округ, Ленинский округ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4,4</w:t>
            </w:r>
          </w:p>
        </w:tc>
        <w:tc>
          <w:tcPr>
            <w:tcW w:w="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82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HB007643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35 кВ "ПС ТН - ПС Ц", инв.№35 литер 3, включая отпайку на ПС ЛПБ (Т-162)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27:22:0000000:965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</w:t>
            </w:r>
          </w:p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г. Комсомольск-на-Амуре, Ленинский округ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2,8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83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HB007693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ВЛ-35 кВ Т-178 ПС "Северная" - ПС "Бочин", инв.№601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27:07:0010116:1930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р-н Комсомольский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11,2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84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HB007694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ВЛ-35 кВ "ТЭЦ1 - ПС Таежная", инв.№37, литер 4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27:22:0000000:1215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г. Комсомольск-на-Амуре, Центральный округ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8,5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85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HB007685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35 кВ "ПС Объект-10 - ПС Объект-202", инв.№44, литер 11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27:22:0000000:1919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г. Комсомольск-на-Амуре, Центральный округ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5,7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(внести изменения 27:22-6.22)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86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HB007685HB004902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HB033425</w:t>
            </w:r>
          </w:p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both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ПС 35/6 кВ "Объект-202" с прилегающей линией ВЛ 35 кВ "ПС Северная-ПС Объект 202" (КЛ-6 кВ от ПС "Северная" до "Объекта-202")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1"/>
                <w:szCs w:val="21"/>
                <w:shd w:fill="auto" w:val="clear"/>
                <w:lang w:val="ru-RU" w:eastAsia="ru-RU" w:bidi="ar-SA"/>
              </w:rPr>
              <w:t>27:22:0000000:1227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Хабаровский край, г. Комсомольск-на-Амуре, ул. Мачтовая, д. 11, корп. 2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0,95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87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HB007658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 - 35 кВ Ф1 ПС "Водозабор", инв. №242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27:07:0010103:972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Комсомольский район, село Новый Мир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7,81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88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HB007658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 - 35 кВ Ф37 ПС "Водозабор", инв. №242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27:07:0010103:973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Комсомольский район, село Новый Мир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5,67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89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 xml:space="preserve">HB007651 </w:t>
              <w:br/>
              <w:t>HB007673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Линия ВЛ 110 кВ ПС "Старт" - ПС "НПЗ-110" - ПС "Т" с отпайкой на ПС "Байкальская", инв.№31, литер 7, 7А, 7Б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27:22:0000000:4195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г. Комсомольск-на-Амуре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23,6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</w:tr>
      <w:tr>
        <w:trPr>
          <w:trHeight w:val="418" w:hRule="atLeast"/>
        </w:trPr>
        <w:tc>
          <w:tcPr>
            <w:tcW w:w="57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90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HB007688</w:t>
            </w:r>
          </w:p>
        </w:tc>
        <w:tc>
          <w:tcPr>
            <w:tcW w:w="3491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ВЛ-110кв С-71/72/94 пс "Комсомольская" — пс "Хурба" - Амурская ТЭЦ</w:t>
            </w:r>
          </w:p>
        </w:tc>
        <w:tc>
          <w:tcPr>
            <w:tcW w:w="210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27:07:0010101:1764</w:t>
            </w:r>
          </w:p>
        </w:tc>
        <w:tc>
          <w:tcPr>
            <w:tcW w:w="3236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Хабаровский край, Комсомольский р-н, Амурский р-н, г. Комсомольск-на-Амуре</w:t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color w:val="000000"/>
                <w:sz w:val="21"/>
                <w:szCs w:val="21"/>
                <w:shd w:fill="auto" w:val="clear"/>
              </w:rPr>
              <w:t>40,0</w:t>
            </w:r>
          </w:p>
        </w:tc>
        <w:tc>
          <w:tcPr>
            <w:tcW w:w="89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+</w:t>
            </w:r>
          </w:p>
        </w:tc>
        <w:tc>
          <w:tcPr>
            <w:tcW w:w="98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  <w:tc>
          <w:tcPr>
            <w:tcW w:w="138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  <w:shd w:fill="auto" w:val="clear"/>
              </w:rPr>
              <w:t>-</w:t>
            </w:r>
          </w:p>
        </w:tc>
      </w:tr>
      <w:tr>
        <w:trPr>
          <w:trHeight w:val="347" w:hRule="atLeast"/>
        </w:trPr>
        <w:tc>
          <w:tcPr>
            <w:tcW w:w="5205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ВСЕГО</w:t>
            </w:r>
          </w:p>
        </w:tc>
        <w:tc>
          <w:tcPr>
            <w:tcW w:w="533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Общая протяженность ЛЭП</w:t>
            </w:r>
          </w:p>
        </w:tc>
        <w:tc>
          <w:tcPr>
            <w:tcW w:w="439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1 118,16</w:t>
            </w:r>
          </w:p>
        </w:tc>
      </w:tr>
      <w:tr>
        <w:trPr>
          <w:trHeight w:val="395" w:hRule="atLeast"/>
        </w:trPr>
        <w:tc>
          <w:tcPr>
            <w:tcW w:w="5205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sz w:val="21"/>
                <w:szCs w:val="21"/>
              </w:rPr>
            </w:r>
          </w:p>
        </w:tc>
        <w:tc>
          <w:tcPr>
            <w:tcW w:w="533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Кол-во линейных объектов</w:t>
            </w:r>
          </w:p>
        </w:tc>
        <w:tc>
          <w:tcPr>
            <w:tcW w:w="439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Liberation Serif" w:hAnsi="Liberation Serif"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1"/>
                <w:szCs w:val="21"/>
                <w:shd w:fill="FFFFFF" w:val="clear"/>
              </w:rPr>
              <w:t>88</w:t>
            </w:r>
          </w:p>
        </w:tc>
      </w:tr>
      <w:tr>
        <w:trPr>
          <w:trHeight w:val="390" w:hRule="atLeast"/>
        </w:trPr>
        <w:tc>
          <w:tcPr>
            <w:tcW w:w="5205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5336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left"/>
              <w:rPr>
                <w:rFonts w:ascii="Liberation Serif" w:hAnsi="Liberation Serif"/>
                <w:b/>
                <w:bCs/>
                <w:sz w:val="21"/>
                <w:szCs w:val="21"/>
              </w:rPr>
            </w:pPr>
            <w:r>
              <w:rPr>
                <w:rFonts w:ascii="Liberation Serif" w:hAnsi="Liberation Serif"/>
                <w:b/>
                <w:bCs/>
                <w:sz w:val="21"/>
                <w:szCs w:val="21"/>
              </w:rPr>
              <w:t>Кол-во площадных объектов</w:t>
            </w:r>
          </w:p>
        </w:tc>
        <w:tc>
          <w:tcPr>
            <w:tcW w:w="4394" w:type="dxa"/>
            <w:gridSpan w:val="4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91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2"/>
        </w:numPr>
        <w:spacing w:before="240" w:after="0"/>
        <w:ind w:left="0" w:right="0" w:hanging="0"/>
        <w:jc w:val="both"/>
        <w:rPr>
          <w:rFonts w:ascii="Liberation Serif" w:hAnsi="Liberation Serif"/>
        </w:rPr>
      </w:pPr>
      <w:bookmarkStart w:id="5" w:name="_Hlk49857604"/>
      <w:bookmarkStart w:id="6" w:name="_Toc46743509"/>
      <w:bookmarkStart w:id="7" w:name="_Toc137820512"/>
      <w:r>
        <w:rPr>
          <w:rFonts w:ascii="Liberation Serif" w:hAnsi="Liberation Serif"/>
        </w:rPr>
        <w:t xml:space="preserve">Информация в отношении исполнения договора, </w:t>
      </w:r>
      <w:bookmarkStart w:id="8" w:name="_Hlk46492347"/>
      <w:r>
        <w:rPr>
          <w:rFonts w:ascii="Liberation Serif" w:hAnsi="Liberation Serif"/>
        </w:rPr>
        <w:t xml:space="preserve">которая должна быть учтена при подготовке заявки </w:t>
      </w:r>
      <w:bookmarkEnd w:id="8"/>
      <w:r>
        <w:rPr>
          <w:rFonts w:ascii="Liberation Serif" w:hAnsi="Liberation Serif"/>
        </w:rPr>
        <w:t xml:space="preserve">(в том числе перечень ресурсов, услуг и документов, предоставляемых </w:t>
      </w:r>
      <w:r>
        <w:rPr>
          <w:rFonts w:ascii="Liberation Serif" w:hAnsi="Liberation Serif"/>
          <w:lang w:val="ru-RU"/>
        </w:rPr>
        <w:t>заказчиком</w:t>
      </w:r>
      <w:r>
        <w:rPr>
          <w:rFonts w:ascii="Liberation Serif" w:hAnsi="Liberation Serif"/>
        </w:rPr>
        <w:t xml:space="preserve"> на</w:t>
      </w:r>
      <w:r>
        <w:rPr>
          <w:rFonts w:ascii="Liberation Serif" w:hAnsi="Liberation Serif"/>
          <w:lang w:val="ru-RU"/>
        </w:rPr>
        <w:t xml:space="preserve"> </w:t>
      </w:r>
      <w:bookmarkEnd w:id="5"/>
      <w:bookmarkEnd w:id="6"/>
      <w:bookmarkEnd w:id="7"/>
      <w:r>
        <w:rPr>
          <w:rFonts w:ascii="Liberation Serif" w:hAnsi="Liberation Serif"/>
        </w:rPr>
        <w:t>этапе исполнения договора)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jc w:val="both"/>
        <w:rPr>
          <w:rFonts w:ascii="Liberation Serif" w:hAnsi="Liberation Serif"/>
        </w:rPr>
      </w:pPr>
      <w:bookmarkStart w:id="9" w:name="_Hlk48209761"/>
      <w:bookmarkEnd w:id="9"/>
      <w:r>
        <w:rPr>
          <w:rFonts w:ascii="Liberation Serif" w:hAnsi="Liberation Serif"/>
          <w:color w:val="000000"/>
          <w:sz w:val="24"/>
          <w:szCs w:val="24"/>
        </w:rPr>
        <w:t>Заказчик предоставляет Исполнителю копии имеющихся технических и правоустанавливающих документов на электросетевые объекты, определяет сотрудника, ответственного за предоставление информации.</w:t>
      </w:r>
    </w:p>
    <w:p>
      <w:pPr>
        <w:pStyle w:val="Normal"/>
        <w:tabs>
          <w:tab w:val="clear" w:pos="720"/>
          <w:tab w:val="left" w:pos="1821" w:leader="none"/>
        </w:tabs>
        <w:jc w:val="both"/>
        <w:rPr>
          <w:rFonts w:ascii="Liberation Serif" w:hAnsi="Liberation Serif"/>
          <w:lang w:val="x-none" w:eastAsia="x-none"/>
        </w:rPr>
      </w:pPr>
      <w:r>
        <w:rPr>
          <w:rFonts w:ascii="Liberation Serif" w:hAnsi="Liberation Serif"/>
          <w:lang w:val="x-none" w:eastAsia="x-none"/>
        </w:rPr>
      </w:r>
      <w:bookmarkStart w:id="10" w:name="_Hlk482097611"/>
      <w:bookmarkStart w:id="11" w:name="_Toc50125126"/>
      <w:bookmarkStart w:id="12" w:name="_Hlk482097611"/>
      <w:bookmarkStart w:id="13" w:name="_Toc50125126"/>
      <w:bookmarkEnd w:id="12"/>
      <w:bookmarkEnd w:id="13"/>
    </w:p>
    <w:p>
      <w:pPr>
        <w:pStyle w:val="Heading1"/>
        <w:numPr>
          <w:ilvl w:val="0"/>
          <w:numId w:val="2"/>
        </w:numPr>
        <w:tabs>
          <w:tab w:val="clear" w:pos="720"/>
          <w:tab w:val="left" w:pos="284" w:leader="none"/>
        </w:tabs>
        <w:ind w:left="0" w:right="0" w:hanging="0"/>
        <w:jc w:val="both"/>
        <w:rPr>
          <w:rFonts w:ascii="Liberation Serif" w:hAnsi="Liberation Serif"/>
        </w:rPr>
      </w:pPr>
      <w:bookmarkStart w:id="14" w:name="_Toc137820513"/>
      <w:bookmarkStart w:id="15" w:name="_Toc51339693"/>
      <w:bookmarkEnd w:id="14"/>
      <w:bookmarkEnd w:id="15"/>
      <w:r>
        <w:rPr>
          <w:rFonts w:ascii="Liberation Serif" w:hAnsi="Liberation Serif"/>
        </w:rPr>
        <w:t>Требования к продукции</w:t>
      </w:r>
    </w:p>
    <w:p>
      <w:pPr>
        <w:pStyle w:val="Heading4"/>
        <w:numPr>
          <w:ilvl w:val="1"/>
          <w:numId w:val="2"/>
        </w:numPr>
        <w:ind w:left="432" w:right="0" w:hanging="432"/>
        <w:jc w:val="both"/>
        <w:rPr>
          <w:rFonts w:ascii="Liberation Serif" w:hAnsi="Liberation Serif"/>
        </w:rPr>
      </w:pPr>
      <w:bookmarkStart w:id="16" w:name="_Toc137820514"/>
      <w:r>
        <w:rPr>
          <w:rFonts w:ascii="Liberation Serif" w:hAnsi="Liberation Serif"/>
        </w:rPr>
        <w:t xml:space="preserve">Требования к объемам и срокам </w:t>
      </w:r>
      <w:bookmarkEnd w:id="16"/>
      <w:r>
        <w:rPr>
          <w:rFonts w:ascii="Liberation Serif" w:hAnsi="Liberation Serif"/>
          <w:lang w:val="ru-RU"/>
        </w:rPr>
        <w:t>выполнения работ</w:t>
      </w:r>
    </w:p>
    <w:p>
      <w:pPr>
        <w:pStyle w:val="Heading3"/>
        <w:numPr>
          <w:ilvl w:val="2"/>
          <w:numId w:val="2"/>
        </w:numPr>
        <w:ind w:left="567" w:right="0" w:hanging="567"/>
        <w:jc w:val="both"/>
        <w:rPr>
          <w:rFonts w:ascii="Liberation Serif" w:hAnsi="Liberation Serif"/>
        </w:rPr>
      </w:pPr>
      <w:bookmarkStart w:id="17" w:name="_Toc137820515"/>
      <w:bookmarkEnd w:id="17"/>
      <w:r>
        <w:rPr>
          <w:rFonts w:ascii="Liberation Serif" w:hAnsi="Liberation Serif"/>
        </w:rPr>
        <w:t>Требования к видам и объемам работ</w:t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>
          <w:rFonts w:ascii="Liberation Serif" w:hAnsi="Liberation Serif"/>
        </w:rPr>
      </w:pPr>
      <w:bookmarkStart w:id="18" w:name="_Toc137820516"/>
      <w:bookmarkStart w:id="19" w:name="_Toc51339695"/>
      <w:r>
        <w:rPr>
          <w:rFonts w:ascii="Liberation Serif" w:hAnsi="Liberation Serif"/>
          <w:sz w:val="24"/>
        </w:rPr>
        <w:t xml:space="preserve">Таблица 2. Перечень </w:t>
      </w:r>
      <w:bookmarkEnd w:id="18"/>
      <w:bookmarkEnd w:id="19"/>
      <w:r>
        <w:rPr>
          <w:rFonts w:ascii="Liberation Serif" w:hAnsi="Liberation Serif"/>
          <w:sz w:val="24"/>
        </w:rPr>
        <w:t>и объем выполняемых работ</w:t>
      </w:r>
    </w:p>
    <w:tbl>
      <w:tblPr>
        <w:tblW w:w="10161" w:type="dxa"/>
        <w:jc w:val="left"/>
        <w:tblInd w:w="-147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542"/>
        <w:gridCol w:w="6827"/>
        <w:gridCol w:w="728"/>
        <w:gridCol w:w="2063"/>
      </w:tblGrid>
      <w:tr>
        <w:trPr/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6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Ед. изм.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6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6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Проведение исполнителем полевых, геодезических и картографических работ.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Определение координат характерных точек границ земельного участка, местоположение границ публичного сервитута и охранных зон под электросетевыми объектами, определение координат характерных точек сооружения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Выполнение геодезических измерений объектов производится  по каждой опоре и площадному объекту с выездом на местность и использованием геодезических GPS/GNNS приемников.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шт.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highlight w:val="white"/>
                <w:shd w:fill="FFFFFF" w:val="clear"/>
              </w:rPr>
              <w:t>90</w:t>
            </w:r>
          </w:p>
        </w:tc>
      </w:tr>
      <w:tr>
        <w:trPr>
          <w:trHeight w:val="1026" w:hRule="atLeast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6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lang w:val="ru-RU" w:eastAsia="ru-RU" w:bidi="ar-SA"/>
              </w:rPr>
              <w:t>Подготовка графического описания местоположения границ публичного сервитута, в т.ч. схемы расположения границ публичного сервитута и описания границ публичного сервитута, содержащего координаты характерных точек границ публичного сервитута, в эл. виде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70</w:t>
            </w:r>
          </w:p>
        </w:tc>
      </w:tr>
      <w:tr>
        <w:trPr>
          <w:trHeight w:val="2234" w:hRule="atLeast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6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карты (плана) публичного сервитута - подготовленные в электронной форме текстовое и графическое описания местоположения границ, перечень координат характерных точек границ (в виде электронного документа в формате XML, подписанного усиленной квалифицированной электронной подписью подготовившего их лица), с направлением в адрес соответствующих организаций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шт.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70</w:t>
            </w:r>
          </w:p>
        </w:tc>
      </w:tr>
      <w:tr>
        <w:trPr>
          <w:trHeight w:val="2110" w:hRule="atLeast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6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карты (плана) охранной зоны - подготовленные в электронной форме текстовое и графическое описания местоположения границ охранной зоны, перечень координат характерных точек границ таких зон (в виде электронного документа в формате XML, подписанного усиленной квалифицированной электронной подписью подготовившего их лица)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шт.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auto" w:val="clear"/>
              </w:rPr>
              <w:t>51</w:t>
            </w:r>
          </w:p>
        </w:tc>
      </w:tr>
      <w:tr>
        <w:trPr>
          <w:trHeight w:val="1124" w:hRule="atLeast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6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color w:val="00000A"/>
                <w:sz w:val="24"/>
                <w:szCs w:val="24"/>
                <w:lang w:val="ru-RU" w:eastAsia="ru-RU" w:bidi="ar-SA"/>
              </w:rPr>
              <w:t>Подготовка технических планов на объекты капитального строительства на электронном носителе, для последующего предоставления в орган кадастрового учета и постановки объекта на кадастровый учет, судебный орган, либо уточнения местоположения границ объекта.</w:t>
            </w:r>
          </w:p>
        </w:tc>
        <w:tc>
          <w:tcPr>
            <w:tcW w:w="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шт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40</w:t>
            </w:r>
          </w:p>
        </w:tc>
      </w:tr>
    </w:tbl>
    <w:p>
      <w:pPr>
        <w:pStyle w:val="Heading1"/>
        <w:numPr>
          <w:ilvl w:val="0"/>
          <w:numId w:val="0"/>
        </w:numPr>
        <w:ind w:left="567" w:right="0" w:hanging="567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Heading3"/>
        <w:numPr>
          <w:ilvl w:val="2"/>
          <w:numId w:val="2"/>
        </w:numPr>
        <w:ind w:left="567" w:right="0" w:hanging="567"/>
        <w:jc w:val="both"/>
        <w:rPr>
          <w:rFonts w:ascii="Liberation Serif" w:hAnsi="Liberation Serif"/>
        </w:rPr>
      </w:pPr>
      <w:bookmarkStart w:id="20" w:name="_Toc51339696"/>
      <w:bookmarkStart w:id="21" w:name="_Toc137820517"/>
      <w:r>
        <w:rPr>
          <w:rFonts w:ascii="Liberation Serif" w:hAnsi="Liberation Serif"/>
        </w:rPr>
        <w:t xml:space="preserve">Требования </w:t>
      </w:r>
      <w:bookmarkEnd w:id="20"/>
      <w:bookmarkEnd w:id="21"/>
      <w:r>
        <w:rPr>
          <w:rFonts w:ascii="Liberation Serif" w:hAnsi="Liberation Serif"/>
        </w:rPr>
        <w:t>к срокам выполнения работ</w:t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>
          <w:rFonts w:ascii="Liberation Serif" w:hAnsi="Liberation Serif"/>
        </w:rPr>
      </w:pPr>
      <w:bookmarkStart w:id="22" w:name="_Toc137820518"/>
      <w:bookmarkStart w:id="23" w:name="_Toc51339697"/>
      <w:bookmarkStart w:id="24" w:name="_Toc50125127"/>
      <w:bookmarkStart w:id="25" w:name="_Toc501251261"/>
      <w:bookmarkEnd w:id="25"/>
      <w:r>
        <w:rPr>
          <w:rFonts w:ascii="Liberation Serif" w:hAnsi="Liberation Serif"/>
        </w:rPr>
        <w:t xml:space="preserve">Таблица </w:t>
      </w:r>
      <w:r>
        <w:rPr>
          <w:rFonts w:ascii="Liberation Serif" w:hAnsi="Liberation Serif"/>
          <w:lang w:val="ru-RU"/>
        </w:rPr>
        <w:t>3</w:t>
      </w:r>
      <w:r>
        <w:rPr>
          <w:rFonts w:ascii="Liberation Serif" w:hAnsi="Liberation Serif"/>
        </w:rPr>
        <w:t xml:space="preserve">. </w:t>
      </w:r>
      <w:bookmarkStart w:id="26" w:name="_Hlk50465284"/>
      <w:r>
        <w:rPr>
          <w:rFonts w:ascii="Liberation Serif" w:hAnsi="Liberation Serif"/>
        </w:rPr>
        <w:t xml:space="preserve">Требования по срокам </w:t>
      </w:r>
      <w:bookmarkEnd w:id="22"/>
      <w:bookmarkEnd w:id="23"/>
      <w:bookmarkEnd w:id="24"/>
      <w:bookmarkEnd w:id="26"/>
      <w:r>
        <w:rPr>
          <w:rFonts w:ascii="Liberation Serif" w:hAnsi="Liberation Serif"/>
          <w:lang w:val="ru-RU"/>
        </w:rPr>
        <w:t>выполнения работ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9"/>
        <w:gridCol w:w="4236"/>
        <w:gridCol w:w="2019"/>
        <w:gridCol w:w="1534"/>
        <w:gridCol w:w="1528"/>
      </w:tblGrid>
      <w:tr>
        <w:trPr/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color w:val="00000A"/>
                <w:sz w:val="24"/>
                <w:szCs w:val="24"/>
                <w:lang w:val="ru-RU" w:eastAsia="ru-RU" w:bidi="ar-SA"/>
              </w:rPr>
              <w:t>Количество  объектов заказчика (Таблица 1)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>
          <w:trHeight w:val="284" w:hRule="atLeast"/>
        </w:trPr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18" w:type="dxa"/>
              <w:right w:w="28" w:type="dxa"/>
            </w:tcMar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5</w:t>
            </w:r>
          </w:p>
        </w:tc>
      </w:tr>
      <w:tr>
        <w:trPr>
          <w:trHeight w:val="2567" w:hRule="atLeast"/>
        </w:trPr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Проведение исполнителем полевых, геодезических и картографических работ.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Определение координат характерных точек границ земельного участка, местоположение границ публичного сервитута и охранных зон под электросетевыми объектами, определение координат характерных точек сооружения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Выполнение геодезических измерений объектов производится  по каждой опоре и площадному объекту с выездом на местность и использованием геодезических GPS/GNNS приемников.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highlight w:val="white"/>
                <w:shd w:fill="FFFFFF" w:val="clear"/>
              </w:rPr>
              <w:t>90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  <w:shd w:fill="FF4000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FF4000" w:val="clear"/>
              </w:rPr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FFFF" w:val="clear"/>
              </w:rPr>
              <w:t>30.03.2027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  <w:shd w:fill="FFFFFF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FFFFFF" w:val="clear"/>
              </w:rPr>
            </w:r>
          </w:p>
        </w:tc>
      </w:tr>
      <w:tr>
        <w:trPr>
          <w:trHeight w:val="2567" w:hRule="atLeast"/>
        </w:trPr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lang w:val="ru-RU" w:eastAsia="ru-RU" w:bidi="ar-SA"/>
              </w:rPr>
              <w:t>Подготовка графического описания местоположения границ публичного сервитута, в т.ч. схемы расположения границ публичного сервитута и описания границ публичного сервитута, содержащего координаты характерных точек границ публичного сервитута, в эл. виде.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highlight w:val="white"/>
                <w:shd w:fill="FFFFFF" w:val="clear"/>
              </w:rPr>
              <w:t>70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  <w:shd w:fill="FF4000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FF4000" w:val="clear"/>
              </w:rPr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  <w:t>30.08.2027</w:t>
            </w:r>
          </w:p>
        </w:tc>
      </w:tr>
      <w:tr>
        <w:trPr/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Подготовка карты (плана) публичного сервитута - подготовленные в электронной форме текстовое и графическое описания местоположения границ, перечень координат характерных точек границ (в виде электронного документа в формате XML, подписанного усиленной квалифицированной электронной подписью подготовившего их лица), с направлением в адрес соответствующих организаций.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highlight w:val="white"/>
                <w:shd w:fill="FFFFFF" w:val="clear"/>
              </w:rPr>
              <w:t>70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  <w:t>30.08.2027</w:t>
            </w:r>
          </w:p>
        </w:tc>
      </w:tr>
      <w:tr>
        <w:trPr/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карты (плана) охранной зоны - подготовленные в электронной форме текстовое и графическое описания местоположения границ охранной зоны, перечень координат характерных точек границ таких зон (в виде электронного документа в формате XML, подписанного усиленной квалифицированной электронной подписью подготовившего их лица)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b w:val="false"/>
                <w:bCs w:val="false"/>
                <w:i/>
                <w:i/>
                <w:iCs/>
                <w:sz w:val="24"/>
                <w:szCs w:val="24"/>
                <w:shd w:fill="FF4000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shd w:fill="FF4000" w:val="clear"/>
              </w:rPr>
            </w:r>
          </w:p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highlight w:val="white"/>
                <w:shd w:fill="FFFFFF" w:val="clear"/>
              </w:rPr>
              <w:t>51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sz w:val="24"/>
                <w:szCs w:val="24"/>
                <w:shd w:fill="FFFFFF" w:val="clear"/>
                <w:lang w:val="en-US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  <w:t>30.08.2027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  <w:shd w:fill="FFFFFF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overflowPunct w:val="false"/>
              <w:ind w:left="360" w:right="0" w:hanging="360"/>
              <w:jc w:val="both"/>
              <w:rPr>
                <w:rFonts w:ascii="Liberation Serif" w:hAnsi="Liberation Serif"/>
                <w:i/>
                <w:i/>
              </w:rPr>
            </w:pPr>
            <w:r>
              <w:rPr>
                <w:rFonts w:ascii="Liberation Serif" w:hAnsi="Liberation Serif"/>
                <w:i/>
              </w:rPr>
            </w:r>
          </w:p>
        </w:tc>
        <w:tc>
          <w:tcPr>
            <w:tcW w:w="4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технических планов на объекты капитального строительства на электронном носителе, для последующего предоставления в орган кадастрового учета и постановки объекта на кадастровый учет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iCs/>
                <w:sz w:val="24"/>
                <w:szCs w:val="24"/>
                <w:highlight w:val="white"/>
                <w:shd w:fill="FFFFFF" w:val="clear"/>
              </w:rPr>
              <w:t>40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  <w:t>30.09.2027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sz w:val="24"/>
                <w:szCs w:val="24"/>
                <w:shd w:fill="FFFFFF" w:val="clear"/>
                <w:lang w:val="en-US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  <w:lang w:val="en-US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2"/>
        </w:numPr>
        <w:ind w:left="432" w:right="0" w:hanging="432"/>
        <w:jc w:val="both"/>
        <w:rPr>
          <w:rFonts w:ascii="Liberation Serif" w:hAnsi="Liberation Serif"/>
        </w:rPr>
      </w:pPr>
      <w:bookmarkStart w:id="27" w:name="_Toc51339698"/>
      <w:bookmarkStart w:id="28" w:name="_Toc137820519"/>
      <w:r>
        <w:rPr>
          <w:rFonts w:ascii="Liberation Serif" w:hAnsi="Liberation Serif"/>
        </w:rPr>
        <w:t xml:space="preserve">Требования к </w:t>
      </w:r>
      <w:bookmarkEnd w:id="28"/>
      <w:r>
        <w:rPr>
          <w:rFonts w:ascii="Liberation Serif" w:hAnsi="Liberation Serif"/>
          <w:lang w:val="ru-RU"/>
        </w:rPr>
        <w:t>качеству работ</w:t>
      </w:r>
    </w:p>
    <w:p>
      <w:pPr>
        <w:pStyle w:val="Heading1"/>
        <w:numPr>
          <w:ilvl w:val="0"/>
          <w:numId w:val="0"/>
        </w:numPr>
        <w:ind w:left="567" w:right="0" w:hanging="567"/>
        <w:jc w:val="both"/>
        <w:rPr>
          <w:rFonts w:ascii="Liberation Serif" w:hAnsi="Liberation Serif"/>
        </w:rPr>
      </w:pPr>
      <w:bookmarkStart w:id="29" w:name="_Toc137820520"/>
      <w:r>
        <w:rPr>
          <w:rFonts w:ascii="Liberation Serif" w:hAnsi="Liberation Serif"/>
        </w:rPr>
        <w:t>Таблица</w:t>
      </w:r>
      <w:r>
        <w:rPr>
          <w:rFonts w:ascii="Liberation Serif" w:hAnsi="Liberation Serif"/>
          <w:lang w:val="ru-RU"/>
        </w:rPr>
        <w:t xml:space="preserve"> 4</w:t>
      </w:r>
      <w:r>
        <w:rPr>
          <w:rFonts w:ascii="Liberation Serif" w:hAnsi="Liberation Serif"/>
        </w:rPr>
        <w:t xml:space="preserve">. Требования к </w:t>
      </w:r>
      <w:bookmarkEnd w:id="27"/>
      <w:r>
        <w:rPr>
          <w:rFonts w:ascii="Liberation Serif" w:hAnsi="Liberation Serif"/>
          <w:lang w:val="ru-RU"/>
        </w:rPr>
        <w:t>качеству работ</w:t>
      </w:r>
      <w:bookmarkEnd w:id="29"/>
      <w:r>
        <w:rPr>
          <w:rFonts w:ascii="Liberation Serif" w:hAnsi="Liberation Serif"/>
        </w:rPr>
        <w:t xml:space="preserve"> </w:t>
      </w:r>
    </w:p>
    <w:p>
      <w:pPr>
        <w:pStyle w:val="Normal"/>
        <w:snapToGrid w:val="false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4"/>
          <w:szCs w:val="24"/>
        </w:rPr>
        <w:t>Наименование работ/этапа работ:</w:t>
      </w:r>
    </w:p>
    <w:p>
      <w:pPr>
        <w:pStyle w:val="Normal"/>
        <w:snapToGrid w:val="false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4"/>
          <w:szCs w:val="24"/>
        </w:rPr>
        <w:t>позиции № 1 и № 2 таблицы 2</w:t>
      </w:r>
    </w:p>
    <w:tbl>
      <w:tblPr>
        <w:tblW w:w="15309" w:type="dxa"/>
        <w:jc w:val="left"/>
        <w:tblInd w:w="-100" w:type="dxa"/>
        <w:tblLayout w:type="fixed"/>
        <w:tblCellMar>
          <w:top w:w="0" w:type="dxa"/>
          <w:left w:w="8" w:type="dxa"/>
          <w:bottom w:w="0" w:type="dxa"/>
          <w:right w:w="28" w:type="dxa"/>
        </w:tblCellMar>
      </w:tblPr>
      <w:tblGrid>
        <w:gridCol w:w="673"/>
        <w:gridCol w:w="2111"/>
        <w:gridCol w:w="10681"/>
        <w:gridCol w:w="1843"/>
      </w:tblGrid>
      <w:tr>
        <w:trPr>
          <w:trHeight w:val="1629" w:hRule="atLeast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Подтверждение участником соответствия в виде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согласия с требованием</w:t>
            </w:r>
          </w:p>
        </w:tc>
      </w:tr>
      <w:tr>
        <w:trPr>
          <w:trHeight w:val="189" w:hRule="atLeast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60" w:after="60"/>
              <w:ind w:left="360" w:right="0" w:hanging="360"/>
              <w:contextualSpacing/>
              <w:jc w:val="both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792" w:right="0" w:hanging="432"/>
              <w:contextualSpacing/>
              <w:jc w:val="both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Организация работ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>1. Подготовительные работы.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1.1. До начала выполнения работ приказом Подрядной организации назначаются ответственные лица за выполнение работ по геодезическому измерению на местности опор и трансформаторных подстанций, обработку полученных координат, составлению схем, карт (планов), с указанием Ф.И.О., документа, подтверждающего квалификацию, контактных данных (тел., email);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1" w:leader="none"/>
              </w:tabs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color w:val="000000"/>
                <w:sz w:val="24"/>
                <w:szCs w:val="24"/>
                <w:shd w:fill="FFFFFF" w:val="clear"/>
              </w:rPr>
              <w:t xml:space="preserve">1.2. </w:t>
            </w: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Сбор необходимой документации из Фонда данных Росреестра, из Единого государственного реестра недвижимости, из краевого государственного казенного учреждения «Управление землями и имуществом на территории Приморского края» (КГКУ «УЗИ») (в части копий технических паспортов и/или инвентарных дел, в том числе в целях уточнения состава ОКС) и иных источников осуществляется Исполнителем самостоятельно за счет собственных средств.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Подготовительные работы включают в себя сбор и анализ следующих</w:t>
            </w:r>
            <w:r>
              <w:rPr>
                <w:rFonts w:ascii="Liberation Serif" w:hAnsi="Liberation Serif"/>
                <w:b/>
                <w:bCs/>
                <w:i/>
                <w:spacing w:val="-2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необходимых документов и материалов по объектам электросетевого хозяйства: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rFonts w:ascii="Liberation Serif" w:hAnsi="Liberation Serif"/>
                <w:bCs/>
                <w:i/>
                <w:sz w:val="24"/>
                <w:szCs w:val="24"/>
                <w:shd w:fill="FFFFFF" w:val="clear"/>
              </w:rPr>
              <w:t>сведений Государственного кадастра недвижимости (далее – ГКН) в виде выписок на земельные участки, занятые объектами электросетевого хозяйства АО «ДРСК»;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rFonts w:ascii="Liberation Serif" w:hAnsi="Liberation Serif"/>
                <w:bCs/>
                <w:i/>
                <w:sz w:val="24"/>
                <w:szCs w:val="24"/>
                <w:shd w:fill="FFFFFF" w:val="clear"/>
              </w:rPr>
              <w:t>сведений ГКН в виде кадастровых планов соответствующих территорий;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rFonts w:ascii="Liberation Serif" w:hAnsi="Liberation Serif"/>
                <w:bCs/>
                <w:i/>
                <w:sz w:val="24"/>
                <w:szCs w:val="24"/>
                <w:shd w:fill="FFFFFF" w:val="clear"/>
              </w:rPr>
              <w:t>сведений ГКН в виде выписок из ЕГРН на прочие земельные участки в границах охранных зон;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rFonts w:ascii="Liberation Serif" w:hAnsi="Liberation Serif"/>
                <w:bCs/>
                <w:i/>
                <w:sz w:val="24"/>
                <w:szCs w:val="24"/>
                <w:shd w:fill="FFFFFF" w:val="clear"/>
              </w:rPr>
              <w:t>сведений ГКН в виде выписок из ЕГРН на объекты недвижимого имущества;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rFonts w:ascii="Liberation Serif" w:hAnsi="Liberation Serif"/>
                <w:bCs/>
                <w:i/>
                <w:sz w:val="24"/>
                <w:szCs w:val="24"/>
                <w:shd w:fill="FFFFFF" w:val="clear"/>
              </w:rPr>
              <w:t>сведений о границах муниципальных образований (район);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технической документации на объекты недвижимого имущества;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картографических материалов, требуемых масштабов, в территориальных органах Росреестра и других организациях по месту нахождения объектов недвижимости;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правоустанавливающих документов на объекты электросетевого хозяйства;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 xml:space="preserve">- </w:t>
            </w: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копий учредительных документов АО «ДРСК»;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4"/>
                <w:szCs w:val="24"/>
                <w:shd w:fill="FFFFFF" w:val="clear"/>
              </w:rPr>
              <w:t>2.  Полевые, геодезические и картографические работы.  Определение границ местоположения земельных участков и объектов недвижимости.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2.1. Исполнителем проводятся полевые, геодезические и картографические работы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Определение координат по каждой опоре и площадному объекту осуществляется в Соответствии с приказом Федеральной службы государственной регистрации, кадастра и картографии от 23.10.2020 № 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машино-места».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2.2. Геодезическое измерение проводится по каждой опоре и площадному объекту с выездом на местность с представителем Заказчика и использованием геодезических GPS/GNNS приемников.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>3. Установление публичных сервитутов под электросетевыми объектами.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 xml:space="preserve">3.1. </w:t>
            </w:r>
            <w:r>
              <w:rPr>
                <w:rFonts w:ascii="Liberation Serif" w:hAnsi="Liberation Serif"/>
                <w:bCs/>
                <w:i/>
                <w:sz w:val="24"/>
                <w:szCs w:val="24"/>
                <w:shd w:fill="FFFFFF" w:val="clear"/>
              </w:rPr>
              <w:t>Составление графического описания местоположения границ публичного сервитута на основа-нии полученных сведений КПТ, определение местоположения границ публичного сервитута в соответствии с законодательством Российской Федерации, составление схемы расположения границ публичного сервитута, описания границ публичного сервитута, содержащего координаты характерных точек границ публичного сервитута на основании Приказа Росреестра от 13.01.2021 N П/0004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  <w:i/>
                <w:sz w:val="24"/>
                <w:szCs w:val="24"/>
                <w:shd w:fill="FFFFFF" w:val="clear"/>
              </w:rPr>
              <w:t>3.1.1</w:t>
            </w: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 xml:space="preserve"> Схема расположения формируется в виде файла в формате PDF в полноцветном режиме с разрешением не менее 300 dpi в масштабе, обеспечивающем читаемость местоположения характерных точек.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Схема расположения оформляется в виде, совмещенном с картографической основой.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На схеме расположения указываются: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проектные границы публичного сервитута и характерные точки;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установленные границы административно-территориальных образований (в случае если границы публичного сервитута пересекают границы административно-территориальных образований);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проектное местоположение инженерного сооружения (в случае если публичный сервитут устанавливается для использования земельных участков и (или) земель в целях размещения инженерного сооружения);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границы и кадастровые номера земельных участков (при их наличии), в отношении которых испрашивается публичный сервитут;</w:t>
            </w:r>
            <w:r>
              <w:rPr>
                <w:rFonts w:ascii="Liberation Serif" w:hAnsi="Liberation Serif"/>
                <w:i/>
                <w:sz w:val="24"/>
                <w:szCs w:val="24"/>
                <w:highlight w:val="white"/>
                <w:shd w:fill="FFFFFF" w:val="clear"/>
              </w:rPr>
              <w:t xml:space="preserve"> </w:t>
            </w: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используемые условные знаки и обозначения; масштаб.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При невозможности отображения в масштабе схемы расположения отдельных характерных точек допускается отображать их местоположение в виде выносок в отдельных файлах при условии соблюдения настоящих требований.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3.1.2 Описание границ формируется в виде файла в формате XML, созданного с использованием XML-схем, обеспечивающих считывание и контроль представленных данных.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В описании границ должны быть указаны: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а) местоположение публичного сервитута (субъект Российской Федерации, муниципальное образование, а также населенный пункт (в случае установления публичного сервитута в границах населенного пункта);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б) система координат, используемая для ведения Единого государственного реестра недвижимости, с указанием зоны (зон) картографической проекции, в которой определены координаты характерных точек;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в) метод(ы) определения координат и средняя квадратическая погрешность положения характерных точек (Mt) в метрах;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г) перечень характерных точек (обозначение и значения координат характерных точек в метрах с округлением до 0,01 метра).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В зависимости от примененных при подготовке описания границ методов определения координат характерных точек в описании границ указываются: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геодезический метод;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метод спутниковых геодезических измерений (определений);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фотограмметрический метод;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картометрический метод;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аналитический метод.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Для обозначения характерных точек используются арабские цифры. Для всех характерных точек применяется сквозная нумерация. Перечень характерных точек должен завершаться обозначением начальной точки.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  <w:tab w:val="left" w:pos="735" w:leader="none"/>
                <w:tab w:val="left" w:pos="993" w:leader="none"/>
              </w:tabs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Координаты характерных точек определяются с точностью не ниже точности картографической основы Единого государственного реестра недвижимости наиболее крупного масштаба, созданной на территорию кадастрового квартала, в котором расположен публичный сервитут.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>4. Подготовка и составление Карт (планов) границ охранных зон.</w:t>
            </w:r>
          </w:p>
          <w:p>
            <w:pPr>
              <w:pStyle w:val="Normal"/>
              <w:widowControl w:val="false"/>
              <w:spacing w:lineRule="auto" w:line="240"/>
              <w:ind w:left="0" w:right="0" w:firstLine="5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  <w:shd w:fill="FFFFFF" w:val="clear"/>
              </w:rPr>
              <w:t>Охранные зоны устанавливаются вдоль воздушных линий электропередачи -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неотклоненном их положении на следующем расстоянии:</w:t>
            </w:r>
          </w:p>
          <w:p>
            <w:pPr>
              <w:pStyle w:val="Normal"/>
              <w:widowControl w:val="false"/>
              <w:spacing w:lineRule="auto" w:line="240"/>
              <w:ind w:left="0" w:right="0" w:firstLine="540"/>
              <w:jc w:val="both"/>
              <w:rPr>
                <w:rFonts w:ascii="Liberation Serif" w:hAnsi="Liberation Serif"/>
                <w:i/>
                <w:i/>
                <w:iCs/>
                <w:sz w:val="24"/>
                <w:szCs w:val="24"/>
                <w:shd w:fill="FFFFFF" w:val="clear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  <w:shd w:fill="FFFFFF" w:val="clear"/>
              </w:rPr>
            </w:r>
          </w:p>
          <w:tbl>
            <w:tblPr>
              <w:tblW w:w="9903" w:type="dxa"/>
              <w:jc w:val="left"/>
              <w:tblInd w:w="0" w:type="dxa"/>
              <w:tblLayout w:type="fixed"/>
              <w:tblCellMar>
                <w:top w:w="102" w:type="dxa"/>
                <w:left w:w="42" w:type="dxa"/>
                <w:bottom w:w="102" w:type="dxa"/>
                <w:right w:w="62" w:type="dxa"/>
              </w:tblCellMar>
            </w:tblPr>
            <w:tblGrid>
              <w:gridCol w:w="4737"/>
              <w:gridCol w:w="5165"/>
            </w:tblGrid>
            <w:tr>
              <w:trPr/>
              <w:tc>
                <w:tcPr>
                  <w:tcW w:w="47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  <w:i/>
                      <w:iCs/>
                      <w:sz w:val="20"/>
                      <w:szCs w:val="20"/>
                      <w:shd w:fill="FFFFFF" w:val="clear"/>
                    </w:rPr>
                    <w:t>Проектный номинальный класс напряжения, кВ</w:t>
                  </w:r>
                </w:p>
              </w:tc>
              <w:tc>
                <w:tcPr>
                  <w:tcW w:w="516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  <w:i/>
                      <w:iCs/>
                      <w:sz w:val="20"/>
                      <w:szCs w:val="20"/>
                      <w:shd w:fill="FFFFFF" w:val="clear"/>
                    </w:rPr>
                    <w:t>Расстояние, м</w:t>
                  </w:r>
                </w:p>
              </w:tc>
            </w:tr>
            <w:tr>
              <w:trPr/>
              <w:tc>
                <w:tcPr>
                  <w:tcW w:w="47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  <w:i/>
                      <w:iCs/>
                      <w:sz w:val="20"/>
                      <w:szCs w:val="20"/>
                      <w:shd w:fill="FFFFFF" w:val="clear"/>
                    </w:rPr>
                    <w:t>1 - 20</w:t>
                  </w:r>
                </w:p>
              </w:tc>
              <w:tc>
                <w:tcPr>
                  <w:tcW w:w="516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  <w:b w:val="false"/>
                      <w:bCs w:val="false"/>
                      <w:i/>
                      <w:iCs/>
                      <w:sz w:val="20"/>
                      <w:szCs w:val="20"/>
                      <w:shd w:fill="FFFFFF" w:val="clear"/>
                    </w:rPr>
                    <w:t xml:space="preserve">10 (5 - </w:t>
                  </w:r>
                  <w:r>
                    <w:rPr>
                      <w:rFonts w:ascii="Liberation Serif" w:hAnsi="Liberation Serif"/>
                      <w:i/>
                      <w:iCs/>
                      <w:sz w:val="20"/>
                      <w:szCs w:val="20"/>
                      <w:shd w:fill="FFFFFF" w:val="clear"/>
                    </w:rPr>
                    <w:t>для линий с самонесущими или изолированными проводами, размещенных в границах населенных пунктов)</w:t>
                  </w:r>
                </w:p>
              </w:tc>
            </w:tr>
            <w:tr>
              <w:trPr/>
              <w:tc>
                <w:tcPr>
                  <w:tcW w:w="47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  <w:i/>
                      <w:iCs/>
                      <w:sz w:val="20"/>
                      <w:szCs w:val="20"/>
                      <w:shd w:fill="FFFFFF" w:val="clear"/>
                    </w:rPr>
                    <w:t>35</w:t>
                  </w:r>
                </w:p>
              </w:tc>
              <w:tc>
                <w:tcPr>
                  <w:tcW w:w="516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  <w:i/>
                      <w:iCs/>
                      <w:sz w:val="20"/>
                      <w:szCs w:val="20"/>
                      <w:shd w:fill="FFFFFF" w:val="clear"/>
                    </w:rPr>
                    <w:t>15</w:t>
                  </w:r>
                </w:p>
              </w:tc>
            </w:tr>
            <w:tr>
              <w:trPr/>
              <w:tc>
                <w:tcPr>
                  <w:tcW w:w="473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  <w:i/>
                      <w:iCs/>
                      <w:sz w:val="20"/>
                      <w:szCs w:val="20"/>
                      <w:shd w:fill="FFFFFF" w:val="clear"/>
                    </w:rPr>
                    <w:t>110</w:t>
                  </w:r>
                </w:p>
              </w:tc>
              <w:tc>
                <w:tcPr>
                  <w:tcW w:w="516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/>
                    <w:jc w:val="center"/>
                    <w:rPr>
                      <w:rFonts w:ascii="Liberation Serif" w:hAnsi="Liberation Serif"/>
                    </w:rPr>
                  </w:pPr>
                  <w:r>
                    <w:rPr>
                      <w:rFonts w:ascii="Liberation Serif" w:hAnsi="Liberation Serif"/>
                      <w:i/>
                      <w:iCs/>
                      <w:sz w:val="20"/>
                      <w:szCs w:val="20"/>
                      <w:shd w:fill="FFFFFF" w:val="clear"/>
                    </w:rPr>
                    <w:t>20</w:t>
                  </w:r>
                </w:p>
              </w:tc>
            </w:tr>
          </w:tbl>
          <w:p>
            <w:pPr>
              <w:pStyle w:val="Style191"/>
              <w:widowControl w:val="false"/>
              <w:tabs>
                <w:tab w:val="clear" w:pos="720"/>
                <w:tab w:val="left" w:pos="302" w:leader="none"/>
              </w:tabs>
              <w:spacing w:lineRule="auto" w:line="240"/>
              <w:ind w:left="0" w:right="0" w:firstLine="709"/>
              <w:jc w:val="both"/>
              <w:rPr>
                <w:rFonts w:ascii="Liberation Serif" w:hAnsi="Liberation Serif"/>
                <w:i/>
                <w:i/>
                <w:iCs/>
                <w:sz w:val="24"/>
                <w:szCs w:val="24"/>
                <w:shd w:fill="FFFFFF" w:val="clear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  <w:shd w:fill="FFFFFF" w:val="clear"/>
              </w:rPr>
              <w:t>4.1.</w:t>
            </w:r>
            <w:r>
              <w:rPr>
                <w:rFonts w:ascii="Liberation Serif" w:hAnsi="Liberation Serif"/>
                <w:b/>
                <w:i/>
                <w:iCs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ascii="Liberation Serif" w:hAnsi="Liberation Serif"/>
                <w:bCs/>
                <w:i/>
                <w:iCs/>
                <w:sz w:val="24"/>
                <w:szCs w:val="24"/>
                <w:shd w:fill="FFFFFF" w:val="clear"/>
              </w:rPr>
              <w:t>Проводится работа по описанию местоположения границ охранных зон объек</w:t>
            </w:r>
            <w:r>
              <w:rPr>
                <w:rFonts w:ascii="Liberation Serif" w:hAnsi="Liberation Serif"/>
                <w:bCs/>
                <w:i/>
                <w:sz w:val="24"/>
                <w:szCs w:val="24"/>
                <w:shd w:fill="FFFFFF" w:val="clear"/>
              </w:rPr>
              <w:t>тов электросетевого хозяйства АО «ДРСК» для составления карт (планов) объектов землеустройства для их учёта в ГКН. Форма карты (плана) объекта землеустройства и требования к ее составлению устанавливаются Правительством Российской Федерации и Заказчиком.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4.2. Карта (план) объекта землеустройства состоит из текстовой и графической частей, которые делятся на разделы.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Текстовая часть карты (плана) объекта землеустройства состоит из титульного листа, содержания и следующих разделов: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основания для проведения землеустроительных работ и исходные данные;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сведения об объекте землеустройства;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сведения о местоположении границ объекта землеустройства.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сведения об объектах недвижимости и земельных участках, входящих в границы - охранных зон на момент проведения кадастровых работ.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Графическая часть карты (плана) состоит из раздела «План границ объекта землеустройства».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карта (план) объекта землеустройства оформляется на бумажном носителе и электронном носителе, исключающем возможность повторной записи информации, в виде электронного документа.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карта (план) объекта землеустройства подлежит согласованию с федеральным органом исполнительной власти, осуществляющим технический контроль и надзор в электроэнергетике в порядке, предусмотренном Правилами, а также с иными заинтересованными лицами, в порядке, предусмотренном для согласования землеустроительной документации – при необходимости.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порядок согласования и утверждения землеустроительной документации устанавливается уполномоченным Правительством Российской Федерации федеральным органом исполнительной власти.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вплоть до принятия уполномоченным федеральным органом исполнительной власти порядка согласования и утверждения землеустроительной документации при согласовании карт (планов) объектов землеустройства Исполнитель руководствуется нормами Положения о согласовании и утверждении землеустроительной документации, создании и ведении государственного фонда данных, полученных в результате проведения землеустройства, в части не противоречащей действующему законодательству.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>5.</w:t>
            </w: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>Согласование границ охранных зон объектов электросетевого хозяйства с Ростехнадзором (при необходимости).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В соответствии с письмом Министерства экономического развития Российской Федерации от 09.06.2011 № 11882-ИМ/Д23 при внесении в ГКН сведений о границах охранных зон объектов электросетевого хозяйства, созданных до вступления в силу Правил (до 17.03.2009) такие сведения должны вноситься в ГКН на основании постановлений Совета Министров СССР от 11.09.1972 № 677 «Об утверждении правил охраны электрических сетей напряжением до 1000 вольт» или от 26.03.1984 № 255 «Об утверждении правил охраны электрических сетей напряжением свыше 1000 вольт» без согласования с Ростехнадзором.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Согласование с Ростехнадзором границ охранных зон объектов электросетевого хозяйства осуществляется в случае установления охранных зон объектов электросетевого хозяйства, созданных после вступления в силу Правил (после 17.03.2009). Подготовка и согласование в соответствии с Порядком согласования Федеральной службой по экологическому, технологическому и атомному надзору границ охранных зон в отношении объектов электросетевого хозяйства, утвержденным приказом Минприроды России от 24.05.2010 № 179 комплекта документов, необходимых для согласования границ охранных зон объектов электросетевого хозяйства.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Формирование документов, необходимых для согласования границ охранных зон объектов электросетевого хозяйства Ростехназором.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Представление в территориальные органы Ростехнадзора документов для согласования границ охранных зон объектов электросетевого хозяйства и получение согласований Ростехнадзором границ охранных зон объектов электросетевого хозяйства.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4"/>
                <w:szCs w:val="24"/>
                <w:shd w:fill="FFFFFF" w:val="clear"/>
              </w:rPr>
              <w:t>6. Подготовка технического плана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ascii="Liberation Serif" w:hAnsi="Liberation Serif"/>
                <w:b w:val="false"/>
                <w:bCs w:val="false"/>
                <w:i/>
                <w:sz w:val="24"/>
                <w:szCs w:val="24"/>
                <w:shd w:fill="FFFFFF" w:val="clear"/>
              </w:rPr>
              <w:t>6.1. При выполнении работ с Заказчиком согласовываются: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4"/>
                <w:szCs w:val="24"/>
                <w:shd w:fill="FFFFFF" w:val="clear"/>
              </w:rPr>
              <w:t>- состав объекта, подлежащего технической инвентаризации;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4"/>
                <w:szCs w:val="24"/>
                <w:shd w:fill="FFFFFF" w:val="clear"/>
              </w:rPr>
              <w:t>- технические характеристики объекта.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4"/>
                <w:szCs w:val="24"/>
                <w:shd w:fill="FFFFFF" w:val="clear"/>
              </w:rPr>
              <w:t>6.2. Технический план должен быть составлен по форме и соответствовать требованиям, установленным действующим законодательством РФ (Приказ Росреестра от 15.03.2022 N П/0082 «Об установлении формы технического плана, требований к его подготовке и состава содержащихся в нем сведений», Приказ Росреестра от 06.09.2023 N П/0347 "О размещении на официальном сайте Федеральной службы государственной регистрации, кадастра и картографии в информационно-телекоммуникационной сети "Интернет" XML-схемы, используемой для формирования технического плана здания, сооружения, объекта незавершенного строительства, помещения, машино-места, единого недвижимого комплекса в форме электронного документа" или иные документы, действующие на момент выполнения работ Исполнителем).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4"/>
                <w:szCs w:val="24"/>
                <w:shd w:fill="FFFFFF" w:val="clear"/>
              </w:rPr>
              <w:t>6.3. Технический план подготавливается в форме электронного документа и заверяется усиленной квалифицированной электронной подписью кадастрового инженера, подготовившего такой план.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  <w:shd w:fill="FFFFFF" w:val="clear"/>
              </w:rPr>
              <w:t>7. Порядок взаимодействия Заказчика и Исполнителя при выполнении работ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4"/>
                <w:szCs w:val="24"/>
                <w:shd w:fill="FFFFFF" w:val="clear"/>
              </w:rPr>
              <w:t>7.1. Исполнитель работ в соответствии с полномочиями, основанными на нотариально удостоверенной доверенности от лица АО «ДРСК», обращается в орган Исполнительной власти с ходатайством на установление публичного сервитута, в орган кадастрового и регистрационного учёта с заявлением о внесении сведений о границах охранной зоны, сведений об объекте недвижимости  в государственный кадастр недвижимости;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4"/>
                <w:szCs w:val="24"/>
                <w:shd w:fill="FFFFFF" w:val="clear"/>
              </w:rPr>
              <w:t>7.2. Исполнитель работ осуществляет контроль и сопровождение по ходатайствам на установление публичного сервитута, за  ведением государственного кадастрового учёта публичных сервитутов, охранных зон и объектов недвижимости, анализа причин приостановления или отказов в проведении государственного кадастрового учёта, устраняет ошибки, возобновляет проведение учёта в ГКН;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7.3. В целях обеспечения оперативного контроля выполнения работ Исполнитель направляет Заказчику информацию о ходе выполнения работ. Заказчик определяет порядок представления Заказчику и форму мониторинга выполнения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792" w:right="0" w:hanging="432"/>
              <w:contextualSpacing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60" w:after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-//-</w:t>
            </w:r>
          </w:p>
        </w:tc>
      </w:tr>
      <w:tr>
        <w:trPr>
          <w:trHeight w:val="419" w:hRule="atLeast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left="1224" w:right="0" w:hanging="1199"/>
              <w:contextualSpacing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Общие технические требования к оборудованию Исполнителя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В соответствии с требованиями, предусмотренными законодательством Российской Федерации по выполнению кадастровых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60" w:after="60"/>
              <w:ind w:left="360" w:right="0" w:hanging="360"/>
              <w:contextualSpacing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  <w:shd w:fill="FFFFFF" w:val="clear"/>
              </w:rPr>
              <w:t>Требования к результатам работ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60" w:after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shd w:fill="FFFFFF" w:val="clear"/>
              </w:rPr>
              <w:t>Общие требования к результатам работ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left="1224" w:right="0" w:hanging="1199"/>
              <w:contextualSpacing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Результат работ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Результат работ: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графическое описание местоположения границ публичных сервитутов под объектами в соответствии с перечнем (таблица 1), в т.ч. схемы расположения границ публичного сервитута и описания границ публичного сервитута, содержащего координаты характерных точек границ публичного сервитута, в эл. виде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карты (планы) охранных зон объектов в соответствии с перечнем (таблица 1) - подготовленные в электронной форме текстовое и графическое описания местоположения границ охранной зоны, перечень координат характерных точек границ таких зон (в виде электронного документа в формате XML, подписанного усиленной квалифицированной электронной подписью подготовившего их лица).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решения (уведомления) органа кадастрового учёта о внесении сведений границ охранных зон объектов электросетевого хозяйства АО «ДРСК» в ГКН с указанием кадастровых номеров границ охранных зон (на бумажном носителе);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выписки из ЕГРН о сведениях об охранной зоне (на бумажном и/или электронном носителе);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решения/постановления органов Исполнительной власти об установлении публичных сервитутов (в электронном и бумажном виде);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- технические планы на ОКС (в виде электронного документа в формате XML, подписанного усиленной квалифицированной электронной подписью подготовившего их лица);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 xml:space="preserve">-  </w:t>
            </w:r>
            <w:r>
              <w:rPr>
                <w:rFonts w:ascii="Liberation Serif" w:hAnsi="Liberation Serif"/>
                <w:i/>
                <w:iCs/>
                <w:sz w:val="24"/>
                <w:szCs w:val="24"/>
                <w:shd w:fill="FFFFFF" w:val="clear"/>
              </w:rPr>
              <w:t>акт обследования на объекты капитального строительства на электронном носителе;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color w:val="00000A"/>
                <w:sz w:val="24"/>
                <w:szCs w:val="24"/>
                <w:shd w:fill="FFFFFF" w:val="clear"/>
                <w:lang w:val="ru-RU" w:eastAsia="ru-RU" w:bidi="ar-SA"/>
              </w:rPr>
              <w:t>- cчёт и акт выполненных работ в двух экземплярах с указанием выполненных работ.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  <w:shd w:fill="FFFFFF" w:val="clear"/>
              </w:rPr>
              <w:t>Исполнитель обеспечивает выполнение работ в срок, в соответствии с проектом договора, в рамках данных технических требований с соблюдением действующего законодательства, регламентирующего деятельность в области выполнения кадастровых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60" w:after="60"/>
              <w:ind w:left="360" w:right="0" w:hanging="360"/>
              <w:contextualSpacing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127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20" w:after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left="1224" w:right="0" w:hanging="1199"/>
              <w:contextualSpacing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 выполнении кадастровых работ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Исполнитель обеспечивает строгое соблюдение настоящих требований и требований, содержащихся в иных документах, регламентирующих деятельность в области выполнения кадастровых работ.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Исполнитель обеспечивает: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- Выполнение работ в полном соответствии с настоящими техническими требованиями, условиями договора и с соблюдением действующего законодательства, регламентирующего деятельность в области выполнения кадастровых работ;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- Качество выполнения всех работ в соответствии с требованиями действующего законодательства, регламентирующего деятельность в области выполнения кадастровых работ и технической инвентаризации;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- Своевременное устранение недостатков и дефектов, выявленных при приемке работ и в течение гарантийного срока.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- При внесении в действующее законодательство изменений, влияющих на выполнение указанных в настоящих технических требованиях работ, настоящие технические требования подлежит корректировке по согласованию с Заказчиком.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- </w:t>
            </w:r>
            <w:r>
              <w:rPr>
                <w:rFonts w:ascii="Liberation Serif" w:hAnsi="Liberation Serif"/>
                <w:i/>
                <w:sz w:val="24"/>
                <w:szCs w:val="24"/>
              </w:rPr>
              <w:t>В целях обеспечения оперативного контроля выполнения работ Исполнитель направляет Заказчику информацию о ходе выполнения работ. Заказчик определяет порядок представления Заказчику и форму мониторинга выполнения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left="1224" w:right="0" w:hanging="1199"/>
              <w:contextualSpacing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Гарантии подрядной организации</w:t>
            </w:r>
          </w:p>
        </w:tc>
        <w:tc>
          <w:tcPr>
            <w:tcW w:w="10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Гарантии качества на все работы, предусмотренные в настоящих технических требованиях, должны составлять 5 (пять) лет с момента подписания акт сдачи-приемки работ.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tcMar>
              <w:left w:w="93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b/>
                <w:bCs/>
              </w:rPr>
            </w:pPr>
            <w:r>
              <w:rPr>
                <w:rFonts w:ascii="Liberation Serif" w:hAnsi="Liberation Serif"/>
                <w:b/>
                <w:bCs/>
              </w:rPr>
            </w:r>
          </w:p>
        </w:tc>
      </w:tr>
    </w:tbl>
    <w:p>
      <w:pPr>
        <w:sectPr>
          <w:headerReference w:type="default" r:id="rId8"/>
          <w:headerReference w:type="first" r:id="rId9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2"/>
        </w:numPr>
        <w:ind w:left="284" w:right="0" w:hanging="567"/>
        <w:jc w:val="both"/>
        <w:rPr>
          <w:rFonts w:ascii="Liberation Serif" w:hAnsi="Liberation Serif"/>
        </w:rPr>
      </w:pPr>
      <w:bookmarkStart w:id="30" w:name="_Toc53393312"/>
      <w:bookmarkStart w:id="31" w:name="_Toc137820521"/>
      <w:r>
        <w:rPr>
          <w:rFonts w:ascii="Liberation Serif" w:hAnsi="Liberation Serif"/>
        </w:rPr>
        <w:t>Требования к документации по ценообразованию</w:t>
      </w:r>
      <w:bookmarkEnd w:id="30"/>
      <w:bookmarkEnd w:id="31"/>
      <w:r>
        <w:rPr>
          <w:rFonts w:ascii="Liberation Serif" w:hAnsi="Liberation Serif"/>
        </w:rPr>
        <w:t xml:space="preserve"> на этапе закупки</w:t>
      </w:r>
    </w:p>
    <w:p>
      <w:pPr>
        <w:pStyle w:val="Normal"/>
        <w:ind w:left="0" w:right="0" w:firstLine="357"/>
        <w:jc w:val="both"/>
        <w:rPr>
          <w:rFonts w:ascii="Liberation Serif" w:hAnsi="Liberation Serif"/>
        </w:rPr>
      </w:pPr>
      <w:r>
        <w:rPr>
          <w:rFonts w:eastAsia="Calibri" w:ascii="Liberation Serif" w:hAnsi="Liberation Serif"/>
          <w:i/>
          <w:iCs/>
          <w:sz w:val="24"/>
          <w:szCs w:val="24"/>
          <w:lang w:val="x-none" w:eastAsia="x-none"/>
        </w:rPr>
        <w:t xml:space="preserve">В составе заявки Участник представляет Коммерческое предложение в соответствии с документацией о закупке. </w:t>
      </w:r>
      <w:r>
        <w:rPr>
          <w:rFonts w:eastAsia="Calibri" w:ascii="Liberation Serif" w:hAnsi="Liberation Serif"/>
          <w:i/>
          <w:iCs/>
          <w:sz w:val="24"/>
          <w:szCs w:val="24"/>
          <w:lang w:eastAsia="x-none"/>
        </w:rPr>
        <w:t>Дополнительные документы по ценообразованию не предоставляются.</w:t>
      </w:r>
    </w:p>
    <w:p>
      <w:pPr>
        <w:pStyle w:val="Normal"/>
        <w:ind w:left="0" w:right="0" w:firstLine="357"/>
        <w:jc w:val="both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1"/>
        <w:numPr>
          <w:ilvl w:val="0"/>
          <w:numId w:val="0"/>
        </w:numPr>
        <w:ind w:left="0" w:right="0" w:hanging="0"/>
        <w:jc w:val="both"/>
        <w:rPr>
          <w:rFonts w:ascii="Liberation Serif" w:hAnsi="Liberation Serif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rPr/>
      </w:pPr>
      <w:r>
        <w:rPr/>
      </w:r>
    </w:p>
    <w:sectPr>
      <w:headerReference w:type="default" r:id="rId10"/>
      <w:headerReference w:type="first" r:id="rId11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</w:p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  <w:p>
    <w:pPr>
      <w:pStyle w:val="Header"/>
      <w:jc w:val="center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Heading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pPr>
      <w:numPr>
        <w:ilvl w:val="0"/>
        <w:numId w:val="0"/>
      </w:numPr>
      <w:ind w:left="567" w:right="0" w:hanging="567"/>
    </w:pPr>
    <w:rPr/>
  </w:style>
  <w:style w:type="paragraph" w:styleId="Heading3">
    <w:name w:val="Heading 3"/>
    <w:basedOn w:val="Normal"/>
    <w:autoRedefine/>
    <w:qFormat/>
    <w:pPr>
      <w:keepNext w:val="true"/>
      <w:numPr>
        <w:ilvl w:val="2"/>
        <w:numId w:val="1"/>
      </w:numPr>
      <w:ind w:left="567" w:right="0" w:hanging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qFormat/>
    <w:pPr>
      <w:numPr>
        <w:ilvl w:val="1"/>
        <w:numId w:val="1"/>
      </w:numPr>
      <w:outlineLvl w:val="1"/>
    </w:pPr>
    <w:rPr>
      <w:bCs/>
    </w:rPr>
  </w:style>
  <w:style w:type="paragraph" w:styleId="Heading5">
    <w:name w:val="Heading 5"/>
    <w:basedOn w:val="Normal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qFormat/>
    <w:rPr>
      <w:rFonts w:eastAsia="Calibri"/>
      <w:sz w:val="24"/>
      <w:szCs w:val="24"/>
    </w:rPr>
  </w:style>
  <w:style w:type="character" w:styleId="11">
    <w:name w:val="Подпункт Знак1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i/>
    </w:rPr>
  </w:style>
  <w:style w:type="character" w:styleId="Style9">
    <w:name w:val="Подподпункт Знак"/>
    <w:qFormat/>
    <w:rPr>
      <w:sz w:val="26"/>
      <w:szCs w:val="26"/>
    </w:rPr>
  </w:style>
  <w:style w:type="character" w:styleId="3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qFormat/>
    <w:rPr>
      <w:b/>
      <w:sz w:val="28"/>
    </w:rPr>
  </w:style>
  <w:style w:type="character" w:styleId="12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</w:rPr>
  </w:style>
  <w:style w:type="character" w:styleId="32">
    <w:name w:val="Основной текст с отступом 3 Знак"/>
    <w:qFormat/>
    <w:rPr>
      <w:sz w:val="16"/>
      <w:szCs w:val="16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Style18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>
    <w:name w:val="Раздел положения"/>
    <w:basedOn w:val="Normal"/>
    <w:autoRedefine/>
    <w:qFormat/>
    <w:pPr>
      <w:spacing w:before="80" w:after="80"/>
      <w:jc w:val="center"/>
    </w:pPr>
    <w:rPr>
      <w:b/>
      <w:sz w:val="32"/>
      <w:szCs w:val="32"/>
    </w:rPr>
  </w:style>
  <w:style w:type="paragraph" w:styleId="Style20">
    <w:name w:val="Подраздел раздела положения"/>
    <w:basedOn w:val="Normal"/>
    <w:autoRedefine/>
    <w:qFormat/>
    <w:pPr>
      <w:spacing w:before="80" w:after="80"/>
      <w:jc w:val="both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qFormat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>
    <w:name w:val="Подпункт"/>
    <w:basedOn w:val="Normal"/>
    <w:qFormat/>
    <w:pPr>
      <w:tabs>
        <w:tab w:val="clear" w:pos="720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qFormat/>
    <w:pPr>
      <w:keepNext w:val="true"/>
      <w:tabs>
        <w:tab w:val="clear" w:pos="720"/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3">
    <w:name w:val="Раздел регламента"/>
    <w:basedOn w:val="Normal"/>
    <w:qFormat/>
    <w:pPr/>
    <w:rPr/>
  </w:style>
  <w:style w:type="paragraph" w:styleId="Style24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qFormat/>
    <w:pPr>
      <w:keepLines/>
      <w:numPr>
        <w:ilvl w:val="0"/>
        <w:numId w:val="0"/>
      </w:numPr>
      <w:spacing w:before="480" w:after="0"/>
      <w:ind w:left="567" w:right="0" w:hanging="567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  <w:lang w:val="x-none" w:eastAsia="x-none"/>
    </w:rPr>
  </w:style>
  <w:style w:type="paragraph" w:styleId="Style26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>
    <w:name w:val="Подподпункт"/>
    <w:basedOn w:val="Style22"/>
    <w:qFormat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1">
    <w:name w:val="УРОВЕНЬ_(а)"/>
    <w:basedOn w:val="ListParagraph"/>
    <w:qFormat/>
    <w:pPr>
      <w:spacing w:lineRule="exact" w:line="360" w:before="120" w:after="0"/>
      <w:ind w:left="720" w:right="0" w:hanging="0"/>
      <w:contextualSpacing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spacing w:lineRule="exact" w:line="360" w:before="120" w:after="0"/>
      <w:ind w:left="720" w:right="0" w:hanging="0"/>
      <w:contextualSpacing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2">
    <w:name w:val="УРОВЕНЬ_Подпись"/>
    <w:basedOn w:val="ListParagraph"/>
    <w:qFormat/>
    <w:pPr>
      <w:keepNext w:val="true"/>
      <w:spacing w:lineRule="exact" w:line="360" w:before="120" w:after="120"/>
      <w:ind w:left="720" w:right="0" w:hanging="0"/>
      <w:contextualSpacing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20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Symbol">
    <w:name w:val="Endnote Symbol"/>
    <w:basedOn w:val="Normal"/>
    <w:qFormat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3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qFormat/>
    <w:pPr>
      <w:keepNext w:val="true"/>
      <w:keepLines/>
      <w:spacing w:lineRule="auto" w:line="276" w:before="240" w:after="120"/>
      <w:ind w:left="0" w:righ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Msonormal">
    <w:name w:val="msonormal"/>
    <w:basedOn w:val="Normal"/>
    <w:qFormat/>
    <w:pPr>
      <w:spacing w:before="280" w:after="280"/>
    </w:pPr>
    <w:rPr>
      <w:sz w:val="24"/>
      <w:szCs w:val="24"/>
    </w:rPr>
  </w:style>
  <w:style w:type="paragraph" w:styleId="Font5">
    <w:name w:val="font5"/>
    <w:basedOn w:val="Normal"/>
    <w:qFormat/>
    <w:pPr>
      <w:spacing w:before="280" w:after="280"/>
    </w:pPr>
    <w:rPr>
      <w:color w:val="000000"/>
      <w:sz w:val="24"/>
      <w:szCs w:val="24"/>
    </w:rPr>
  </w:style>
  <w:style w:type="paragraph" w:styleId="Font6">
    <w:name w:val="font6"/>
    <w:basedOn w:val="Normal"/>
    <w:qFormat/>
    <w:pPr>
      <w:spacing w:before="280" w:after="280"/>
    </w:pPr>
    <w:rPr>
      <w:color w:val="000000"/>
      <w:sz w:val="14"/>
      <w:szCs w:val="14"/>
    </w:rPr>
  </w:style>
  <w:style w:type="paragraph" w:styleId="Xl63">
    <w:name w:val="xl63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4">
    <w:name w:val="xl64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both"/>
      <w:textAlignment w:val="center"/>
    </w:pPr>
    <w:rPr>
      <w:sz w:val="24"/>
      <w:szCs w:val="24"/>
    </w:rPr>
  </w:style>
  <w:style w:type="paragraph" w:styleId="Xl67">
    <w:name w:val="xl67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b/>
      <w:bCs/>
      <w:i/>
      <w:iCs/>
      <w:sz w:val="24"/>
      <w:szCs w:val="24"/>
    </w:rPr>
  </w:style>
  <w:style w:type="paragraph" w:styleId="Xl68">
    <w:name w:val="xl68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9">
    <w:name w:val="xl69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b/>
      <w:bCs/>
      <w:i/>
      <w:iCs/>
      <w:sz w:val="24"/>
      <w:szCs w:val="24"/>
    </w:rPr>
  </w:style>
  <w:style w:type="paragraph" w:styleId="Xl70">
    <w:name w:val="xl70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71">
    <w:name w:val="xl71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2">
    <w:name w:val="xl72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3">
    <w:name w:val="xl73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74">
    <w:name w:val="xl74"/>
    <w:basedOn w:val="Normal"/>
    <w:qFormat/>
    <w:pPr>
      <w:pBdr>
        <w:left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75">
    <w:name w:val="xl75"/>
    <w:basedOn w:val="Normal"/>
    <w:qFormat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textAlignment w:val="center"/>
    </w:pPr>
    <w:rPr>
      <w:sz w:val="24"/>
      <w:szCs w:val="24"/>
    </w:rPr>
  </w:style>
  <w:style w:type="paragraph" w:styleId="Xl76">
    <w:name w:val="xl76"/>
    <w:basedOn w:val="Normal"/>
    <w:qFormat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7">
    <w:name w:val="xl77"/>
    <w:basedOn w:val="Normal"/>
    <w:qFormat/>
    <w:pPr>
      <w:pBdr>
        <w:left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8">
    <w:name w:val="xl78"/>
    <w:basedOn w:val="Normal"/>
    <w:qFormat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9">
    <w:name w:val="xl79"/>
    <w:basedOn w:val="Normal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Style34">
    <w:name w:val="Содержимое таблицы"/>
    <w:basedOn w:val="Normal"/>
    <w:qFormat/>
    <w:pPr/>
    <w:rPr/>
  </w:style>
  <w:style w:type="paragraph" w:styleId="Style35">
    <w:name w:val="Заголовок таблицы"/>
    <w:basedOn w:val="Style34"/>
    <w:qFormat/>
    <w:pPr/>
    <w:rPr/>
  </w:style>
  <w:style w:type="paragraph" w:styleId="Style191">
    <w:name w:val="Style19"/>
    <w:basedOn w:val="Normal"/>
    <w:qFormat/>
    <w:pPr>
      <w:widowControl w:val="false"/>
      <w:spacing w:lineRule="exact" w:line="317"/>
      <w:ind w:left="0" w:right="0" w:firstLine="144"/>
      <w:jc w:val="both"/>
    </w:pPr>
    <w:rPr/>
  </w:style>
  <w:style w:type="numbering" w:styleId="110">
    <w:name w:val="Стиль1"/>
    <w:qFormat/>
  </w:style>
  <w:style w:type="numbering" w:styleId="29">
    <w:name w:val="Стиль2"/>
    <w:qFormat/>
  </w:style>
  <w:style w:type="numbering" w:styleId="34614631651">
    <w:name w:val="3461463165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8986</TotalTime>
  <Application>AlterOffice/3.3.1.3$Linux_X86_64 LibreOffice_project/90d829a0d92d6015ad4fa014ce4f460a7fe6c0ba</Application>
  <AppVersion>15.0000</AppVersion>
  <Pages>23</Pages>
  <Words>4882</Words>
  <Characters>30613</Characters>
  <CharactersWithSpaces>34437</CharactersWithSpaces>
  <Paragraphs>1069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2023-09-11T07:06:00Z</dcterms:created>
  <dc:creator>Елькин Алексей Юрьевич</dc:creator>
  <dc:description/>
  <dc:language>ru-RU</dc:language>
  <cp:lastModifiedBy>ignatova_ta</cp:lastModifiedBy>
  <cp:lastPrinted>2025-10-10T15:28:07Z</cp:lastPrinted>
  <dcterms:modified xsi:type="dcterms:W3CDTF">2026-09-23T17:19:20Z</dcterms:modified>
  <cp:revision>173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